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eastAsia="仿宋_GB2312" w:cs="Times New Roman"/>
          <w:color w:val="auto"/>
          <w:sz w:val="36"/>
          <w:szCs w:val="36"/>
        </w:rPr>
      </w:pPr>
    </w:p>
    <w:p>
      <w:pPr>
        <w:rPr>
          <w:rFonts w:ascii="Times New Roman" w:hAnsi="Times New Roman" w:eastAsia="仿宋_GB2312" w:cs="Times New Roman"/>
          <w:color w:val="auto"/>
          <w:sz w:val="36"/>
          <w:szCs w:val="36"/>
        </w:rPr>
      </w:pPr>
    </w:p>
    <w:p>
      <w:pPr>
        <w:rPr>
          <w:rFonts w:ascii="Times New Roman" w:hAnsi="Times New Roman" w:eastAsia="仿宋_GB2312" w:cs="Times New Roman"/>
          <w:color w:val="auto"/>
          <w:sz w:val="36"/>
          <w:szCs w:val="36"/>
        </w:rPr>
      </w:pPr>
    </w:p>
    <w:p>
      <w:pPr>
        <w:rPr>
          <w:rFonts w:ascii="Times New Roman" w:hAnsi="Times New Roman" w:eastAsia="仿宋_GB2312" w:cs="Times New Roman"/>
          <w:color w:val="auto"/>
          <w:sz w:val="36"/>
          <w:szCs w:val="36"/>
        </w:rPr>
      </w:pPr>
    </w:p>
    <w:p>
      <w:pPr>
        <w:adjustRightInd w:val="0"/>
        <w:snapToGrid w:val="0"/>
        <w:jc w:val="center"/>
        <w:outlineLvl w:val="0"/>
        <w:rPr>
          <w:rFonts w:ascii="Times New Roman" w:hAnsi="Times New Roman" w:eastAsia="方正小标宋_GBK" w:cs="Times New Roman"/>
          <w:bCs/>
          <w:color w:val="auto"/>
          <w:sz w:val="72"/>
          <w:szCs w:val="72"/>
        </w:rPr>
      </w:pPr>
      <w:r>
        <w:rPr>
          <w:rFonts w:ascii="Times New Roman" w:hAnsi="Times New Roman" w:eastAsia="黑体" w:cs="Times New Roman"/>
          <w:bCs/>
          <w:color w:val="auto"/>
          <w:sz w:val="72"/>
          <w:szCs w:val="72"/>
        </w:rPr>
        <w:t>建设项目环境影响报告表</w:t>
      </w:r>
    </w:p>
    <w:p>
      <w:pPr>
        <w:adjustRightInd w:val="0"/>
        <w:snapToGrid w:val="0"/>
        <w:spacing w:before="192" w:beforeLines="80"/>
        <w:jc w:val="center"/>
        <w:rPr>
          <w:rFonts w:ascii="Times New Roman" w:hAnsi="Times New Roman" w:eastAsia="楷体_GB2312" w:cs="Times New Roman"/>
          <w:bCs/>
          <w:color w:val="auto"/>
          <w:sz w:val="48"/>
          <w:szCs w:val="48"/>
        </w:rPr>
      </w:pPr>
      <w:r>
        <w:rPr>
          <w:rFonts w:ascii="Times New Roman" w:hAnsi="Times New Roman" w:eastAsia="楷体_GB2312" w:cs="Times New Roman"/>
          <w:bCs/>
          <w:color w:val="auto"/>
          <w:sz w:val="48"/>
          <w:szCs w:val="48"/>
        </w:rPr>
        <w:t>（污染影响类）</w:t>
      </w:r>
    </w:p>
    <w:p>
      <w:pPr>
        <w:adjustRightInd w:val="0"/>
        <w:snapToGrid w:val="0"/>
        <w:spacing w:line="288" w:lineRule="auto"/>
        <w:jc w:val="center"/>
        <w:outlineLvl w:val="0"/>
        <w:rPr>
          <w:rFonts w:ascii="Times New Roman" w:hAnsi="Times New Roman" w:eastAsia="华文仿宋" w:cs="Times New Roman"/>
          <w:color w:val="auto"/>
          <w:kern w:val="44"/>
          <w:sz w:val="44"/>
          <w:szCs w:val="44"/>
        </w:rPr>
      </w:pPr>
    </w:p>
    <w:p>
      <w:pPr>
        <w:jc w:val="center"/>
        <w:rPr>
          <w:rFonts w:ascii="Times New Roman" w:hAnsi="Times New Roman" w:eastAsia="仿宋" w:cs="Times New Roman"/>
          <w:color w:val="auto"/>
          <w:sz w:val="52"/>
          <w:szCs w:val="52"/>
        </w:rPr>
      </w:pPr>
    </w:p>
    <w:p>
      <w:pPr>
        <w:ind w:firstLine="1040"/>
        <w:rPr>
          <w:rFonts w:ascii="Times New Roman" w:hAnsi="Times New Roman" w:eastAsia="仿宋" w:cs="Times New Roman"/>
          <w:color w:val="auto"/>
          <w:sz w:val="44"/>
          <w:szCs w:val="44"/>
        </w:rPr>
      </w:pPr>
    </w:p>
    <w:p>
      <w:pPr>
        <w:ind w:firstLine="1040"/>
        <w:rPr>
          <w:rFonts w:ascii="Times New Roman" w:hAnsi="Times New Roman" w:eastAsia="仿宋" w:cs="Times New Roman"/>
          <w:color w:val="auto"/>
          <w:sz w:val="44"/>
          <w:szCs w:val="44"/>
        </w:rPr>
      </w:pPr>
    </w:p>
    <w:p>
      <w:pPr>
        <w:ind w:firstLine="1040"/>
        <w:rPr>
          <w:rFonts w:ascii="Times New Roman" w:hAnsi="Times New Roman" w:eastAsia="仿宋" w:cs="Times New Roman"/>
          <w:color w:val="auto"/>
          <w:sz w:val="44"/>
          <w:szCs w:val="44"/>
        </w:rPr>
      </w:pPr>
    </w:p>
    <w:p>
      <w:pPr>
        <w:adjustRightInd w:val="0"/>
        <w:snapToGrid w:val="0"/>
        <w:spacing w:line="480" w:lineRule="auto"/>
        <w:rPr>
          <w:rFonts w:hint="default" w:eastAsia="仿宋_GB2312" w:cs="Times New Roman"/>
          <w:color w:val="auto"/>
          <w:sz w:val="36"/>
          <w:szCs w:val="36"/>
          <w:u w:val="single"/>
          <w:lang w:val="en-US" w:eastAsia="zh-CN"/>
        </w:rPr>
      </w:pPr>
      <w:r>
        <w:rPr>
          <w:rFonts w:ascii="Times New Roman" w:hAnsi="Times New Roman" w:eastAsia="仿宋_GB2312" w:cs="Times New Roman"/>
          <w:color w:val="auto"/>
          <w:sz w:val="36"/>
          <w:szCs w:val="36"/>
        </w:rPr>
        <w:t>项目名称：</w:t>
      </w:r>
      <w:r>
        <w:rPr>
          <w:rFonts w:hint="eastAsia" w:eastAsia="仿宋_GB2312" w:cs="Times New Roman"/>
          <w:color w:val="auto"/>
          <w:sz w:val="36"/>
          <w:szCs w:val="36"/>
          <w:u w:val="single"/>
          <w:lang w:val="en-US" w:eastAsia="zh-CN"/>
        </w:rPr>
        <w:t xml:space="preserve">鲁山首创环保能源有限公司飞灰仓库扩建项目  </w:t>
      </w:r>
    </w:p>
    <w:p>
      <w:pPr>
        <w:adjustRightInd w:val="0"/>
        <w:snapToGrid w:val="0"/>
        <w:spacing w:line="480" w:lineRule="auto"/>
        <w:rPr>
          <w:rFonts w:ascii="Times New Roman" w:hAnsi="Times New Roman" w:eastAsia="仿宋_GB2312" w:cs="Times New Roman"/>
          <w:color w:val="auto"/>
          <w:sz w:val="36"/>
          <w:szCs w:val="36"/>
          <w:u w:val="single"/>
        </w:rPr>
      </w:pPr>
      <w:r>
        <w:rPr>
          <w:rFonts w:ascii="Times New Roman" w:hAnsi="Times New Roman" w:eastAsia="仿宋_GB2312" w:cs="Times New Roman"/>
          <w:color w:val="auto"/>
          <w:sz w:val="36"/>
          <w:szCs w:val="36"/>
        </w:rPr>
        <w:t>建设单位（盖章）：</w:t>
      </w:r>
      <w:r>
        <w:rPr>
          <w:rFonts w:hint="eastAsia" w:eastAsia="仿宋_GB2312" w:cs="Times New Roman"/>
          <w:color w:val="auto"/>
          <w:sz w:val="36"/>
          <w:szCs w:val="36"/>
          <w:u w:val="single"/>
          <w:lang w:eastAsia="zh-CN"/>
        </w:rPr>
        <w:t>鲁山首创环保能源有限公司</w:t>
      </w:r>
    </w:p>
    <w:p>
      <w:pPr>
        <w:adjustRightInd w:val="0"/>
        <w:snapToGrid w:val="0"/>
        <w:spacing w:line="480" w:lineRule="auto"/>
        <w:rPr>
          <w:rFonts w:ascii="Times New Roman" w:hAnsi="Times New Roman" w:eastAsia="仿宋_GB2312" w:cs="Times New Roman"/>
          <w:color w:val="auto"/>
          <w:sz w:val="36"/>
          <w:szCs w:val="36"/>
          <w:u w:val="single"/>
        </w:rPr>
      </w:pPr>
      <w:r>
        <w:rPr>
          <w:rFonts w:ascii="Times New Roman" w:hAnsi="Times New Roman" w:eastAsia="仿宋_GB2312" w:cs="Times New Roman"/>
          <w:color w:val="auto"/>
          <w:sz w:val="36"/>
          <w:szCs w:val="36"/>
        </w:rPr>
        <w:t>编制日期：</w:t>
      </w:r>
      <w:r>
        <w:rPr>
          <w:rFonts w:ascii="Times New Roman" w:hAnsi="Times New Roman" w:eastAsia="仿宋_GB2312" w:cs="Times New Roman"/>
          <w:color w:val="auto"/>
          <w:sz w:val="36"/>
          <w:szCs w:val="36"/>
          <w:u w:val="single"/>
        </w:rPr>
        <w:t xml:space="preserve">            202</w:t>
      </w:r>
      <w:r>
        <w:rPr>
          <w:rFonts w:hint="eastAsia" w:ascii="Times New Roman" w:hAnsi="Times New Roman" w:eastAsia="仿宋_GB2312" w:cs="Times New Roman"/>
          <w:color w:val="auto"/>
          <w:sz w:val="36"/>
          <w:szCs w:val="36"/>
          <w:u w:val="single"/>
          <w:lang w:val="en-US" w:eastAsia="zh-CN"/>
        </w:rPr>
        <w:t>3</w:t>
      </w:r>
      <w:r>
        <w:rPr>
          <w:rFonts w:ascii="Times New Roman" w:hAnsi="Times New Roman" w:eastAsia="仿宋_GB2312" w:cs="Times New Roman"/>
          <w:color w:val="auto"/>
          <w:sz w:val="36"/>
          <w:szCs w:val="36"/>
          <w:u w:val="single"/>
        </w:rPr>
        <w:t>年</w:t>
      </w:r>
      <w:r>
        <w:rPr>
          <w:rFonts w:hint="eastAsia" w:eastAsia="仿宋_GB2312" w:cs="Times New Roman"/>
          <w:color w:val="auto"/>
          <w:sz w:val="36"/>
          <w:szCs w:val="36"/>
          <w:u w:val="single"/>
          <w:lang w:val="en-US" w:eastAsia="zh-CN"/>
        </w:rPr>
        <w:t>12</w:t>
      </w:r>
      <w:r>
        <w:rPr>
          <w:rFonts w:ascii="Times New Roman" w:hAnsi="Times New Roman" w:eastAsia="仿宋_GB2312" w:cs="Times New Roman"/>
          <w:color w:val="auto"/>
          <w:sz w:val="36"/>
          <w:szCs w:val="36"/>
          <w:u w:val="single"/>
        </w:rPr>
        <w:t xml:space="preserve">月     </w:t>
      </w:r>
    </w:p>
    <w:p>
      <w:pPr>
        <w:adjustRightInd w:val="0"/>
        <w:snapToGrid w:val="0"/>
        <w:spacing w:line="288" w:lineRule="auto"/>
        <w:ind w:firstLine="1040"/>
        <w:rPr>
          <w:rFonts w:ascii="Times New Roman" w:hAnsi="Times New Roman" w:eastAsia="仿宋_GB2312" w:cs="Times New Roman"/>
          <w:color w:val="auto"/>
          <w:sz w:val="36"/>
          <w:szCs w:val="36"/>
        </w:rPr>
      </w:pPr>
      <w:bookmarkStart w:id="0" w:name="_Hlk57884087"/>
    </w:p>
    <w:p>
      <w:pPr>
        <w:adjustRightInd w:val="0"/>
        <w:snapToGrid w:val="0"/>
        <w:spacing w:line="288" w:lineRule="auto"/>
        <w:ind w:firstLine="1040"/>
        <w:rPr>
          <w:rFonts w:ascii="Times New Roman" w:hAnsi="Times New Roman" w:eastAsia="仿宋_GB2312" w:cs="Times New Roman"/>
          <w:color w:val="auto"/>
          <w:sz w:val="36"/>
          <w:szCs w:val="36"/>
        </w:rPr>
      </w:pPr>
    </w:p>
    <w:p>
      <w:pPr>
        <w:adjustRightInd w:val="0"/>
        <w:snapToGrid w:val="0"/>
        <w:spacing w:line="288" w:lineRule="auto"/>
        <w:ind w:firstLine="1040"/>
        <w:rPr>
          <w:rFonts w:ascii="Times New Roman" w:hAnsi="Times New Roman" w:eastAsia="仿宋_GB2312" w:cs="Times New Roman"/>
          <w:color w:val="auto"/>
          <w:sz w:val="36"/>
          <w:szCs w:val="36"/>
        </w:rPr>
      </w:pPr>
    </w:p>
    <w:bookmarkEnd w:id="0"/>
    <w:p>
      <w:pPr>
        <w:adjustRightInd w:val="0"/>
        <w:snapToGrid w:val="0"/>
        <w:spacing w:line="288" w:lineRule="auto"/>
        <w:jc w:val="center"/>
        <w:rPr>
          <w:rFonts w:ascii="Times New Roman" w:hAnsi="Times New Roman" w:eastAsia="楷体_GB2312" w:cs="Times New Roman"/>
          <w:color w:val="auto"/>
          <w:sz w:val="36"/>
          <w:szCs w:val="36"/>
        </w:rPr>
      </w:pPr>
      <w:r>
        <w:rPr>
          <w:rFonts w:ascii="Times New Roman" w:hAnsi="Times New Roman" w:eastAsia="楷体_GB2312" w:cs="Times New Roman"/>
          <w:color w:val="auto"/>
          <w:sz w:val="36"/>
          <w:szCs w:val="36"/>
        </w:rPr>
        <w:t>中华人民共和国生态环境部制</w:t>
      </w:r>
    </w:p>
    <w:p>
      <w:pPr>
        <w:rPr>
          <w:rFonts w:hint="eastAsia" w:ascii="Times New Roman" w:hAnsi="Times New Roman" w:cs="Times New Roman"/>
          <w:color w:val="auto"/>
          <w:lang w:eastAsia="zh-CN"/>
        </w:rPr>
        <w:sectPr>
          <w:footerReference r:id="rId3" w:type="default"/>
          <w:pgSz w:w="11906" w:h="16838"/>
          <w:pgMar w:top="1701" w:right="1531" w:bottom="1701" w:left="1531" w:header="851" w:footer="851" w:gutter="0"/>
          <w:pgBorders>
            <w:top w:val="none" w:sz="0" w:space="0"/>
            <w:left w:val="none" w:sz="0" w:space="0"/>
            <w:bottom w:val="none" w:sz="0" w:space="0"/>
            <w:right w:val="none" w:sz="0" w:space="0"/>
          </w:pgBorders>
          <w:lnNumType w:countBy="0" w:restart="continuous"/>
          <w:pgNumType w:fmt="decimal" w:start="1"/>
          <w:cols w:space="720" w:num="1"/>
          <w:docGrid w:linePitch="312" w:charSpace="0"/>
        </w:sectPr>
      </w:pPr>
    </w:p>
    <w:p>
      <w:pPr>
        <w:spacing w:beforeLines="50" w:afterLines="50"/>
        <w:jc w:val="center"/>
        <w:outlineLvl w:val="0"/>
      </w:pPr>
      <w:r>
        <w:drawing>
          <wp:inline distT="0" distB="0" distL="114300" distR="114300">
            <wp:extent cx="5612765" cy="7941310"/>
            <wp:effectExtent l="0" t="0" r="6985" b="254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17"/>
                    <a:stretch>
                      <a:fillRect/>
                    </a:stretch>
                  </pic:blipFill>
                  <pic:spPr>
                    <a:xfrm>
                      <a:off x="0" y="0"/>
                      <a:ext cx="5612765" cy="7941310"/>
                    </a:xfrm>
                    <a:prstGeom prst="rect">
                      <a:avLst/>
                    </a:prstGeom>
                    <a:noFill/>
                    <a:ln>
                      <a:noFill/>
                    </a:ln>
                  </pic:spPr>
                </pic:pic>
              </a:graphicData>
            </a:graphic>
          </wp:inline>
        </w:drawing>
      </w:r>
    </w:p>
    <w:p>
      <w:pPr>
        <w:spacing w:beforeLines="50" w:afterLines="50"/>
        <w:jc w:val="center"/>
        <w:outlineLvl w:val="0"/>
      </w:pPr>
    </w:p>
    <w:p>
      <w:pPr>
        <w:spacing w:beforeLines="50" w:afterLines="50"/>
        <w:jc w:val="center"/>
        <w:outlineLvl w:val="0"/>
      </w:pPr>
    </w:p>
    <w:p>
      <w:pPr>
        <w:spacing w:beforeLines="50" w:afterLines="50"/>
        <w:jc w:val="center"/>
        <w:outlineLvl w:val="0"/>
      </w:pPr>
    </w:p>
    <w:p>
      <w:pPr>
        <w:spacing w:beforeLines="50" w:afterLines="50"/>
        <w:jc w:val="center"/>
        <w:outlineLvl w:val="0"/>
        <w:sectPr>
          <w:footerReference r:id="rId4"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p>
    <w:p>
      <w:pPr>
        <w:spacing w:beforeLines="50" w:afterLines="50"/>
        <w:jc w:val="center"/>
        <w:outlineLvl w:val="0"/>
        <w:sectPr>
          <w:footerReference r:id="rId5"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5610225" cy="7945120"/>
            <wp:effectExtent l="0" t="0" r="9525" b="17780"/>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18"/>
                    <a:stretch>
                      <a:fillRect/>
                    </a:stretch>
                  </pic:blipFill>
                  <pic:spPr>
                    <a:xfrm>
                      <a:off x="0" y="0"/>
                      <a:ext cx="5610225" cy="7945120"/>
                    </a:xfrm>
                    <a:prstGeom prst="rect">
                      <a:avLst/>
                    </a:prstGeom>
                    <a:noFill/>
                    <a:ln>
                      <a:noFill/>
                    </a:ln>
                  </pic:spPr>
                </pic:pic>
              </a:graphicData>
            </a:graphic>
          </wp:inline>
        </w:drawing>
      </w:r>
    </w:p>
    <w:p>
      <w:pPr>
        <w:spacing w:beforeLines="50" w:afterLines="50"/>
        <w:jc w:val="center"/>
        <w:outlineLvl w:val="0"/>
        <w:sectPr>
          <w:footerReference r:id="rId6"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5612765" cy="7977505"/>
            <wp:effectExtent l="0" t="0" r="6985" b="444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19"/>
                    <a:stretch>
                      <a:fillRect/>
                    </a:stretch>
                  </pic:blipFill>
                  <pic:spPr>
                    <a:xfrm>
                      <a:off x="0" y="0"/>
                      <a:ext cx="5612765" cy="7977505"/>
                    </a:xfrm>
                    <a:prstGeom prst="rect">
                      <a:avLst/>
                    </a:prstGeom>
                    <a:noFill/>
                    <a:ln>
                      <a:noFill/>
                    </a:ln>
                  </pic:spPr>
                </pic:pic>
              </a:graphicData>
            </a:graphic>
          </wp:inline>
        </w:drawing>
      </w:r>
    </w:p>
    <w:p>
      <w:pPr>
        <w:spacing w:beforeLines="50" w:afterLines="50"/>
        <w:jc w:val="center"/>
        <w:outlineLvl w:val="0"/>
        <w:sectPr>
          <w:footerReference r:id="rId7"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5610225" cy="7945120"/>
            <wp:effectExtent l="0" t="0" r="9525" b="1778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20"/>
                    <a:stretch>
                      <a:fillRect/>
                    </a:stretch>
                  </pic:blipFill>
                  <pic:spPr>
                    <a:xfrm>
                      <a:off x="0" y="0"/>
                      <a:ext cx="5610225" cy="7945120"/>
                    </a:xfrm>
                    <a:prstGeom prst="rect">
                      <a:avLst/>
                    </a:prstGeom>
                    <a:noFill/>
                    <a:ln>
                      <a:noFill/>
                    </a:ln>
                  </pic:spPr>
                </pic:pic>
              </a:graphicData>
            </a:graphic>
          </wp:inline>
        </w:drawing>
      </w:r>
    </w:p>
    <w:p>
      <w:pPr>
        <w:spacing w:beforeLines="50" w:afterLines="50"/>
        <w:jc w:val="center"/>
        <w:outlineLvl w:val="0"/>
        <w:sectPr>
          <w:footerReference r:id="rId8"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5612765" cy="7970520"/>
            <wp:effectExtent l="0" t="0" r="6985" b="11430"/>
            <wp:docPr id="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
                    <pic:cNvPicPr>
                      <a:picLocks noChangeAspect="1"/>
                    </pic:cNvPicPr>
                  </pic:nvPicPr>
                  <pic:blipFill>
                    <a:blip r:embed="rId21"/>
                    <a:stretch>
                      <a:fillRect/>
                    </a:stretch>
                  </pic:blipFill>
                  <pic:spPr>
                    <a:xfrm>
                      <a:off x="0" y="0"/>
                      <a:ext cx="5612765" cy="7970520"/>
                    </a:xfrm>
                    <a:prstGeom prst="rect">
                      <a:avLst/>
                    </a:prstGeom>
                    <a:noFill/>
                    <a:ln>
                      <a:noFill/>
                    </a:ln>
                  </pic:spPr>
                </pic:pic>
              </a:graphicData>
            </a:graphic>
          </wp:inline>
        </w:drawing>
      </w:r>
    </w:p>
    <w:p>
      <w:pPr>
        <w:spacing w:beforeLines="50" w:afterLines="50"/>
        <w:jc w:val="center"/>
        <w:outlineLvl w:val="0"/>
        <w:sectPr>
          <w:footerReference r:id="rId9"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5613400" cy="7945755"/>
            <wp:effectExtent l="0" t="0" r="6350" b="1714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22"/>
                    <a:stretch>
                      <a:fillRect/>
                    </a:stretch>
                  </pic:blipFill>
                  <pic:spPr>
                    <a:xfrm>
                      <a:off x="0" y="0"/>
                      <a:ext cx="5613400" cy="7945755"/>
                    </a:xfrm>
                    <a:prstGeom prst="rect">
                      <a:avLst/>
                    </a:prstGeom>
                    <a:noFill/>
                    <a:ln>
                      <a:noFill/>
                    </a:ln>
                  </pic:spPr>
                </pic:pic>
              </a:graphicData>
            </a:graphic>
          </wp:inline>
        </w:drawing>
      </w:r>
    </w:p>
    <w:p>
      <w:pPr>
        <w:spacing w:beforeLines="50" w:afterLines="50"/>
        <w:jc w:val="center"/>
        <w:outlineLvl w:val="0"/>
        <w:sectPr>
          <w:footerReference r:id="rId10"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5610225" cy="7917815"/>
            <wp:effectExtent l="0" t="0" r="9525" b="698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23"/>
                    <a:stretch>
                      <a:fillRect/>
                    </a:stretch>
                  </pic:blipFill>
                  <pic:spPr>
                    <a:xfrm>
                      <a:off x="0" y="0"/>
                      <a:ext cx="5610225" cy="7917815"/>
                    </a:xfrm>
                    <a:prstGeom prst="rect">
                      <a:avLst/>
                    </a:prstGeom>
                    <a:noFill/>
                    <a:ln>
                      <a:noFill/>
                    </a:ln>
                  </pic:spPr>
                </pic:pic>
              </a:graphicData>
            </a:graphic>
          </wp:inline>
        </w:drawing>
      </w:r>
    </w:p>
    <w:p>
      <w:pPr>
        <w:spacing w:beforeLines="50" w:afterLines="50"/>
        <w:jc w:val="center"/>
        <w:outlineLvl w:val="0"/>
        <w:rPr>
          <w:rFonts w:ascii="Times New Roman" w:hAnsi="Times New Roman" w:eastAsia="黑体" w:cs="Times New Roman"/>
          <w:b/>
          <w:bCs/>
          <w:color w:val="auto"/>
          <w:sz w:val="30"/>
          <w:szCs w:val="30"/>
        </w:rPr>
      </w:pPr>
      <w:r>
        <w:rPr>
          <w:rFonts w:ascii="Times New Roman" w:hAnsi="Times New Roman" w:eastAsia="黑体" w:cs="Times New Roman"/>
          <w:b/>
          <w:bCs/>
          <w:color w:val="auto"/>
          <w:sz w:val="30"/>
          <w:szCs w:val="30"/>
        </w:rPr>
        <w:t>一、建设项目基本情况</w:t>
      </w:r>
    </w:p>
    <w:tbl>
      <w:tblPr>
        <w:tblStyle w:val="28"/>
        <w:tblpPr w:leftFromText="181" w:rightFromText="181" w:vertAnchor="text" w:horzAnchor="page" w:tblpX="1435" w:tblpY="1"/>
        <w:tblOverlap w:val="never"/>
        <w:tblW w:w="5029" w:type="pct"/>
        <w:tblInd w:w="8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76"/>
        <w:gridCol w:w="1718"/>
        <w:gridCol w:w="2095"/>
        <w:gridCol w:w="33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建设项目名称</w:t>
            </w:r>
          </w:p>
        </w:tc>
        <w:tc>
          <w:tcPr>
            <w:tcW w:w="7151" w:type="dxa"/>
            <w:gridSpan w:val="3"/>
            <w:vAlign w:val="center"/>
          </w:tcPr>
          <w:p>
            <w:pPr>
              <w:adjustRightInd w:val="0"/>
              <w:snapToGrid w:val="0"/>
              <w:spacing w:line="420" w:lineRule="exact"/>
              <w:jc w:val="center"/>
              <w:rPr>
                <w:rFonts w:hint="eastAsia" w:ascii="Times New Roman" w:hAnsi="Times New Roman" w:cs="Times New Roman"/>
                <w:b w:val="0"/>
                <w:bCs w:val="0"/>
                <w:color w:val="auto"/>
                <w:sz w:val="24"/>
                <w:lang w:eastAsia="zh-CN"/>
              </w:rPr>
            </w:pPr>
            <w:r>
              <w:rPr>
                <w:rFonts w:hint="eastAsia" w:cs="Times New Roman"/>
                <w:b w:val="0"/>
                <w:bCs w:val="0"/>
                <w:color w:val="auto"/>
                <w:sz w:val="24"/>
                <w:lang w:val="en-US" w:eastAsia="zh-CN"/>
              </w:rPr>
              <w:t>鲁山首创环保能源有限公司飞灰仓库扩建项目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项目代码</w:t>
            </w:r>
          </w:p>
        </w:tc>
        <w:tc>
          <w:tcPr>
            <w:tcW w:w="7151" w:type="dxa"/>
            <w:gridSpan w:val="3"/>
            <w:vAlign w:val="center"/>
          </w:tcPr>
          <w:p>
            <w:pPr>
              <w:adjustRightInd w:val="0"/>
              <w:snapToGrid w:val="0"/>
              <w:spacing w:line="420" w:lineRule="exact"/>
              <w:jc w:val="center"/>
              <w:rPr>
                <w:rFonts w:hint="default" w:ascii="Times New Roman" w:hAnsi="Times New Roman" w:cs="Times New Roman"/>
                <w:b w:val="0"/>
                <w:bCs w:val="0"/>
                <w:color w:val="auto"/>
                <w:sz w:val="24"/>
                <w:lang w:val="en-US" w:eastAsia="zh-CN"/>
              </w:rPr>
            </w:pPr>
            <w:r>
              <w:rPr>
                <w:rFonts w:hint="eastAsia" w:cs="Times New Roman"/>
                <w:b w:val="0"/>
                <w:bCs w:val="0"/>
                <w:color w:val="auto"/>
                <w:sz w:val="24"/>
                <w:highlight w:val="none"/>
                <w:lang w:val="en-US" w:eastAsia="zh-CN"/>
              </w:rPr>
              <w:t>2310-410423-04-01-586678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建设单位联系人</w:t>
            </w:r>
          </w:p>
        </w:tc>
        <w:tc>
          <w:tcPr>
            <w:tcW w:w="1720" w:type="dxa"/>
            <w:vAlign w:val="center"/>
          </w:tcPr>
          <w:p>
            <w:pPr>
              <w:adjustRightInd w:val="0"/>
              <w:snapToGrid w:val="0"/>
              <w:spacing w:line="420" w:lineRule="exact"/>
              <w:jc w:val="center"/>
              <w:rPr>
                <w:rFonts w:hint="default" w:ascii="Times New Roman" w:hAnsi="Times New Roman" w:eastAsia="宋体" w:cs="Times New Roman"/>
                <w:color w:val="auto"/>
                <w:sz w:val="24"/>
                <w:lang w:val="en-US" w:eastAsia="zh-CN"/>
              </w:rPr>
            </w:pPr>
            <w:r>
              <w:rPr>
                <w:rFonts w:hint="eastAsia" w:cs="Times New Roman"/>
                <w:b w:val="0"/>
                <w:bCs w:val="0"/>
                <w:color w:val="auto"/>
                <w:sz w:val="24"/>
                <w:lang w:val="en-US" w:eastAsia="zh-CN"/>
              </w:rPr>
              <w:t>张明远</w:t>
            </w:r>
          </w:p>
        </w:tc>
        <w:tc>
          <w:tcPr>
            <w:tcW w:w="2097" w:type="dxa"/>
            <w:vAlign w:val="center"/>
          </w:tcPr>
          <w:p>
            <w:pPr>
              <w:adjustRightInd w:val="0"/>
              <w:snapToGrid w:val="0"/>
              <w:spacing w:line="420" w:lineRule="exact"/>
              <w:jc w:val="center"/>
              <w:rPr>
                <w:rFonts w:ascii="Times New Roman" w:hAnsi="Times New Roman" w:cs="Times New Roman"/>
                <w:color w:val="auto"/>
                <w:sz w:val="24"/>
              </w:rPr>
            </w:pPr>
            <w:r>
              <w:rPr>
                <w:rFonts w:ascii="Times New Roman" w:hAnsi="Times New Roman" w:cs="Times New Roman"/>
                <w:b w:val="0"/>
                <w:bCs w:val="0"/>
                <w:color w:val="auto"/>
                <w:sz w:val="24"/>
              </w:rPr>
              <w:t>联系方式</w:t>
            </w:r>
          </w:p>
        </w:tc>
        <w:tc>
          <w:tcPr>
            <w:tcW w:w="3334" w:type="dxa"/>
            <w:vAlign w:val="center"/>
          </w:tcPr>
          <w:p>
            <w:pPr>
              <w:adjustRightInd w:val="0"/>
              <w:snapToGrid w:val="0"/>
              <w:spacing w:line="420" w:lineRule="exact"/>
              <w:jc w:val="center"/>
              <w:rPr>
                <w:rFonts w:hint="default" w:ascii="Times New Roman" w:hAnsi="Times New Roman" w:eastAsia="宋体" w:cs="Times New Roman"/>
                <w:color w:val="auto"/>
                <w:sz w:val="24"/>
                <w:lang w:val="en-US" w:eastAsia="zh-CN"/>
              </w:rPr>
            </w:pPr>
            <w:r>
              <w:rPr>
                <w:rFonts w:hint="eastAsia" w:cs="Times New Roman"/>
                <w:b w:val="0"/>
                <w:bCs w:val="0"/>
                <w:color w:val="auto"/>
                <w:sz w:val="24"/>
                <w:lang w:val="en-US" w:eastAsia="en-US"/>
              </w:rPr>
              <w:t>13333683315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建设地点</w:t>
            </w:r>
          </w:p>
        </w:tc>
        <w:tc>
          <w:tcPr>
            <w:tcW w:w="7151" w:type="dxa"/>
            <w:gridSpan w:val="3"/>
            <w:vAlign w:val="center"/>
          </w:tcPr>
          <w:p>
            <w:pPr>
              <w:adjustRightInd w:val="0"/>
              <w:snapToGrid w:val="0"/>
              <w:spacing w:line="420" w:lineRule="exact"/>
              <w:jc w:val="center"/>
              <w:rPr>
                <w:rFonts w:hint="eastAsia" w:ascii="Times New Roman" w:hAnsi="Times New Roman" w:eastAsia="宋体" w:cs="Times New Roman"/>
                <w:color w:val="auto"/>
                <w:sz w:val="24"/>
                <w:lang w:eastAsia="zh-CN"/>
              </w:rPr>
            </w:pPr>
            <w:r>
              <w:rPr>
                <w:color w:val="auto"/>
                <w:sz w:val="24"/>
                <w:szCs w:val="24"/>
                <w:u w:val="single"/>
              </w:rPr>
              <w:t xml:space="preserve">河南 </w:t>
            </w:r>
            <w:r>
              <w:rPr>
                <w:color w:val="auto"/>
                <w:sz w:val="24"/>
                <w:szCs w:val="24"/>
              </w:rPr>
              <w:t>省</w:t>
            </w:r>
            <w:r>
              <w:rPr>
                <w:rFonts w:hint="eastAsia"/>
                <w:color w:val="auto"/>
                <w:sz w:val="24"/>
                <w:szCs w:val="24"/>
              </w:rPr>
              <w:t xml:space="preserve">（自治区） </w:t>
            </w:r>
            <w:r>
              <w:rPr>
                <w:rFonts w:hint="eastAsia"/>
                <w:color w:val="auto"/>
                <w:sz w:val="24"/>
                <w:szCs w:val="24"/>
                <w:u w:val="single"/>
              </w:rPr>
              <w:t xml:space="preserve">平顶山 </w:t>
            </w:r>
            <w:r>
              <w:rPr>
                <w:color w:val="auto"/>
                <w:sz w:val="24"/>
                <w:szCs w:val="24"/>
              </w:rPr>
              <w:t>市</w:t>
            </w:r>
            <w:r>
              <w:rPr>
                <w:rFonts w:hint="eastAsia"/>
                <w:color w:val="auto"/>
                <w:sz w:val="24"/>
                <w:szCs w:val="24"/>
              </w:rPr>
              <w:t xml:space="preserve"> </w:t>
            </w:r>
            <w:r>
              <w:rPr>
                <w:rFonts w:hint="eastAsia" w:cs="Times New Roman"/>
                <w:color w:val="auto"/>
                <w:sz w:val="24"/>
                <w:szCs w:val="24"/>
                <w:u w:val="single"/>
                <w:lang w:val="en-US" w:eastAsia="zh-CN"/>
              </w:rPr>
              <w:t>鲁山</w:t>
            </w:r>
            <w:r>
              <w:rPr>
                <w:rFonts w:hint="eastAsia"/>
                <w:color w:val="auto"/>
                <w:sz w:val="24"/>
                <w:szCs w:val="24"/>
                <w:u w:val="single"/>
              </w:rPr>
              <w:t xml:space="preserve"> </w:t>
            </w:r>
            <w:r>
              <w:rPr>
                <w:rFonts w:hint="eastAsia"/>
                <w:color w:val="auto"/>
                <w:sz w:val="24"/>
                <w:szCs w:val="24"/>
              </w:rPr>
              <w:t>县（区）</w:t>
            </w:r>
            <w:r>
              <w:rPr>
                <w:rFonts w:hint="eastAsia" w:cs="Times New Roman"/>
                <w:color w:val="auto"/>
                <w:sz w:val="24"/>
                <w:szCs w:val="24"/>
                <w:u w:val="single"/>
                <w:lang w:val="en-US" w:eastAsia="zh-CN"/>
              </w:rPr>
              <w:t xml:space="preserve"> 张良镇姚吴程村四组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地理坐标</w:t>
            </w:r>
          </w:p>
        </w:tc>
        <w:tc>
          <w:tcPr>
            <w:tcW w:w="7151" w:type="dxa"/>
            <w:gridSpan w:val="3"/>
            <w:vAlign w:val="center"/>
          </w:tcPr>
          <w:p>
            <w:pPr>
              <w:spacing w:line="420" w:lineRule="exact"/>
              <w:jc w:val="center"/>
              <w:rPr>
                <w:rFonts w:ascii="Times New Roman" w:hAnsi="Times New Roman" w:cs="Times New Roman"/>
                <w:color w:val="auto"/>
                <w:sz w:val="24"/>
                <w:highlight w:val="yellow"/>
              </w:rPr>
            </w:pPr>
            <w:r>
              <w:rPr>
                <w:rFonts w:ascii="Times New Roman" w:hAnsi="Times New Roman" w:cs="Times New Roman"/>
                <w:color w:val="auto"/>
                <w:sz w:val="24"/>
                <w:highlight w:val="none"/>
              </w:rPr>
              <w:t>经度</w:t>
            </w:r>
            <w:r>
              <w:rPr>
                <w:rFonts w:ascii="Times New Roman" w:hAnsi="Times New Roman" w:cs="Times New Roman"/>
                <w:color w:val="auto"/>
                <w:sz w:val="24"/>
                <w:highlight w:val="none"/>
                <w:u w:val="single"/>
              </w:rPr>
              <w:t xml:space="preserve"> 11</w:t>
            </w:r>
            <w:r>
              <w:rPr>
                <w:rFonts w:hint="eastAsia" w:ascii="Times New Roman" w:hAnsi="Times New Roman" w:cs="Times New Roman"/>
                <w:color w:val="auto"/>
                <w:sz w:val="24"/>
                <w:highlight w:val="none"/>
                <w:u w:val="single"/>
                <w:lang w:val="en-US" w:eastAsia="zh-CN"/>
              </w:rPr>
              <w:t>3</w:t>
            </w:r>
            <w:r>
              <w:rPr>
                <w:rFonts w:ascii="Times New Roman" w:hAnsi="Times New Roman" w:cs="Times New Roman"/>
                <w:color w:val="auto"/>
                <w:sz w:val="24"/>
                <w:highlight w:val="none"/>
                <w:u w:val="single"/>
              </w:rPr>
              <w:t xml:space="preserve"> </w:t>
            </w:r>
            <w:r>
              <w:rPr>
                <w:rFonts w:ascii="Times New Roman" w:hAnsi="Times New Roman" w:cs="Times New Roman"/>
                <w:color w:val="auto"/>
                <w:sz w:val="24"/>
                <w:highlight w:val="none"/>
              </w:rPr>
              <w:t>度</w:t>
            </w:r>
            <w:r>
              <w:rPr>
                <w:rFonts w:ascii="Times New Roman" w:hAnsi="Times New Roman" w:cs="Times New Roman"/>
                <w:color w:val="auto"/>
                <w:sz w:val="24"/>
                <w:highlight w:val="none"/>
                <w:u w:val="single"/>
              </w:rPr>
              <w:t xml:space="preserve"> </w:t>
            </w:r>
            <w:r>
              <w:rPr>
                <w:rFonts w:hint="eastAsia" w:cs="Times New Roman"/>
                <w:color w:val="auto"/>
                <w:sz w:val="24"/>
                <w:highlight w:val="none"/>
                <w:u w:val="single"/>
                <w:lang w:val="en-US" w:eastAsia="zh-CN"/>
              </w:rPr>
              <w:t>01</w:t>
            </w:r>
            <w:r>
              <w:rPr>
                <w:rFonts w:ascii="Times New Roman" w:hAnsi="Times New Roman" w:cs="Times New Roman"/>
                <w:color w:val="auto"/>
                <w:sz w:val="24"/>
                <w:highlight w:val="none"/>
                <w:u w:val="single"/>
              </w:rPr>
              <w:t xml:space="preserve"> </w:t>
            </w:r>
            <w:r>
              <w:rPr>
                <w:rFonts w:ascii="Times New Roman" w:hAnsi="Times New Roman" w:cs="Times New Roman"/>
                <w:color w:val="auto"/>
                <w:sz w:val="24"/>
                <w:highlight w:val="none"/>
              </w:rPr>
              <w:t>分</w:t>
            </w:r>
            <w:r>
              <w:rPr>
                <w:rFonts w:ascii="Times New Roman" w:hAnsi="Times New Roman" w:cs="Times New Roman"/>
                <w:color w:val="auto"/>
                <w:sz w:val="24"/>
                <w:highlight w:val="none"/>
                <w:u w:val="single"/>
              </w:rPr>
              <w:t xml:space="preserve"> </w:t>
            </w:r>
            <w:r>
              <w:rPr>
                <w:rFonts w:hint="eastAsia" w:cs="Times New Roman"/>
                <w:color w:val="auto"/>
                <w:sz w:val="24"/>
                <w:highlight w:val="none"/>
                <w:u w:val="single"/>
                <w:lang w:val="en-US" w:eastAsia="zh-CN"/>
              </w:rPr>
              <w:t>84</w:t>
            </w:r>
            <w:r>
              <w:rPr>
                <w:rFonts w:hint="eastAsia" w:ascii="Times New Roman" w:hAnsi="Times New Roman" w:cs="Times New Roman"/>
                <w:color w:val="auto"/>
                <w:sz w:val="24"/>
                <w:highlight w:val="none"/>
                <w:u w:val="single"/>
                <w:lang w:val="en-US" w:eastAsia="zh-CN"/>
              </w:rPr>
              <w:t>.</w:t>
            </w:r>
            <w:r>
              <w:rPr>
                <w:rFonts w:hint="eastAsia" w:cs="Times New Roman"/>
                <w:color w:val="auto"/>
                <w:sz w:val="24"/>
                <w:highlight w:val="none"/>
                <w:u w:val="single"/>
                <w:lang w:val="en-US" w:eastAsia="zh-CN"/>
              </w:rPr>
              <w:t>876</w:t>
            </w:r>
            <w:r>
              <w:rPr>
                <w:rFonts w:ascii="Times New Roman" w:hAnsi="Times New Roman" w:cs="Times New Roman"/>
                <w:color w:val="auto"/>
                <w:sz w:val="24"/>
                <w:highlight w:val="none"/>
                <w:u w:val="single"/>
              </w:rPr>
              <w:t xml:space="preserve"> </w:t>
            </w:r>
            <w:r>
              <w:rPr>
                <w:rFonts w:ascii="Times New Roman" w:hAnsi="Times New Roman" w:cs="Times New Roman"/>
                <w:color w:val="auto"/>
                <w:sz w:val="24"/>
                <w:highlight w:val="none"/>
              </w:rPr>
              <w:t>秒，纬度</w:t>
            </w:r>
            <w:r>
              <w:rPr>
                <w:rFonts w:ascii="Times New Roman" w:hAnsi="Times New Roman" w:cs="Times New Roman"/>
                <w:color w:val="auto"/>
                <w:sz w:val="24"/>
                <w:highlight w:val="none"/>
                <w:u w:val="single"/>
              </w:rPr>
              <w:t xml:space="preserve"> 3</w:t>
            </w:r>
            <w:r>
              <w:rPr>
                <w:rFonts w:hint="eastAsia" w:ascii="Times New Roman" w:hAnsi="Times New Roman" w:cs="Times New Roman"/>
                <w:color w:val="auto"/>
                <w:sz w:val="24"/>
                <w:highlight w:val="none"/>
                <w:u w:val="single"/>
                <w:lang w:val="en-US" w:eastAsia="zh-CN"/>
              </w:rPr>
              <w:t>3</w:t>
            </w:r>
            <w:r>
              <w:rPr>
                <w:rFonts w:ascii="Times New Roman" w:hAnsi="Times New Roman" w:cs="Times New Roman"/>
                <w:color w:val="auto"/>
                <w:sz w:val="24"/>
                <w:highlight w:val="none"/>
                <w:u w:val="single"/>
              </w:rPr>
              <w:t xml:space="preserve"> </w:t>
            </w:r>
            <w:r>
              <w:rPr>
                <w:rFonts w:ascii="Times New Roman" w:hAnsi="Times New Roman" w:cs="Times New Roman"/>
                <w:color w:val="auto"/>
                <w:sz w:val="24"/>
                <w:highlight w:val="none"/>
              </w:rPr>
              <w:t>度</w:t>
            </w:r>
            <w:r>
              <w:rPr>
                <w:rFonts w:ascii="Times New Roman" w:hAnsi="Times New Roman" w:cs="Times New Roman"/>
                <w:color w:val="auto"/>
                <w:sz w:val="24"/>
                <w:highlight w:val="none"/>
                <w:u w:val="single"/>
              </w:rPr>
              <w:t xml:space="preserve"> </w:t>
            </w:r>
            <w:r>
              <w:rPr>
                <w:rFonts w:hint="eastAsia" w:cs="Times New Roman"/>
                <w:color w:val="auto"/>
                <w:sz w:val="24"/>
                <w:highlight w:val="none"/>
                <w:u w:val="single"/>
                <w:lang w:val="en-US" w:eastAsia="zh-CN"/>
              </w:rPr>
              <w:t>61</w:t>
            </w:r>
            <w:r>
              <w:rPr>
                <w:rFonts w:ascii="Times New Roman" w:hAnsi="Times New Roman" w:cs="Times New Roman"/>
                <w:color w:val="auto"/>
                <w:sz w:val="24"/>
                <w:highlight w:val="none"/>
                <w:u w:val="single"/>
              </w:rPr>
              <w:t xml:space="preserve"> </w:t>
            </w:r>
            <w:r>
              <w:rPr>
                <w:rFonts w:ascii="Times New Roman" w:hAnsi="Times New Roman" w:cs="Times New Roman"/>
                <w:color w:val="auto"/>
                <w:sz w:val="24"/>
                <w:highlight w:val="none"/>
              </w:rPr>
              <w:t>分</w:t>
            </w:r>
            <w:r>
              <w:rPr>
                <w:rFonts w:ascii="Times New Roman" w:hAnsi="Times New Roman" w:cs="Times New Roman"/>
                <w:color w:val="auto"/>
                <w:sz w:val="24"/>
                <w:highlight w:val="none"/>
                <w:u w:val="single"/>
              </w:rPr>
              <w:t xml:space="preserve"> </w:t>
            </w:r>
            <w:r>
              <w:rPr>
                <w:rFonts w:hint="eastAsia" w:cs="Times New Roman"/>
                <w:color w:val="auto"/>
                <w:sz w:val="24"/>
                <w:highlight w:val="none"/>
                <w:u w:val="single"/>
                <w:lang w:val="en-US" w:eastAsia="zh-CN"/>
              </w:rPr>
              <w:t>39</w:t>
            </w:r>
            <w:r>
              <w:rPr>
                <w:rFonts w:hint="eastAsia" w:ascii="Times New Roman" w:hAnsi="Times New Roman" w:cs="Times New Roman"/>
                <w:color w:val="auto"/>
                <w:sz w:val="24"/>
                <w:highlight w:val="none"/>
                <w:u w:val="single"/>
                <w:lang w:val="en-US" w:eastAsia="zh-CN"/>
              </w:rPr>
              <w:t>.</w:t>
            </w:r>
            <w:r>
              <w:rPr>
                <w:rFonts w:hint="eastAsia" w:cs="Times New Roman"/>
                <w:color w:val="auto"/>
                <w:sz w:val="24"/>
                <w:highlight w:val="none"/>
                <w:u w:val="single"/>
                <w:lang w:val="en-US" w:eastAsia="zh-CN"/>
              </w:rPr>
              <w:t>214</w:t>
            </w:r>
            <w:r>
              <w:rPr>
                <w:rFonts w:ascii="Times New Roman" w:hAnsi="Times New Roman" w:cs="Times New Roman"/>
                <w:color w:val="auto"/>
                <w:sz w:val="24"/>
                <w:highlight w:val="none"/>
                <w:u w:val="single"/>
              </w:rPr>
              <w:t xml:space="preserve"> </w:t>
            </w:r>
            <w:r>
              <w:rPr>
                <w:rFonts w:ascii="Times New Roman" w:hAnsi="Times New Roman" w:cs="Times New Roman"/>
                <w:color w:val="auto"/>
                <w:sz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国民经济</w:t>
            </w:r>
          </w:p>
          <w:p>
            <w:pPr>
              <w:adjustRightInd w:val="0"/>
              <w:snapToGrid w:val="0"/>
              <w:spacing w:line="420" w:lineRule="exact"/>
              <w:jc w:val="center"/>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行业类别</w:t>
            </w:r>
          </w:p>
        </w:tc>
        <w:tc>
          <w:tcPr>
            <w:tcW w:w="1720" w:type="dxa"/>
            <w:vAlign w:val="center"/>
          </w:tcPr>
          <w:p>
            <w:pPr>
              <w:adjustRightInd w:val="0"/>
              <w:snapToGrid w:val="0"/>
              <w:spacing w:line="240" w:lineRule="auto"/>
              <w:jc w:val="center"/>
              <w:rPr>
                <w:rFonts w:hint="default" w:ascii="Times New Roman" w:hAnsi="Times New Roman" w:eastAsia="宋体" w:cs="Times New Roman"/>
                <w:color w:val="auto"/>
                <w:sz w:val="24"/>
                <w:highlight w:val="none"/>
                <w:lang w:val="en-US" w:eastAsia="zh-CN"/>
              </w:rPr>
            </w:pPr>
            <w:r>
              <w:rPr>
                <w:rFonts w:hint="eastAsia" w:cs="Times New Roman"/>
                <w:color w:val="auto"/>
                <w:kern w:val="0"/>
                <w:sz w:val="24"/>
                <w:szCs w:val="24"/>
                <w:highlight w:val="none"/>
                <w:lang w:val="en-US" w:eastAsia="zh-CN"/>
              </w:rPr>
              <w:t>F5820其他仓储</w:t>
            </w:r>
          </w:p>
        </w:tc>
        <w:tc>
          <w:tcPr>
            <w:tcW w:w="2097" w:type="dxa"/>
            <w:vAlign w:val="center"/>
          </w:tcPr>
          <w:p>
            <w:pPr>
              <w:adjustRightInd w:val="0"/>
              <w:snapToGrid w:val="0"/>
              <w:spacing w:line="420" w:lineRule="exact"/>
              <w:jc w:val="center"/>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建设项目</w:t>
            </w:r>
          </w:p>
          <w:p>
            <w:pPr>
              <w:adjustRightInd w:val="0"/>
              <w:snapToGrid w:val="0"/>
              <w:spacing w:line="420" w:lineRule="exact"/>
              <w:jc w:val="center"/>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行业类别</w:t>
            </w:r>
          </w:p>
        </w:tc>
        <w:tc>
          <w:tcPr>
            <w:tcW w:w="3334" w:type="dxa"/>
            <w:vAlign w:val="center"/>
          </w:tcPr>
          <w:p>
            <w:pPr>
              <w:adjustRightInd w:val="0"/>
              <w:snapToGrid w:val="0"/>
              <w:spacing w:line="240" w:lineRule="auto"/>
              <w:jc w:val="center"/>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五十三、装卸搬运和仓储业 59</w:t>
            </w:r>
            <w:r>
              <w:rPr>
                <w:rFonts w:hint="eastAsia" w:ascii="Times New Roman" w:hAnsi="Times New Roman" w:eastAsia="宋体" w:cs="Times New Roman"/>
                <w:color w:val="auto"/>
                <w:sz w:val="24"/>
                <w:highlight w:val="none"/>
                <w:u w:val="none"/>
                <w:lang w:val="en-US" w:eastAsia="zh-CN"/>
              </w:rPr>
              <w:t xml:space="preserve"> </w:t>
            </w:r>
            <w:r>
              <w:rPr>
                <w:rFonts w:hint="eastAsia" w:cs="Times New Roman"/>
                <w:color w:val="auto"/>
                <w:sz w:val="24"/>
                <w:highlight w:val="none"/>
                <w:u w:val="none"/>
                <w:lang w:val="en-US" w:eastAsia="zh-CN"/>
              </w:rPr>
              <w:t>-149.危险品仓储 594（不</w:t>
            </w:r>
          </w:p>
          <w:p>
            <w:pPr>
              <w:adjustRightInd w:val="0"/>
              <w:snapToGrid w:val="0"/>
              <w:spacing w:line="240" w:lineRule="auto"/>
              <w:jc w:val="center"/>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含加油站的油库；不</w:t>
            </w:r>
          </w:p>
          <w:p>
            <w:pPr>
              <w:adjustRightInd w:val="0"/>
              <w:snapToGrid w:val="0"/>
              <w:spacing w:line="240" w:lineRule="auto"/>
              <w:jc w:val="center"/>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含加气站的气库）-其他（含有毒、有害、危险品</w:t>
            </w:r>
          </w:p>
          <w:p>
            <w:pPr>
              <w:adjustRightInd w:val="0"/>
              <w:snapToGrid w:val="0"/>
              <w:spacing w:line="240" w:lineRule="auto"/>
              <w:jc w:val="center"/>
              <w:rPr>
                <w:rFonts w:hint="default" w:ascii="Times New Roman" w:hAnsi="Times New Roman" w:cs="Times New Roman"/>
                <w:color w:val="auto"/>
                <w:sz w:val="24"/>
                <w:lang w:val="en-US"/>
              </w:rPr>
            </w:pPr>
            <w:r>
              <w:rPr>
                <w:rFonts w:hint="eastAsia" w:cs="Times New Roman"/>
                <w:color w:val="auto"/>
                <w:sz w:val="24"/>
                <w:highlight w:val="none"/>
                <w:u w:val="none"/>
                <w:lang w:val="en-US" w:eastAsia="zh-CN"/>
              </w:rPr>
              <w:t xml:space="preserve">的仓储；含液化天然气库）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建设性质</w:t>
            </w:r>
          </w:p>
        </w:tc>
        <w:tc>
          <w:tcPr>
            <w:tcW w:w="1720" w:type="dxa"/>
            <w:vAlign w:val="center"/>
          </w:tcPr>
          <w:p>
            <w:pPr>
              <w:spacing w:line="420" w:lineRule="exact"/>
              <w:jc w:val="left"/>
              <w:rPr>
                <w:rFonts w:ascii="Times New Roman" w:hAnsi="Times New Roman" w:eastAsia="宋体" w:cs="Times New Roman"/>
                <w:color w:val="auto"/>
                <w:sz w:val="24"/>
                <w:szCs w:val="24"/>
              </w:rPr>
            </w:pPr>
            <w:r>
              <w:rPr>
                <w:rFonts w:hint="eastAsia" w:ascii="Times New Roman" w:hAnsi="Times New Roman" w:cs="Times New Roman"/>
                <w:color w:val="auto"/>
                <w:sz w:val="24"/>
                <w:lang w:eastAsia="zh-CN"/>
              </w:rPr>
              <w:sym w:font="Wingdings 2" w:char="00A3"/>
            </w:r>
            <w:r>
              <w:rPr>
                <w:rFonts w:ascii="Times New Roman" w:hAnsi="Times New Roman" w:eastAsia="宋体" w:cs="Times New Roman"/>
                <w:color w:val="auto"/>
                <w:sz w:val="24"/>
                <w:szCs w:val="24"/>
              </w:rPr>
              <w:t>新建（迁建）</w:t>
            </w:r>
          </w:p>
          <w:p>
            <w:pPr>
              <w:spacing w:line="420" w:lineRule="exact"/>
              <w:jc w:val="left"/>
              <w:rPr>
                <w:rFonts w:ascii="Times New Roman" w:hAnsi="Times New Roman" w:eastAsia="宋体" w:cs="Times New Roman"/>
                <w:color w:val="auto"/>
                <w:sz w:val="24"/>
                <w:szCs w:val="24"/>
              </w:rPr>
            </w:pPr>
            <w:r>
              <w:rPr>
                <w:rFonts w:hint="eastAsia" w:cs="Times New Roman"/>
                <w:color w:val="auto"/>
                <w:sz w:val="24"/>
                <w:lang w:eastAsia="zh-CN"/>
              </w:rPr>
              <w:t>□</w:t>
            </w:r>
            <w:r>
              <w:rPr>
                <w:rFonts w:ascii="Times New Roman" w:hAnsi="Times New Roman" w:eastAsia="宋体" w:cs="Times New Roman"/>
                <w:color w:val="auto"/>
                <w:sz w:val="24"/>
                <w:szCs w:val="24"/>
              </w:rPr>
              <w:t>改建</w:t>
            </w:r>
          </w:p>
          <w:p>
            <w:pPr>
              <w:spacing w:line="420" w:lineRule="exact"/>
              <w:jc w:val="left"/>
              <w:rPr>
                <w:rFonts w:ascii="Times New Roman" w:hAnsi="Times New Roman" w:eastAsia="宋体" w:cs="Times New Roman"/>
                <w:color w:val="auto"/>
                <w:sz w:val="24"/>
                <w:szCs w:val="24"/>
              </w:rPr>
            </w:pPr>
            <w:r>
              <w:rPr>
                <w:rFonts w:hint="eastAsia" w:ascii="Times New Roman" w:hAnsi="Times New Roman" w:cs="Times New Roman"/>
                <w:color w:val="auto"/>
                <w:sz w:val="24"/>
                <w:lang w:eastAsia="zh-CN"/>
              </w:rPr>
              <w:sym w:font="Wingdings 2" w:char="0052"/>
            </w:r>
            <w:r>
              <w:rPr>
                <w:rFonts w:ascii="Times New Roman" w:hAnsi="Times New Roman" w:eastAsia="宋体" w:cs="Times New Roman"/>
                <w:color w:val="auto"/>
                <w:sz w:val="24"/>
                <w:szCs w:val="24"/>
              </w:rPr>
              <w:t>扩建</w:t>
            </w:r>
          </w:p>
          <w:p>
            <w:pPr>
              <w:spacing w:line="420" w:lineRule="exact"/>
              <w:jc w:val="left"/>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ascii="Times New Roman" w:hAnsi="Times New Roman" w:eastAsia="宋体" w:cs="Times New Roman"/>
                <w:color w:val="auto"/>
                <w:sz w:val="24"/>
                <w:szCs w:val="24"/>
              </w:rPr>
              <w:t>技术改造</w:t>
            </w:r>
          </w:p>
        </w:tc>
        <w:tc>
          <w:tcPr>
            <w:tcW w:w="2097" w:type="dxa"/>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建设项目</w:t>
            </w:r>
          </w:p>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申报情形</w:t>
            </w:r>
          </w:p>
        </w:tc>
        <w:tc>
          <w:tcPr>
            <w:tcW w:w="3334" w:type="dxa"/>
            <w:vAlign w:val="center"/>
          </w:tcPr>
          <w:p>
            <w:pPr>
              <w:spacing w:line="420" w:lineRule="exact"/>
              <w:jc w:val="left"/>
              <w:rPr>
                <w:rFonts w:ascii="Times New Roman" w:hAnsi="Times New Roman" w:cs="Times New Roman"/>
                <w:color w:val="auto"/>
                <w:sz w:val="24"/>
              </w:rPr>
            </w:pPr>
            <w:r>
              <w:rPr>
                <w:rFonts w:hint="eastAsia" w:ascii="Times New Roman" w:hAnsi="Times New Roman" w:cs="Times New Roman"/>
                <w:color w:val="auto"/>
                <w:sz w:val="24"/>
                <w:lang w:eastAsia="zh-CN"/>
              </w:rPr>
              <w:sym w:font="Wingdings 2" w:char="0052"/>
            </w:r>
            <w:r>
              <w:rPr>
                <w:rFonts w:ascii="Times New Roman" w:hAnsi="Times New Roman" w:cs="Times New Roman"/>
                <w:color w:val="auto"/>
                <w:sz w:val="24"/>
              </w:rPr>
              <w:t xml:space="preserve">首次申报项目             </w:t>
            </w:r>
          </w:p>
          <w:p>
            <w:pPr>
              <w:spacing w:line="420" w:lineRule="exact"/>
              <w:jc w:val="left"/>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ascii="Times New Roman" w:hAnsi="Times New Roman" w:cs="Times New Roman"/>
                <w:color w:val="auto"/>
                <w:sz w:val="24"/>
              </w:rPr>
              <w:t>不予批准后再次申报项目</w:t>
            </w:r>
          </w:p>
          <w:p>
            <w:pPr>
              <w:spacing w:line="420" w:lineRule="exact"/>
              <w:jc w:val="left"/>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ascii="Times New Roman" w:hAnsi="Times New Roman" w:cs="Times New Roman"/>
                <w:color w:val="auto"/>
                <w:sz w:val="24"/>
              </w:rPr>
              <w:t xml:space="preserve">超五年重新审核项目     </w:t>
            </w:r>
          </w:p>
          <w:p>
            <w:pPr>
              <w:spacing w:line="420" w:lineRule="exact"/>
              <w:jc w:val="left"/>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ascii="Times New Roman" w:hAnsi="Times New Roman" w:cs="Times New Roman"/>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项目审批（核准/备案）部门（选填）</w:t>
            </w:r>
          </w:p>
        </w:tc>
        <w:tc>
          <w:tcPr>
            <w:tcW w:w="1720" w:type="dxa"/>
            <w:vAlign w:val="center"/>
          </w:tcPr>
          <w:p>
            <w:pPr>
              <w:adjustRightInd w:val="0"/>
              <w:snapToGrid w:val="0"/>
              <w:spacing w:line="420" w:lineRule="exact"/>
              <w:jc w:val="center"/>
              <w:rPr>
                <w:rFonts w:hint="eastAsia" w:ascii="Times New Roman" w:hAnsi="Times New Roman" w:eastAsia="宋体" w:cs="Times New Roman"/>
                <w:color w:val="auto"/>
                <w:sz w:val="24"/>
                <w:lang w:eastAsia="zh-CN"/>
              </w:rPr>
            </w:pPr>
            <w:r>
              <w:rPr>
                <w:rFonts w:hint="eastAsia" w:cs="Times New Roman"/>
                <w:color w:val="auto"/>
                <w:sz w:val="24"/>
                <w:lang w:val="en-US" w:eastAsia="zh-CN"/>
              </w:rPr>
              <w:t>鲁山县发展和改革委员会</w:t>
            </w:r>
          </w:p>
        </w:tc>
        <w:tc>
          <w:tcPr>
            <w:tcW w:w="2097" w:type="dxa"/>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项目审批（核准/</w:t>
            </w:r>
          </w:p>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备案）文号（选填）</w:t>
            </w:r>
          </w:p>
        </w:tc>
        <w:tc>
          <w:tcPr>
            <w:tcW w:w="3334" w:type="dxa"/>
            <w:vAlign w:val="center"/>
          </w:tcPr>
          <w:p>
            <w:pPr>
              <w:adjustRightInd w:val="0"/>
              <w:snapToGrid w:val="0"/>
              <w:spacing w:line="420" w:lineRule="exact"/>
              <w:jc w:val="center"/>
              <w:rPr>
                <w:rFonts w:ascii="Times New Roman" w:hAnsi="Times New Roman" w:cs="Times New Roman"/>
                <w:color w:val="auto"/>
                <w:sz w:val="24"/>
              </w:rPr>
            </w:pPr>
            <w:r>
              <w:rPr>
                <w:rFonts w:hint="eastAsia" w:ascii="Times New Roman" w:hAnsi="Times New Roman" w:cs="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8"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总投资（万元）</w:t>
            </w:r>
          </w:p>
        </w:tc>
        <w:tc>
          <w:tcPr>
            <w:tcW w:w="1720" w:type="dxa"/>
            <w:vAlign w:val="center"/>
          </w:tcPr>
          <w:p>
            <w:pPr>
              <w:adjustRightInd w:val="0"/>
              <w:snapToGrid w:val="0"/>
              <w:spacing w:line="420" w:lineRule="exact"/>
              <w:jc w:val="center"/>
              <w:rPr>
                <w:rFonts w:hint="default" w:ascii="Times New Roman" w:hAnsi="Times New Roman" w:eastAsia="宋体" w:cs="Times New Roman"/>
                <w:color w:val="auto"/>
                <w:sz w:val="24"/>
                <w:lang w:val="en-US" w:eastAsia="zh-CN"/>
              </w:rPr>
            </w:pPr>
            <w:r>
              <w:rPr>
                <w:rFonts w:hint="eastAsia" w:cs="Times New Roman"/>
                <w:color w:val="auto"/>
                <w:sz w:val="24"/>
                <w:highlight w:val="none"/>
                <w:lang w:val="en-US" w:eastAsia="zh-CN"/>
              </w:rPr>
              <w:t>60</w:t>
            </w:r>
          </w:p>
        </w:tc>
        <w:tc>
          <w:tcPr>
            <w:tcW w:w="2097"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highlight w:val="none"/>
              </w:rPr>
              <w:t>环保投资（万元）</w:t>
            </w:r>
          </w:p>
        </w:tc>
        <w:tc>
          <w:tcPr>
            <w:tcW w:w="3334" w:type="dxa"/>
            <w:vAlign w:val="center"/>
          </w:tcPr>
          <w:p>
            <w:pPr>
              <w:adjustRightInd w:val="0"/>
              <w:snapToGrid w:val="0"/>
              <w:spacing w:line="420" w:lineRule="exact"/>
              <w:jc w:val="center"/>
              <w:rPr>
                <w:rFonts w:hint="default" w:ascii="Times New Roman" w:hAnsi="Times New Roman" w:eastAsia="宋体" w:cs="Times New Roman"/>
                <w:color w:val="auto"/>
                <w:sz w:val="24"/>
                <w:lang w:val="en-US" w:eastAsia="zh-CN"/>
              </w:rPr>
            </w:pPr>
            <w:r>
              <w:rPr>
                <w:rFonts w:hint="eastAsia" w:cs="Times New Roman"/>
                <w:b w:val="0"/>
                <w:bCs w:val="0"/>
                <w:color w:val="auto"/>
                <w:sz w:val="24"/>
                <w:highlight w:val="none"/>
                <w:u w:val="none"/>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环保投资占比（%）</w:t>
            </w:r>
          </w:p>
        </w:tc>
        <w:tc>
          <w:tcPr>
            <w:tcW w:w="1720" w:type="dxa"/>
            <w:vAlign w:val="center"/>
          </w:tcPr>
          <w:p>
            <w:pPr>
              <w:adjustRightInd w:val="0"/>
              <w:snapToGrid w:val="0"/>
              <w:spacing w:line="420" w:lineRule="exact"/>
              <w:jc w:val="center"/>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83.33</w:t>
            </w:r>
          </w:p>
        </w:tc>
        <w:tc>
          <w:tcPr>
            <w:tcW w:w="2097"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施工工期</w:t>
            </w:r>
          </w:p>
        </w:tc>
        <w:tc>
          <w:tcPr>
            <w:tcW w:w="3334" w:type="dxa"/>
            <w:vAlign w:val="center"/>
          </w:tcPr>
          <w:p>
            <w:pPr>
              <w:adjustRightInd w:val="0"/>
              <w:snapToGrid w:val="0"/>
              <w:spacing w:line="420" w:lineRule="exact"/>
              <w:jc w:val="center"/>
              <w:rPr>
                <w:rFonts w:ascii="Times New Roman" w:hAnsi="Times New Roman" w:cs="Times New Roman"/>
                <w:color w:val="auto"/>
                <w:sz w:val="24"/>
                <w:highlight w:val="none"/>
              </w:rPr>
            </w:pPr>
            <w:r>
              <w:rPr>
                <w:rFonts w:hint="eastAsia" w:cs="Times New Roman"/>
                <w:color w:val="auto"/>
                <w:sz w:val="24"/>
                <w:highlight w:val="none"/>
                <w:lang w:val="en-US" w:eastAsia="zh-CN"/>
              </w:rPr>
              <w:t>1</w:t>
            </w:r>
            <w:r>
              <w:rPr>
                <w:rFonts w:hint="eastAsia" w:ascii="Times New Roman" w:hAnsi="Times New Roman" w:cs="Times New Roman"/>
                <w:color w:val="auto"/>
                <w:sz w:val="24"/>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778"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z w:val="24"/>
              </w:rPr>
              <w:t>是否开工建设</w:t>
            </w:r>
          </w:p>
        </w:tc>
        <w:tc>
          <w:tcPr>
            <w:tcW w:w="1720" w:type="dxa"/>
            <w:vAlign w:val="center"/>
          </w:tcPr>
          <w:p>
            <w:pPr>
              <w:adjustRightInd w:val="0"/>
              <w:snapToGrid w:val="0"/>
              <w:spacing w:line="420" w:lineRule="exact"/>
              <w:rPr>
                <w:rFonts w:ascii="Times New Roman" w:hAnsi="Times New Roman" w:cs="Times New Roman"/>
                <w:color w:val="auto"/>
                <w:sz w:val="24"/>
              </w:rPr>
            </w:pPr>
            <w:r>
              <w:rPr>
                <w:rFonts w:hint="eastAsia" w:ascii="Times New Roman" w:hAnsi="Times New Roman" w:cs="Times New Roman"/>
                <w:color w:val="auto"/>
                <w:sz w:val="24"/>
                <w:lang w:eastAsia="zh-CN"/>
              </w:rPr>
              <w:sym w:font="Wingdings 2" w:char="0052"/>
            </w:r>
            <w:r>
              <w:rPr>
                <w:rFonts w:ascii="Times New Roman" w:hAnsi="Times New Roman" w:cs="Times New Roman"/>
                <w:color w:val="auto"/>
                <w:sz w:val="24"/>
              </w:rPr>
              <w:t>否</w:t>
            </w:r>
          </w:p>
          <w:p>
            <w:pPr>
              <w:adjustRightInd w:val="0"/>
              <w:snapToGrid w:val="0"/>
              <w:spacing w:line="420" w:lineRule="exact"/>
              <w:rPr>
                <w:rFonts w:ascii="Times New Roman" w:hAnsi="Times New Roman" w:cs="Times New Roman"/>
                <w:color w:val="auto"/>
                <w:sz w:val="24"/>
              </w:rPr>
            </w:pPr>
            <w:r>
              <w:rPr>
                <w:rFonts w:hint="eastAsia" w:ascii="Times New Roman" w:hAnsi="Times New Roman" w:cs="Times New Roman"/>
                <w:color w:val="auto"/>
                <w:sz w:val="24"/>
                <w:lang w:eastAsia="zh-CN"/>
              </w:rPr>
              <w:t>□</w:t>
            </w:r>
            <w:r>
              <w:rPr>
                <w:rFonts w:ascii="Times New Roman" w:hAnsi="Times New Roman" w:cs="Times New Roman"/>
                <w:color w:val="auto"/>
                <w:sz w:val="24"/>
              </w:rPr>
              <w:t>是：</w:t>
            </w:r>
          </w:p>
        </w:tc>
        <w:tc>
          <w:tcPr>
            <w:tcW w:w="2097" w:type="dxa"/>
            <w:tcMar>
              <w:top w:w="16" w:type="dxa"/>
              <w:left w:w="16" w:type="dxa"/>
              <w:right w:w="16" w:type="dxa"/>
            </w:tcMar>
            <w:vAlign w:val="center"/>
          </w:tcPr>
          <w:p>
            <w:pPr>
              <w:adjustRightInd w:val="0"/>
              <w:snapToGrid w:val="0"/>
              <w:spacing w:line="420" w:lineRule="exact"/>
              <w:jc w:val="center"/>
              <w:rPr>
                <w:rFonts w:ascii="Times New Roman" w:hAnsi="Times New Roman" w:cs="Times New Roman"/>
                <w:b w:val="0"/>
                <w:bCs w:val="0"/>
                <w:color w:val="auto"/>
                <w:spacing w:val="-6"/>
                <w:sz w:val="24"/>
              </w:rPr>
            </w:pPr>
            <w:r>
              <w:rPr>
                <w:rFonts w:ascii="Times New Roman" w:hAnsi="Times New Roman" w:cs="Times New Roman"/>
                <w:b w:val="0"/>
                <w:bCs w:val="0"/>
                <w:color w:val="auto"/>
                <w:spacing w:val="-6"/>
                <w:sz w:val="24"/>
              </w:rPr>
              <w:t>用地（用海）</w:t>
            </w:r>
          </w:p>
          <w:p>
            <w:pPr>
              <w:adjustRightInd w:val="0"/>
              <w:snapToGrid w:val="0"/>
              <w:spacing w:line="420" w:lineRule="exact"/>
              <w:jc w:val="center"/>
              <w:rPr>
                <w:rFonts w:ascii="Times New Roman" w:hAnsi="Times New Roman" w:cs="Times New Roman"/>
                <w:b w:val="0"/>
                <w:bCs w:val="0"/>
                <w:color w:val="auto"/>
                <w:sz w:val="24"/>
              </w:rPr>
            </w:pPr>
            <w:r>
              <w:rPr>
                <w:rFonts w:ascii="Times New Roman" w:hAnsi="Times New Roman" w:cs="Times New Roman"/>
                <w:b w:val="0"/>
                <w:bCs w:val="0"/>
                <w:color w:val="auto"/>
                <w:spacing w:val="-6"/>
                <w:sz w:val="24"/>
              </w:rPr>
              <w:t>面积（m</w:t>
            </w:r>
            <w:r>
              <w:rPr>
                <w:rFonts w:ascii="Times New Roman" w:hAnsi="Times New Roman" w:cs="Times New Roman"/>
                <w:b w:val="0"/>
                <w:bCs w:val="0"/>
                <w:color w:val="auto"/>
                <w:spacing w:val="-6"/>
                <w:sz w:val="24"/>
                <w:vertAlign w:val="superscript"/>
              </w:rPr>
              <w:t>2</w:t>
            </w:r>
            <w:r>
              <w:rPr>
                <w:rFonts w:ascii="Times New Roman" w:hAnsi="Times New Roman" w:cs="Times New Roman"/>
                <w:b w:val="0"/>
                <w:bCs w:val="0"/>
                <w:color w:val="auto"/>
                <w:spacing w:val="-6"/>
                <w:sz w:val="24"/>
              </w:rPr>
              <w:t>）</w:t>
            </w:r>
          </w:p>
        </w:tc>
        <w:tc>
          <w:tcPr>
            <w:tcW w:w="3334" w:type="dxa"/>
            <w:vAlign w:val="center"/>
          </w:tcPr>
          <w:p>
            <w:pPr>
              <w:adjustRightInd w:val="0"/>
              <w:snapToGrid w:val="0"/>
              <w:spacing w:line="420" w:lineRule="exact"/>
              <w:jc w:val="center"/>
              <w:rPr>
                <w:rFonts w:hint="default" w:ascii="Times New Roman" w:hAnsi="Times New Roman" w:eastAsia="宋体" w:cs="Times New Roman"/>
                <w:color w:val="auto"/>
                <w:sz w:val="24"/>
                <w:lang w:val="en-US" w:eastAsia="zh-CN"/>
              </w:rPr>
            </w:pPr>
            <w:r>
              <w:rPr>
                <w:rFonts w:hint="eastAsia" w:cs="Times New Roman"/>
                <w:color w:val="auto"/>
                <w:sz w:val="24"/>
                <w:highlight w:val="none"/>
                <w:u w:val="none"/>
                <w:lang w:val="en-US" w:eastAsia="zh-CN"/>
              </w:rPr>
              <w:t>4200（租用</w:t>
            </w:r>
            <w:r>
              <w:rPr>
                <w:rFonts w:hint="eastAsia" w:ascii="Times New Roman" w:hAnsi="Times New Roman" w:eastAsia="宋体" w:cs="Times New Roman"/>
                <w:color w:val="auto"/>
                <w:sz w:val="24"/>
                <w:szCs w:val="24"/>
                <w:lang w:val="en-US" w:eastAsia="zh-CN"/>
              </w:rPr>
              <w:t>鲁山首创生物质能源有限公司现有</w:t>
            </w:r>
            <w:r>
              <w:rPr>
                <w:rFonts w:hint="eastAsia" w:cs="Times New Roman"/>
                <w:b w:val="0"/>
                <w:bCs w:val="0"/>
                <w:color w:val="auto"/>
                <w:sz w:val="24"/>
                <w:szCs w:val="24"/>
                <w:u w:val="none"/>
                <w:lang w:val="en-US" w:eastAsia="zh-CN"/>
              </w:rPr>
              <w:t>生物质料棚</w:t>
            </w:r>
            <w:r>
              <w:rPr>
                <w:rFonts w:hint="eastAsia" w:cs="Times New Roman"/>
                <w:color w:val="auto"/>
                <w:sz w:val="24"/>
                <w:highlight w:val="none"/>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778" w:type="dxa"/>
            <w:vAlign w:val="center"/>
          </w:tcPr>
          <w:p>
            <w:pPr>
              <w:autoSpaceDE w:val="0"/>
              <w:autoSpaceDN w:val="0"/>
              <w:adjustRightInd w:val="0"/>
              <w:snapToGrid w:val="0"/>
              <w:spacing w:line="420" w:lineRule="exact"/>
              <w:jc w:val="center"/>
              <w:rPr>
                <w:rFonts w:ascii="Times New Roman" w:hAnsi="Times New Roman" w:cs="Times New Roman"/>
                <w:b/>
                <w:bCs/>
                <w:color w:val="auto"/>
                <w:kern w:val="0"/>
                <w:sz w:val="24"/>
              </w:rPr>
            </w:pPr>
            <w:r>
              <w:rPr>
                <w:rFonts w:ascii="Times New Roman" w:hAnsi="Times New Roman" w:cs="Times New Roman"/>
                <w:b w:val="0"/>
                <w:bCs w:val="0"/>
                <w:color w:val="auto"/>
                <w:kern w:val="0"/>
                <w:sz w:val="24"/>
              </w:rPr>
              <w:t>专项评价设置情况</w:t>
            </w:r>
          </w:p>
        </w:tc>
        <w:tc>
          <w:tcPr>
            <w:tcW w:w="7151" w:type="dxa"/>
            <w:gridSpan w:val="3"/>
            <w:vAlign w:val="center"/>
          </w:tcPr>
          <w:p>
            <w:pPr>
              <w:pStyle w:val="7"/>
              <w:widowControl w:val="0"/>
              <w:numPr>
                <w:ilvl w:val="0"/>
                <w:numId w:val="0"/>
              </w:numPr>
              <w:spacing w:line="520" w:lineRule="exact"/>
              <w:jc w:val="center"/>
              <w:rPr>
                <w:rFonts w:hint="default" w:ascii="Times New Roman" w:hAnsi="Times New Roman" w:eastAsia="黑体" w:cs="Times New Roman"/>
                <w:b w:val="0"/>
                <w:bCs w:val="0"/>
                <w:color w:val="auto"/>
                <w:sz w:val="24"/>
                <w:szCs w:val="24"/>
              </w:rPr>
            </w:pPr>
            <w:r>
              <w:rPr>
                <w:rFonts w:hint="default" w:ascii="Times New Roman" w:hAnsi="Times New Roman" w:eastAsia="黑体" w:cs="Times New Roman"/>
                <w:b w:val="0"/>
                <w:bCs w:val="0"/>
                <w:color w:val="auto"/>
                <w:sz w:val="24"/>
                <w:szCs w:val="24"/>
              </w:rPr>
              <w:t>表1 专项评价设置原则表</w:t>
            </w:r>
          </w:p>
          <w:tbl>
            <w:tblPr>
              <w:tblStyle w:val="2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7"/>
              <w:gridCol w:w="2785"/>
              <w:gridCol w:w="1884"/>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5" w:hRule="atLeast"/>
                <w:tblHeader/>
                <w:jc w:val="center"/>
              </w:trPr>
              <w:tc>
                <w:tcPr>
                  <w:tcW w:w="641" w:type="pct"/>
                  <w:tcBorders>
                    <w:top w:val="single" w:color="auto" w:sz="4" w:space="0"/>
                    <w:left w:val="single" w:color="auto" w:sz="0"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专项评价的类别</w:t>
                  </w:r>
                </w:p>
              </w:tc>
              <w:tc>
                <w:tcPr>
                  <w:tcW w:w="2009" w:type="pct"/>
                  <w:tcBorders>
                    <w:top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设置原则</w:t>
                  </w:r>
                </w:p>
              </w:tc>
              <w:tc>
                <w:tcPr>
                  <w:tcW w:w="1358" w:type="pct"/>
                  <w:tcBorders>
                    <w:top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本项目</w:t>
                  </w:r>
                </w:p>
              </w:tc>
              <w:tc>
                <w:tcPr>
                  <w:tcW w:w="990" w:type="pct"/>
                  <w:tcBorders>
                    <w:top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val="0"/>
                      <w:bCs w:val="0"/>
                      <w:color w:val="auto"/>
                      <w:sz w:val="21"/>
                      <w:szCs w:val="21"/>
                      <w:lang w:val="en-US"/>
                    </w:rPr>
                  </w:pPr>
                  <w:r>
                    <w:rPr>
                      <w:rFonts w:ascii="Times New Roman" w:hAnsi="Times New Roman" w:cs="Times New Roman"/>
                      <w:b w:val="0"/>
                      <w:bCs w:val="0"/>
                      <w:color w:val="auto"/>
                      <w:sz w:val="21"/>
                      <w:szCs w:val="21"/>
                    </w:rPr>
                    <w:t>专项评价</w:t>
                  </w:r>
                  <w:r>
                    <w:rPr>
                      <w:rFonts w:hint="eastAsia" w:cs="Times New Roman"/>
                      <w:b w:val="0"/>
                      <w:bCs w:val="0"/>
                      <w:color w:val="auto"/>
                      <w:sz w:val="21"/>
                      <w:szCs w:val="21"/>
                      <w:lang w:val="en-US" w:eastAsia="zh-CN"/>
                    </w:rPr>
                    <w:t>设置情况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tcBorders>
                    <w:lef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大气</w:t>
                  </w:r>
                </w:p>
              </w:tc>
              <w:tc>
                <w:tcPr>
                  <w:tcW w:w="2009"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排放废气含有毒有害污染物</w:t>
                  </w:r>
                  <w:r>
                    <w:rPr>
                      <w:rFonts w:ascii="Times New Roman" w:hAnsi="Times New Roman" w:cs="Times New Roman"/>
                      <w:color w:val="auto"/>
                      <w:sz w:val="21"/>
                      <w:szCs w:val="21"/>
                      <w:vertAlign w:val="superscript"/>
                    </w:rPr>
                    <w:t>1</w:t>
                  </w:r>
                  <w:r>
                    <w:rPr>
                      <w:rFonts w:ascii="Times New Roman" w:hAnsi="Times New Roman" w:cs="Times New Roman"/>
                      <w:color w:val="auto"/>
                      <w:sz w:val="21"/>
                      <w:szCs w:val="21"/>
                    </w:rPr>
                    <w:t>、二噁英、苯并[</w:t>
                  </w:r>
                  <w:r>
                    <w:rPr>
                      <w:rFonts w:ascii="Times New Roman" w:hAnsi="Times New Roman" w:cs="Times New Roman"/>
                      <w:i/>
                      <w:color w:val="auto"/>
                      <w:sz w:val="21"/>
                      <w:szCs w:val="21"/>
                    </w:rPr>
                    <w:t>a</w:t>
                  </w:r>
                  <w:r>
                    <w:rPr>
                      <w:rFonts w:ascii="Times New Roman" w:hAnsi="Times New Roman" w:cs="Times New Roman"/>
                      <w:color w:val="auto"/>
                      <w:sz w:val="21"/>
                      <w:szCs w:val="21"/>
                    </w:rPr>
                    <w:t>]芘、氰化物、氯气且厂界外500米范围内有环境空气保护目标</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的建设项目。</w:t>
                  </w:r>
                </w:p>
              </w:tc>
              <w:tc>
                <w:tcPr>
                  <w:tcW w:w="1358" w:type="pct"/>
                  <w:tcBorders>
                    <w:tl2br w:val="nil"/>
                    <w:tr2bl w:val="nil"/>
                  </w:tcBorders>
                  <w:noWrap w:val="0"/>
                  <w:vAlign w:val="center"/>
                </w:tcPr>
                <w:p>
                  <w:pPr>
                    <w:pStyle w:val="12"/>
                    <w:keepNext w:val="0"/>
                    <w:keepLines w:val="0"/>
                    <w:pageBreakBefore w:val="0"/>
                    <w:widowControl w:val="0"/>
                    <w:kinsoku/>
                    <w:wordWrap/>
                    <w:overflowPunct/>
                    <w:autoSpaceDE/>
                    <w:autoSpaceDN/>
                    <w:bidi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本项目排放废气</w:t>
                  </w:r>
                  <w:r>
                    <w:rPr>
                      <w:rFonts w:hint="eastAsia" w:ascii="Times New Roman" w:hAnsi="Times New Roman" w:cs="Times New Roman"/>
                      <w:color w:val="auto"/>
                      <w:sz w:val="21"/>
                      <w:szCs w:val="21"/>
                      <w:lang w:val="en-US" w:eastAsia="zh-CN"/>
                    </w:rPr>
                    <w:t>不</w:t>
                  </w:r>
                  <w:r>
                    <w:rPr>
                      <w:rFonts w:ascii="Times New Roman" w:hAnsi="Times New Roman" w:cs="Times New Roman"/>
                      <w:color w:val="auto"/>
                      <w:sz w:val="21"/>
                      <w:szCs w:val="21"/>
                    </w:rPr>
                    <w:t>含有毒有害污染物</w:t>
                  </w:r>
                  <w:r>
                    <w:rPr>
                      <w:rFonts w:ascii="Times New Roman" w:hAnsi="Times New Roman" w:cs="Times New Roman"/>
                      <w:color w:val="auto"/>
                      <w:sz w:val="21"/>
                      <w:szCs w:val="21"/>
                      <w:vertAlign w:val="superscript"/>
                    </w:rPr>
                    <w:t>1</w:t>
                  </w:r>
                  <w:r>
                    <w:rPr>
                      <w:rFonts w:ascii="Times New Roman" w:hAnsi="Times New Roman" w:cs="Times New Roman"/>
                      <w:color w:val="auto"/>
                      <w:sz w:val="21"/>
                      <w:szCs w:val="21"/>
                    </w:rPr>
                    <w:t>、二噁英、苯并[</w:t>
                  </w:r>
                  <w:r>
                    <w:rPr>
                      <w:rFonts w:ascii="Times New Roman" w:hAnsi="Times New Roman" w:cs="Times New Roman"/>
                      <w:i/>
                      <w:color w:val="auto"/>
                      <w:sz w:val="21"/>
                      <w:szCs w:val="21"/>
                    </w:rPr>
                    <w:t>a</w:t>
                  </w:r>
                  <w:r>
                    <w:rPr>
                      <w:rFonts w:ascii="Times New Roman" w:hAnsi="Times New Roman" w:cs="Times New Roman"/>
                      <w:color w:val="auto"/>
                      <w:sz w:val="21"/>
                      <w:szCs w:val="21"/>
                    </w:rPr>
                    <w:t>]芘、氰化物、氯气。</w:t>
                  </w:r>
                </w:p>
              </w:tc>
              <w:tc>
                <w:tcPr>
                  <w:tcW w:w="990" w:type="pct"/>
                  <w:tcBorders>
                    <w:righ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tcBorders>
                    <w:lef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地表水</w:t>
                  </w:r>
                </w:p>
              </w:tc>
              <w:tc>
                <w:tcPr>
                  <w:tcW w:w="2009"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新增工业废水直排建设项目（槽罐车外送污水处理厂的除外）；新增废水直排的污水集中处理厂。</w:t>
                  </w:r>
                </w:p>
              </w:tc>
              <w:tc>
                <w:tcPr>
                  <w:tcW w:w="1358"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本项目</w:t>
                  </w:r>
                  <w:r>
                    <w:rPr>
                      <w:rFonts w:hint="eastAsia" w:ascii="Times New Roman" w:hAnsi="Times New Roman" w:cs="Times New Roman"/>
                      <w:color w:val="auto"/>
                      <w:sz w:val="21"/>
                      <w:szCs w:val="21"/>
                      <w:lang w:val="en-US" w:eastAsia="zh-CN"/>
                    </w:rPr>
                    <w:t>不涉及</w:t>
                  </w:r>
                  <w:r>
                    <w:rPr>
                      <w:rFonts w:ascii="Times New Roman" w:hAnsi="Times New Roman" w:cs="Times New Roman"/>
                      <w:color w:val="auto"/>
                      <w:sz w:val="21"/>
                      <w:szCs w:val="21"/>
                    </w:rPr>
                    <w:t>新增工业废水直排。</w:t>
                  </w:r>
                </w:p>
              </w:tc>
              <w:tc>
                <w:tcPr>
                  <w:tcW w:w="990" w:type="pct"/>
                  <w:tcBorders>
                    <w:righ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tcBorders>
                    <w:lef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环境风险</w:t>
                  </w:r>
                </w:p>
              </w:tc>
              <w:tc>
                <w:tcPr>
                  <w:tcW w:w="2009"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有毒有害和易燃易爆危险物质存储量超过临界量</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的建设项目。</w:t>
                  </w:r>
                </w:p>
              </w:tc>
              <w:tc>
                <w:tcPr>
                  <w:tcW w:w="1358" w:type="pct"/>
                  <w:tcBorders>
                    <w:tl2br w:val="nil"/>
                    <w:tr2bl w:val="nil"/>
                  </w:tcBorders>
                  <w:noWrap w:val="0"/>
                  <w:vAlign w:val="center"/>
                </w:tcPr>
                <w:p>
                  <w:pPr>
                    <w:pStyle w:val="12"/>
                    <w:keepNext w:val="0"/>
                    <w:keepLines w:val="0"/>
                    <w:pageBreakBefore w:val="0"/>
                    <w:widowControl w:val="0"/>
                    <w:kinsoku/>
                    <w:wordWrap/>
                    <w:overflowPunct/>
                    <w:autoSpaceDE/>
                    <w:autoSpaceDN/>
                    <w:bidi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本项目</w:t>
                  </w:r>
                  <w:r>
                    <w:rPr>
                      <w:rFonts w:hint="eastAsia" w:cs="Times New Roman"/>
                      <w:color w:val="auto"/>
                      <w:sz w:val="21"/>
                      <w:szCs w:val="21"/>
                      <w:lang w:val="en-US" w:eastAsia="zh-CN"/>
                    </w:rPr>
                    <w:t>不涉及</w:t>
                  </w:r>
                  <w:r>
                    <w:rPr>
                      <w:rFonts w:ascii="Times New Roman" w:hAnsi="Times New Roman" w:cs="Times New Roman"/>
                      <w:color w:val="auto"/>
                      <w:sz w:val="21"/>
                      <w:szCs w:val="21"/>
                    </w:rPr>
                    <w:t>有毒有害和易燃易爆危险物质存储量超过临界量</w:t>
                  </w:r>
                  <w:r>
                    <w:rPr>
                      <w:rFonts w:ascii="Times New Roman" w:hAnsi="Times New Roman" w:cs="Times New Roman"/>
                      <w:color w:val="auto"/>
                      <w:sz w:val="21"/>
                      <w:szCs w:val="21"/>
                      <w:vertAlign w:val="superscript"/>
                    </w:rPr>
                    <w:t>3</w:t>
                  </w:r>
                </w:p>
              </w:tc>
              <w:tc>
                <w:tcPr>
                  <w:tcW w:w="990" w:type="pct"/>
                  <w:tcBorders>
                    <w:righ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tcBorders>
                    <w:lef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生态</w:t>
                  </w:r>
                </w:p>
              </w:tc>
              <w:tc>
                <w:tcPr>
                  <w:tcW w:w="2009"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取水口下游500米范围内有重要水生生物的自然产卵场、索饵场、越冬场和洄游通道的新增河道取水的污染类建设项目。</w:t>
                  </w:r>
                </w:p>
              </w:tc>
              <w:tc>
                <w:tcPr>
                  <w:tcW w:w="1358"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本项目不涉及。</w:t>
                  </w:r>
                </w:p>
              </w:tc>
              <w:tc>
                <w:tcPr>
                  <w:tcW w:w="990" w:type="pct"/>
                  <w:tcBorders>
                    <w:righ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pct"/>
                  <w:tcBorders>
                    <w:left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海洋</w:t>
                  </w:r>
                </w:p>
              </w:tc>
              <w:tc>
                <w:tcPr>
                  <w:tcW w:w="2009" w:type="pct"/>
                  <w:tcBorders>
                    <w:bottom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直接向海排放污染物的海洋工程建设项目。</w:t>
                  </w:r>
                </w:p>
              </w:tc>
              <w:tc>
                <w:tcPr>
                  <w:tcW w:w="1358" w:type="pct"/>
                  <w:tcBorders>
                    <w:bottom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本项目不涉及。</w:t>
                  </w:r>
                </w:p>
              </w:tc>
              <w:tc>
                <w:tcPr>
                  <w:tcW w:w="990" w:type="pct"/>
                  <w:tcBorders>
                    <w:bottom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无</w:t>
                  </w:r>
                </w:p>
              </w:tc>
            </w:tr>
          </w:tbl>
          <w:p>
            <w:pPr>
              <w:tabs>
                <w:tab w:val="left" w:pos="576"/>
                <w:tab w:val="left" w:pos="2520"/>
                <w:tab w:val="left" w:pos="5180"/>
              </w:tabs>
              <w:topLinePunct/>
              <w:adjustRightInd w:val="0"/>
              <w:snapToGrid w:val="0"/>
              <w:spacing w:line="240" w:lineRule="auto"/>
              <w:jc w:val="left"/>
              <w:rPr>
                <w:rFonts w:ascii="Times New Roman" w:hAnsi="Times New Roman" w:cs="Times New Roman"/>
                <w:snapToGrid w:val="0"/>
                <w:color w:val="auto"/>
              </w:rPr>
            </w:pPr>
            <w:bookmarkStart w:id="1" w:name="_Hlk57731875"/>
            <w:r>
              <w:rPr>
                <w:rFonts w:ascii="Times New Roman" w:hAnsi="Times New Roman" w:cs="Times New Roman"/>
                <w:bCs/>
                <w:snapToGrid w:val="0"/>
                <w:color w:val="auto"/>
                <w:szCs w:val="21"/>
              </w:rPr>
              <w:t>注：1.</w:t>
            </w:r>
            <w:r>
              <w:rPr>
                <w:rFonts w:ascii="Times New Roman" w:hAnsi="Times New Roman" w:cs="Times New Roman"/>
                <w:snapToGrid w:val="0"/>
                <w:color w:val="auto"/>
              </w:rPr>
              <w:t>废气中有毒有害污染物指纳入《有毒有害大气污染物名录》的污染物（不包括无排放标准的污染物）</w:t>
            </w:r>
            <w:bookmarkEnd w:id="1"/>
            <w:r>
              <w:rPr>
                <w:rFonts w:ascii="Times New Roman" w:hAnsi="Times New Roman" w:cs="Times New Roman"/>
                <w:snapToGrid w:val="0"/>
                <w:color w:val="auto"/>
              </w:rPr>
              <w:t>。</w:t>
            </w:r>
          </w:p>
          <w:p>
            <w:pPr>
              <w:tabs>
                <w:tab w:val="left" w:pos="576"/>
                <w:tab w:val="left" w:pos="2520"/>
                <w:tab w:val="left" w:pos="5180"/>
              </w:tabs>
              <w:topLinePunct/>
              <w:adjustRightInd w:val="0"/>
              <w:snapToGrid w:val="0"/>
              <w:spacing w:line="240" w:lineRule="auto"/>
              <w:jc w:val="left"/>
              <w:rPr>
                <w:rFonts w:ascii="Times New Roman" w:hAnsi="Times New Roman" w:cs="Times New Roman"/>
                <w:snapToGrid w:val="0"/>
                <w:color w:val="auto"/>
                <w:szCs w:val="21"/>
              </w:rPr>
            </w:pPr>
            <w:r>
              <w:rPr>
                <w:rFonts w:ascii="Times New Roman" w:hAnsi="Times New Roman" w:cs="Times New Roman"/>
                <w:snapToGrid w:val="0"/>
                <w:color w:val="auto"/>
              </w:rPr>
              <w:t>2.环境空气保护目标指自然保护区、风景名胜区、居住区、文化区和农村地区中人群较集中的区域</w:t>
            </w:r>
            <w:r>
              <w:rPr>
                <w:rFonts w:ascii="Times New Roman" w:hAnsi="Times New Roman" w:cs="Times New Roman"/>
                <w:snapToGrid w:val="0"/>
                <w:color w:val="auto"/>
                <w:szCs w:val="21"/>
              </w:rPr>
              <w:t>。</w:t>
            </w:r>
          </w:p>
          <w:p>
            <w:pPr>
              <w:autoSpaceDE w:val="0"/>
              <w:autoSpaceDN w:val="0"/>
              <w:adjustRightInd w:val="0"/>
              <w:snapToGrid w:val="0"/>
              <w:spacing w:line="240" w:lineRule="auto"/>
              <w:jc w:val="left"/>
              <w:rPr>
                <w:rFonts w:ascii="Times New Roman" w:hAnsi="Times New Roman" w:cs="Times New Roman"/>
                <w:color w:val="auto"/>
                <w:kern w:val="0"/>
                <w:sz w:val="24"/>
              </w:rPr>
            </w:pPr>
            <w:r>
              <w:rPr>
                <w:rFonts w:ascii="Times New Roman" w:hAnsi="Times New Roman" w:cs="Times New Roman"/>
                <w:snapToGrid w:val="0"/>
                <w:color w:val="auto"/>
                <w:szCs w:val="21"/>
              </w:rPr>
              <w:t>3.</w:t>
            </w:r>
            <w:r>
              <w:rPr>
                <w:rFonts w:ascii="Times New Roman" w:hAnsi="Times New Roman" w:cs="Times New Roman"/>
                <w:snapToGrid w:val="0"/>
                <w:color w:val="auto"/>
              </w:rPr>
              <w:t>临界量及其计算方法可参考《建设项目环境风险评价技术导则》（</w:t>
            </w:r>
            <w:r>
              <w:rPr>
                <w:rFonts w:ascii="Times New Roman" w:hAnsi="Times New Roman" w:cs="Times New Roman"/>
                <w:snapToGrid w:val="0"/>
                <w:color w:val="auto"/>
                <w:highlight w:val="none"/>
              </w:rPr>
              <w:t>HJ 169</w:t>
            </w:r>
            <w:r>
              <w:rPr>
                <w:rFonts w:hint="eastAsia"/>
                <w:lang w:val="en-US" w:eastAsia="zh-CN"/>
              </w:rPr>
              <w:t>-2018</w:t>
            </w:r>
            <w:r>
              <w:rPr>
                <w:rFonts w:ascii="Times New Roman" w:hAnsi="Times New Roman" w:cs="Times New Roman"/>
                <w:snapToGrid w:val="0"/>
                <w:color w:val="auto"/>
              </w:rPr>
              <w:t>）附录B、附录C。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778" w:type="dxa"/>
            <w:vAlign w:val="center"/>
          </w:tcPr>
          <w:p>
            <w:pPr>
              <w:autoSpaceDE w:val="0"/>
              <w:autoSpaceDN w:val="0"/>
              <w:adjustRightInd w:val="0"/>
              <w:snapToGrid w:val="0"/>
              <w:spacing w:line="240" w:lineRule="auto"/>
              <w:jc w:val="center"/>
              <w:rPr>
                <w:rFonts w:ascii="Times New Roman" w:hAnsi="Times New Roman" w:cs="Times New Roman"/>
                <w:b w:val="0"/>
                <w:bCs w:val="0"/>
                <w:color w:val="auto"/>
                <w:kern w:val="0"/>
                <w:sz w:val="24"/>
              </w:rPr>
            </w:pPr>
            <w:r>
              <w:rPr>
                <w:rFonts w:ascii="Times New Roman" w:hAnsi="Times New Roman" w:cs="Times New Roman"/>
                <w:b w:val="0"/>
                <w:bCs w:val="0"/>
                <w:color w:val="auto"/>
                <w:sz w:val="24"/>
              </w:rPr>
              <w:t>规划情况</w:t>
            </w:r>
          </w:p>
        </w:tc>
        <w:tc>
          <w:tcPr>
            <w:tcW w:w="7151" w:type="dxa"/>
            <w:gridSpan w:val="3"/>
            <w:shd w:val="clear" w:color="auto" w:fill="auto"/>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eastAsia="宋体" w:cs="Times New Roman"/>
                <w:color w:val="auto"/>
                <w:kern w:val="0"/>
                <w:sz w:val="24"/>
                <w:highlight w:val="yellow"/>
                <w:lang w:val="en-US" w:eastAsia="zh-CN"/>
              </w:rPr>
            </w:pPr>
            <w:r>
              <w:rPr>
                <w:rFonts w:hint="eastAsia" w:cs="Times New Roman"/>
                <w:color w:val="auto"/>
                <w:kern w:val="0"/>
                <w:sz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1778" w:type="dxa"/>
            <w:vAlign w:val="center"/>
          </w:tcPr>
          <w:p>
            <w:pPr>
              <w:adjustRightInd w:val="0"/>
              <w:snapToGrid w:val="0"/>
              <w:spacing w:line="240" w:lineRule="auto"/>
              <w:jc w:val="center"/>
              <w:rPr>
                <w:rFonts w:ascii="Times New Roman" w:hAnsi="Times New Roman" w:cs="Times New Roman"/>
                <w:b w:val="0"/>
                <w:bCs w:val="0"/>
                <w:color w:val="auto"/>
                <w:kern w:val="0"/>
                <w:sz w:val="24"/>
              </w:rPr>
            </w:pPr>
            <w:r>
              <w:rPr>
                <w:rFonts w:ascii="Times New Roman" w:hAnsi="Times New Roman" w:cs="Times New Roman"/>
                <w:b w:val="0"/>
                <w:bCs w:val="0"/>
                <w:color w:val="auto"/>
                <w:sz w:val="24"/>
              </w:rPr>
              <w:t>规划环境影响评价情况</w:t>
            </w:r>
          </w:p>
        </w:tc>
        <w:tc>
          <w:tcPr>
            <w:tcW w:w="7151" w:type="dxa"/>
            <w:gridSpan w:val="3"/>
            <w:shd w:val="clear" w:color="auto" w:fill="auto"/>
            <w:vAlign w:val="center"/>
          </w:tcPr>
          <w:p>
            <w:pPr>
              <w:keepNext w:val="0"/>
              <w:keepLines w:val="0"/>
              <w:pageBreakBefore w:val="0"/>
              <w:widowControl w:val="0"/>
              <w:kinsoku/>
              <w:wordWrap/>
              <w:overflowPunct/>
              <w:topLinePunct w:val="0"/>
              <w:bidi w:val="0"/>
              <w:spacing w:after="0" w:line="240" w:lineRule="auto"/>
              <w:ind w:left="0" w:leftChars="0" w:firstLine="0" w:firstLineChars="0"/>
              <w:jc w:val="center"/>
              <w:textAlignment w:val="auto"/>
              <w:rPr>
                <w:rFonts w:ascii="Times New Roman" w:hAnsi="Times New Roman" w:cs="Times New Roman"/>
                <w:color w:val="auto"/>
                <w:highlight w:val="none"/>
              </w:rPr>
            </w:pPr>
            <w:r>
              <w:rPr>
                <w:rFonts w:hint="eastAsia" w:cs="Times New Roman"/>
                <w:color w:val="auto"/>
                <w:kern w:val="0"/>
                <w:sz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2" w:hRule="atLeast"/>
        </w:trPr>
        <w:tc>
          <w:tcPr>
            <w:tcW w:w="1778" w:type="dxa"/>
            <w:vAlign w:val="center"/>
          </w:tcPr>
          <w:p>
            <w:pPr>
              <w:autoSpaceDE w:val="0"/>
              <w:autoSpaceDN w:val="0"/>
              <w:adjustRightInd w:val="0"/>
              <w:snapToGrid w:val="0"/>
              <w:spacing w:line="240" w:lineRule="auto"/>
              <w:jc w:val="center"/>
              <w:rPr>
                <w:rFonts w:ascii="Times New Roman" w:hAnsi="Times New Roman" w:cs="Times New Roman"/>
                <w:b w:val="0"/>
                <w:bCs w:val="0"/>
                <w:color w:val="auto"/>
                <w:sz w:val="24"/>
              </w:rPr>
            </w:pPr>
            <w:r>
              <w:rPr>
                <w:rFonts w:ascii="Times New Roman" w:hAnsi="Times New Roman" w:cs="Times New Roman"/>
                <w:b w:val="0"/>
                <w:bCs w:val="0"/>
                <w:color w:val="auto"/>
                <w:kern w:val="0"/>
                <w:sz w:val="24"/>
              </w:rPr>
              <w:t>规划及规划环境影响评价符合性分析</w:t>
            </w:r>
          </w:p>
        </w:tc>
        <w:tc>
          <w:tcPr>
            <w:tcW w:w="7151" w:type="dxa"/>
            <w:gridSpan w:val="3"/>
            <w:shd w:val="clear" w:color="auto" w:fill="auto"/>
            <w:vAlign w:val="center"/>
          </w:tcPr>
          <w:p>
            <w:pPr>
              <w:spacing w:line="460" w:lineRule="exact"/>
              <w:jc w:val="center"/>
              <w:textAlignment w:val="baseline"/>
              <w:rPr>
                <w:rFonts w:ascii="Times New Roman" w:hAnsi="Times New Roman" w:cs="Times New Roman"/>
                <w:color w:val="auto"/>
                <w:sz w:val="24"/>
                <w:highlight w:val="none"/>
              </w:rPr>
            </w:pPr>
            <w:r>
              <w:rPr>
                <w:rFonts w:hint="eastAsia" w:cs="Times New Roman"/>
                <w:color w:val="auto"/>
                <w:kern w:val="0"/>
                <w:sz w:val="24"/>
                <w:highlight w:val="none"/>
                <w:lang w:val="en-US" w:eastAsia="zh-CN"/>
              </w:rPr>
              <w:t>无</w:t>
            </w:r>
          </w:p>
        </w:tc>
      </w:tr>
    </w:tbl>
    <w:tbl>
      <w:tblPr>
        <w:tblStyle w:val="28"/>
        <w:tblW w:w="485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61"/>
        <w:gridCol w:w="82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7" w:type="dxa"/>
            <w:vAlign w:val="center"/>
          </w:tcPr>
          <w:p>
            <w:pPr>
              <w:autoSpaceDE w:val="0"/>
              <w:autoSpaceDN w:val="0"/>
              <w:adjustRightInd w:val="0"/>
              <w:snapToGrid w:val="0"/>
              <w:jc w:val="center"/>
              <w:rPr>
                <w:rFonts w:ascii="Times New Roman" w:hAnsi="Times New Roman" w:cs="Times New Roman"/>
                <w:b/>
                <w:bCs/>
                <w:color w:val="auto"/>
                <w:sz w:val="24"/>
                <w:u w:val="none"/>
              </w:rPr>
            </w:pPr>
            <w:r>
              <w:rPr>
                <w:rFonts w:ascii="Times New Roman" w:hAnsi="Times New Roman" w:cs="Times New Roman"/>
                <w:b/>
                <w:bCs/>
                <w:color w:val="auto"/>
                <w:kern w:val="0"/>
                <w:sz w:val="24"/>
                <w:u w:val="none"/>
              </w:rPr>
              <w:t>其他符合性分析</w:t>
            </w:r>
          </w:p>
        </w:tc>
        <w:tc>
          <w:tcPr>
            <w:tcW w:w="9076" w:type="dxa"/>
            <w:vAlign w:val="center"/>
          </w:tcPr>
          <w:p>
            <w:pPr>
              <w:pStyle w:val="91"/>
              <w:keepNext w:val="0"/>
              <w:keepLines w:val="0"/>
              <w:pageBreakBefore w:val="0"/>
              <w:widowControl w:val="0"/>
              <w:kinsoku/>
              <w:wordWrap/>
              <w:overflowPunct w:val="0"/>
              <w:topLinePunct w:val="0"/>
              <w:autoSpaceDE/>
              <w:autoSpaceDN/>
              <w:bidi w:val="0"/>
              <w:adjustRightInd/>
              <w:snapToGrid w:val="0"/>
              <w:spacing w:before="0" w:after="0"/>
              <w:ind w:left="0" w:leftChars="0" w:firstLine="482" w:firstLineChars="200"/>
              <w:textAlignment w:val="auto"/>
              <w:rPr>
                <w:rFonts w:hint="default" w:ascii="Times New Roman" w:hAnsi="Times New Roman" w:eastAsia="宋体" w:cs="Times New Roman"/>
                <w:b/>
                <w:color w:val="auto"/>
                <w:sz w:val="24"/>
                <w:szCs w:val="24"/>
                <w:lang w:val="en-US" w:eastAsia="zh-CN"/>
              </w:rPr>
            </w:pPr>
            <w:r>
              <w:rPr>
                <w:rFonts w:hint="eastAsia" w:ascii="Times New Roman" w:hAnsi="Times New Roman" w:eastAsia="宋体" w:cs="Times New Roman"/>
                <w:b/>
                <w:color w:val="auto"/>
                <w:sz w:val="24"/>
                <w:szCs w:val="24"/>
                <w:lang w:val="en-US" w:eastAsia="zh-CN"/>
              </w:rPr>
              <w:t>1与相关政策和当地规划相符性分析</w:t>
            </w:r>
          </w:p>
          <w:p>
            <w:pPr>
              <w:pStyle w:val="91"/>
              <w:keepNext w:val="0"/>
              <w:keepLines w:val="0"/>
              <w:pageBreakBefore w:val="0"/>
              <w:widowControl w:val="0"/>
              <w:kinsoku/>
              <w:wordWrap/>
              <w:overflowPunct w:val="0"/>
              <w:topLinePunct w:val="0"/>
              <w:autoSpaceDE/>
              <w:autoSpaceDN/>
              <w:bidi w:val="0"/>
              <w:adjustRightInd/>
              <w:snapToGrid w:val="0"/>
              <w:spacing w:before="0" w:after="0"/>
              <w:ind w:left="0" w:leftChars="0" w:firstLine="482" w:firstLineChars="200"/>
              <w:textAlignment w:val="auto"/>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t>1</w:t>
            </w:r>
            <w:r>
              <w:rPr>
                <w:rFonts w:hint="eastAsia" w:ascii="Times New Roman" w:hAnsi="Times New Roman" w:eastAsia="宋体" w:cs="Times New Roman"/>
                <w:b/>
                <w:color w:val="auto"/>
                <w:sz w:val="24"/>
                <w:szCs w:val="24"/>
                <w:lang w:val="en-US" w:eastAsia="zh-CN"/>
              </w:rPr>
              <w:t>.1</w:t>
            </w:r>
            <w:r>
              <w:rPr>
                <w:rFonts w:ascii="Times New Roman" w:hAnsi="Times New Roman" w:eastAsia="宋体" w:cs="Times New Roman"/>
                <w:b/>
                <w:color w:val="auto"/>
                <w:sz w:val="24"/>
                <w:szCs w:val="24"/>
              </w:rPr>
              <w:t>与产业政策符合性分析</w:t>
            </w:r>
          </w:p>
          <w:p>
            <w:pPr>
              <w:adjustRightInd w:val="0"/>
              <w:snapToGrid w:val="0"/>
              <w:spacing w:line="520" w:lineRule="exact"/>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b w:val="0"/>
                <w:bCs w:val="0"/>
                <w:color w:val="auto"/>
                <w:sz w:val="24"/>
                <w:szCs w:val="24"/>
                <w:u w:val="none"/>
              </w:rPr>
              <w:t>本项目</w:t>
            </w:r>
            <w:r>
              <w:rPr>
                <w:rFonts w:hint="eastAsia" w:cs="Times New Roman"/>
                <w:b w:val="0"/>
                <w:bCs w:val="0"/>
                <w:color w:val="auto"/>
                <w:sz w:val="24"/>
                <w:szCs w:val="24"/>
                <w:u w:val="none"/>
                <w:lang w:val="en-US" w:eastAsia="zh-CN"/>
              </w:rPr>
              <w:t>租用</w:t>
            </w:r>
            <w:r>
              <w:rPr>
                <w:rFonts w:hint="eastAsia" w:ascii="Times New Roman" w:hAnsi="Times New Roman" w:eastAsia="宋体" w:cs="Times New Roman"/>
                <w:color w:val="auto"/>
                <w:sz w:val="24"/>
                <w:szCs w:val="24"/>
                <w:lang w:val="en-US" w:eastAsia="zh-CN"/>
              </w:rPr>
              <w:t>鲁山首创生物质能源有限公司现有</w:t>
            </w:r>
            <w:r>
              <w:rPr>
                <w:rFonts w:hint="eastAsia" w:cs="Times New Roman"/>
                <w:b w:val="0"/>
                <w:bCs w:val="0"/>
                <w:color w:val="auto"/>
                <w:sz w:val="24"/>
                <w:szCs w:val="24"/>
                <w:u w:val="none"/>
                <w:lang w:val="en-US" w:eastAsia="zh-CN"/>
              </w:rPr>
              <w:t>生物质料棚进行改造，达到储存飞灰条件</w:t>
            </w:r>
            <w:r>
              <w:rPr>
                <w:rFonts w:hint="eastAsia" w:ascii="Times New Roman" w:hAnsi="Times New Roman" w:eastAsia="宋体" w:cs="Times New Roman"/>
                <w:color w:val="auto"/>
                <w:sz w:val="24"/>
                <w:lang w:val="zh-CN"/>
              </w:rPr>
              <w:t>，查阅</w:t>
            </w:r>
            <w:r>
              <w:rPr>
                <w:rFonts w:hint="eastAsia" w:ascii="Times New Roman" w:hAnsi="Times New Roman" w:eastAsia="宋体" w:cs="Times New Roman"/>
                <w:color w:val="auto"/>
                <w:sz w:val="24"/>
                <w:szCs w:val="24"/>
                <w:lang w:val="zh-CN"/>
              </w:rPr>
              <w:t>《产业结构调整指导目录（201</w:t>
            </w:r>
            <w:r>
              <w:rPr>
                <w:rFonts w:hint="eastAsia" w:ascii="Times New Roman" w:hAnsi="Times New Roman" w:eastAsia="宋体" w:cs="Times New Roman"/>
                <w:color w:val="auto"/>
                <w:sz w:val="24"/>
                <w:szCs w:val="24"/>
              </w:rPr>
              <w:t>9</w:t>
            </w:r>
            <w:r>
              <w:rPr>
                <w:rFonts w:hint="eastAsia" w:ascii="Times New Roman" w:hAnsi="Times New Roman" w:eastAsia="宋体" w:cs="Times New Roman"/>
                <w:color w:val="auto"/>
                <w:sz w:val="24"/>
                <w:szCs w:val="24"/>
                <w:lang w:val="zh-CN"/>
              </w:rPr>
              <w:t>年本）》，该项目</w:t>
            </w:r>
            <w:r>
              <w:rPr>
                <w:rFonts w:hint="eastAsia" w:ascii="Times New Roman" w:hAnsi="Times New Roman" w:eastAsia="宋体" w:cs="Times New Roman"/>
                <w:color w:val="auto"/>
                <w:sz w:val="24"/>
              </w:rPr>
              <w:t>不属于“限制类”</w:t>
            </w:r>
            <w:r>
              <w:rPr>
                <w:rFonts w:hint="eastAsia" w:cs="Times New Roman"/>
                <w:color w:val="auto"/>
                <w:sz w:val="24"/>
                <w:lang w:eastAsia="zh-CN"/>
              </w:rPr>
              <w:t>、</w:t>
            </w:r>
            <w:r>
              <w:rPr>
                <w:rFonts w:hint="eastAsia" w:ascii="Times New Roman" w:hAnsi="Times New Roman" w:eastAsia="宋体" w:cs="Times New Roman"/>
                <w:color w:val="auto"/>
                <w:sz w:val="24"/>
              </w:rPr>
              <w:t>“淘汰类”</w:t>
            </w:r>
            <w:r>
              <w:rPr>
                <w:rFonts w:hint="eastAsia" w:cs="Times New Roman"/>
                <w:color w:val="auto"/>
                <w:sz w:val="24"/>
                <w:lang w:val="en-US" w:eastAsia="zh-CN"/>
              </w:rPr>
              <w:t>和</w:t>
            </w:r>
            <w:r>
              <w:rPr>
                <w:rFonts w:hint="eastAsia" w:ascii="Times New Roman" w:hAnsi="Times New Roman" w:eastAsia="宋体" w:cs="Times New Roman"/>
                <w:color w:val="auto"/>
                <w:sz w:val="24"/>
              </w:rPr>
              <w:t>“</w:t>
            </w:r>
            <w:r>
              <w:rPr>
                <w:rFonts w:hint="eastAsia" w:cs="Times New Roman"/>
                <w:color w:val="auto"/>
                <w:sz w:val="24"/>
                <w:lang w:val="en-US" w:eastAsia="zh-CN"/>
              </w:rPr>
              <w:t>鼓励</w:t>
            </w:r>
            <w:r>
              <w:rPr>
                <w:rFonts w:hint="eastAsia" w:ascii="Times New Roman" w:hAnsi="Times New Roman" w:eastAsia="宋体" w:cs="Times New Roman"/>
                <w:color w:val="auto"/>
                <w:sz w:val="24"/>
              </w:rPr>
              <w:t>类”</w:t>
            </w:r>
            <w:r>
              <w:rPr>
                <w:rFonts w:hint="eastAsia" w:ascii="Times New Roman" w:hAnsi="Times New Roman" w:eastAsia="宋体" w:cs="Times New Roman"/>
                <w:color w:val="auto"/>
                <w:spacing w:val="0"/>
                <w:w w:val="100"/>
                <w:kern w:val="2"/>
                <w:position w:val="0"/>
                <w:sz w:val="24"/>
                <w:szCs w:val="24"/>
                <w:highlight w:val="none"/>
                <w:u w:val="none"/>
                <w:lang w:eastAsia="zh-CN"/>
              </w:rPr>
              <w:t>，</w:t>
            </w:r>
            <w:r>
              <w:rPr>
                <w:rFonts w:hint="eastAsia" w:cs="Times New Roman"/>
                <w:color w:val="auto"/>
                <w:spacing w:val="0"/>
                <w:w w:val="100"/>
                <w:kern w:val="2"/>
                <w:position w:val="0"/>
                <w:sz w:val="24"/>
                <w:szCs w:val="24"/>
                <w:highlight w:val="none"/>
                <w:u w:val="none"/>
                <w:lang w:val="en-US" w:eastAsia="zh-CN"/>
              </w:rPr>
              <w:t>属于</w:t>
            </w:r>
            <w:r>
              <w:rPr>
                <w:rFonts w:hint="eastAsia" w:ascii="Times New Roman" w:hAnsi="Times New Roman" w:eastAsia="宋体" w:cs="Times New Roman"/>
                <w:color w:val="auto"/>
                <w:sz w:val="24"/>
              </w:rPr>
              <w:t>“</w:t>
            </w:r>
            <w:r>
              <w:rPr>
                <w:rFonts w:hint="eastAsia" w:cs="Times New Roman"/>
                <w:color w:val="auto"/>
                <w:sz w:val="24"/>
                <w:szCs w:val="24"/>
                <w:lang w:val="en-US" w:eastAsia="zh-CN"/>
              </w:rPr>
              <w:t>允许</w:t>
            </w:r>
            <w:r>
              <w:rPr>
                <w:rFonts w:hint="eastAsia" w:ascii="Times New Roman" w:hAnsi="Times New Roman" w:eastAsia="宋体" w:cs="Times New Roman"/>
                <w:color w:val="auto"/>
                <w:sz w:val="24"/>
                <w:szCs w:val="24"/>
                <w:lang w:val="en-US" w:eastAsia="zh-CN"/>
              </w:rPr>
              <w:t>类</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szCs w:val="24"/>
                <w:lang w:val="zh-CN"/>
              </w:rPr>
              <w:t>；且项目已在</w:t>
            </w:r>
            <w:r>
              <w:rPr>
                <w:rFonts w:hint="eastAsia" w:cs="Times New Roman"/>
                <w:color w:val="auto"/>
                <w:kern w:val="0"/>
                <w:sz w:val="24"/>
                <w:szCs w:val="24"/>
                <w:lang w:val="en-US" w:eastAsia="zh-CN"/>
              </w:rPr>
              <w:t>鲁山县</w:t>
            </w:r>
            <w:r>
              <w:rPr>
                <w:rFonts w:hint="eastAsia" w:ascii="Times New Roman" w:hAnsi="Times New Roman" w:cs="Times New Roman"/>
                <w:color w:val="auto"/>
                <w:kern w:val="0"/>
                <w:sz w:val="24"/>
                <w:szCs w:val="24"/>
                <w:lang w:val="en-US" w:eastAsia="zh-CN"/>
              </w:rPr>
              <w:t>发展和改革委员会</w:t>
            </w:r>
            <w:r>
              <w:rPr>
                <w:rFonts w:hint="eastAsia" w:ascii="Times New Roman" w:hAnsi="Times New Roman" w:eastAsia="宋体" w:cs="Times New Roman"/>
                <w:color w:val="auto"/>
                <w:sz w:val="24"/>
                <w:szCs w:val="24"/>
                <w:lang w:val="zh-CN"/>
              </w:rPr>
              <w:t>备案，</w:t>
            </w:r>
            <w:r>
              <w:rPr>
                <w:rFonts w:hint="eastAsia" w:ascii="Times New Roman" w:hAnsi="Times New Roman" w:eastAsia="宋体" w:cs="Times New Roman"/>
                <w:color w:val="auto"/>
                <w:sz w:val="24"/>
                <w:szCs w:val="24"/>
                <w:highlight w:val="none"/>
                <w:lang w:val="zh-CN"/>
              </w:rPr>
              <w:t>项目代码：</w:t>
            </w:r>
            <w:r>
              <w:rPr>
                <w:rFonts w:hint="eastAsia" w:cs="Times New Roman"/>
                <w:color w:val="auto"/>
                <w:sz w:val="24"/>
                <w:szCs w:val="24"/>
                <w:highlight w:val="none"/>
                <w:lang w:val="en-US" w:eastAsia="zh-CN"/>
              </w:rPr>
              <w:t>2310-410423-04-01-586678</w:t>
            </w:r>
            <w:r>
              <w:rPr>
                <w:rFonts w:hint="eastAsia" w:ascii="Times New Roman" w:hAnsi="Times New Roman" w:eastAsia="宋体" w:cs="Times New Roman"/>
                <w:color w:val="auto"/>
                <w:spacing w:val="0"/>
                <w:w w:val="100"/>
                <w:kern w:val="2"/>
                <w:position w:val="0"/>
                <w:sz w:val="24"/>
                <w:szCs w:val="24"/>
                <w:highlight w:val="none"/>
                <w:u w:val="none"/>
              </w:rPr>
              <w:t>，故</w:t>
            </w:r>
            <w:r>
              <w:rPr>
                <w:rFonts w:hint="eastAsia" w:ascii="Times New Roman" w:hAnsi="Times New Roman" w:eastAsia="宋体" w:cs="Times New Roman"/>
                <w:color w:val="auto"/>
                <w:sz w:val="24"/>
              </w:rPr>
              <w:t>本项目符合国家当前产业政策。</w:t>
            </w:r>
          </w:p>
          <w:p>
            <w:pPr>
              <w:pStyle w:val="27"/>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b/>
                <w:bCs/>
                <w:color w:val="auto"/>
                <w:kern w:val="28"/>
                <w:sz w:val="24"/>
                <w:szCs w:val="24"/>
                <w:lang w:val="en-US" w:eastAsia="zh-CN" w:bidi="ar-SA"/>
              </w:rPr>
              <w:t>1</w:t>
            </w:r>
            <w:r>
              <w:rPr>
                <w:rFonts w:hint="eastAsia" w:ascii="Times New Roman" w:hAnsi="Times New Roman" w:cs="Times New Roman"/>
                <w:b/>
                <w:bCs/>
                <w:color w:val="auto"/>
                <w:kern w:val="28"/>
                <w:sz w:val="24"/>
                <w:szCs w:val="24"/>
                <w:lang w:val="en-US" w:eastAsia="zh-CN" w:bidi="ar-SA"/>
              </w:rPr>
              <w:t>.2</w:t>
            </w:r>
            <w:r>
              <w:rPr>
                <w:rFonts w:hint="eastAsia" w:ascii="Times New Roman" w:hAnsi="Times New Roman" w:eastAsia="宋体" w:cs="Times New Roman"/>
                <w:b/>
                <w:bCs/>
                <w:color w:val="auto"/>
                <w:kern w:val="28"/>
                <w:sz w:val="24"/>
                <w:szCs w:val="24"/>
                <w:lang w:val="en-US" w:eastAsia="zh-CN" w:bidi="ar-SA"/>
              </w:rPr>
              <w:t>与项目备案相符性分析</w:t>
            </w:r>
          </w:p>
          <w:p>
            <w:pPr>
              <w:pStyle w:val="12"/>
              <w:bidi w:val="0"/>
              <w:spacing w:line="360" w:lineRule="auto"/>
              <w:ind w:firstLine="480" w:firstLineChars="200"/>
              <w:rPr>
                <w:rFonts w:hint="eastAsia" w:ascii="Times New Roman" w:hAnsi="Times New Roman" w:eastAsia="宋体" w:cs="Times New Roman"/>
                <w:color w:val="auto"/>
                <w:kern w:val="0"/>
                <w:sz w:val="24"/>
                <w:szCs w:val="24"/>
                <w:u w:val="none"/>
                <w:lang w:val="en-US" w:eastAsia="zh-CN" w:bidi="ar-SA"/>
              </w:rPr>
            </w:pPr>
            <w:r>
              <w:rPr>
                <w:rFonts w:hint="eastAsia" w:ascii="Times New Roman" w:hAnsi="Times New Roman" w:eastAsia="宋体" w:cs="Times New Roman"/>
                <w:color w:val="auto"/>
                <w:kern w:val="0"/>
                <w:sz w:val="24"/>
                <w:szCs w:val="24"/>
                <w:u w:val="none"/>
                <w:lang w:val="en-US" w:eastAsia="zh-CN" w:bidi="ar-SA"/>
              </w:rPr>
              <w:t>目前该项目已经</w:t>
            </w:r>
            <w:r>
              <w:rPr>
                <w:rFonts w:hint="eastAsia" w:ascii="Times New Roman" w:hAnsi="Times New Roman" w:eastAsia="宋体" w:cs="Times New Roman"/>
                <w:color w:val="auto"/>
                <w:kern w:val="0"/>
                <w:sz w:val="24"/>
                <w:szCs w:val="24"/>
                <w:lang w:val="en-US" w:eastAsia="zh-CN"/>
              </w:rPr>
              <w:t>通过</w:t>
            </w:r>
            <w:r>
              <w:rPr>
                <w:rFonts w:hint="eastAsia" w:cs="Times New Roman"/>
                <w:color w:val="auto"/>
                <w:kern w:val="0"/>
                <w:sz w:val="24"/>
                <w:szCs w:val="24"/>
                <w:lang w:val="en-US" w:eastAsia="zh-CN"/>
              </w:rPr>
              <w:t>鲁山县发展和改革委员会</w:t>
            </w:r>
            <w:r>
              <w:rPr>
                <w:rFonts w:hint="eastAsia" w:ascii="Times New Roman" w:hAnsi="Times New Roman" w:cs="Times New Roman"/>
                <w:color w:val="auto"/>
                <w:kern w:val="0"/>
                <w:sz w:val="24"/>
                <w:szCs w:val="24"/>
                <w:lang w:val="en-US" w:eastAsia="zh-CN"/>
              </w:rPr>
              <w:t>进行备案</w:t>
            </w:r>
            <w:r>
              <w:rPr>
                <w:rFonts w:hint="eastAsia" w:ascii="Times New Roman" w:hAnsi="Times New Roman" w:eastAsia="宋体" w:cs="Times New Roman"/>
                <w:color w:val="auto"/>
                <w:kern w:val="0"/>
                <w:sz w:val="24"/>
                <w:szCs w:val="24"/>
                <w:u w:val="none"/>
                <w:lang w:val="en-US" w:eastAsia="zh-CN" w:bidi="ar-SA"/>
              </w:rPr>
              <w:t>（见附件1），</w:t>
            </w:r>
            <w:r>
              <w:rPr>
                <w:rFonts w:hint="eastAsia" w:ascii="Times New Roman" w:hAnsi="Times New Roman" w:eastAsia="宋体" w:cs="Times New Roman"/>
                <w:color w:val="auto"/>
                <w:kern w:val="0"/>
                <w:sz w:val="24"/>
                <w:szCs w:val="24"/>
                <w:highlight w:val="none"/>
                <w:u w:val="none"/>
                <w:lang w:val="en-US" w:eastAsia="zh-CN" w:bidi="ar-SA"/>
              </w:rPr>
              <w:t>项目代码</w:t>
            </w:r>
            <w:r>
              <w:rPr>
                <w:rFonts w:hint="eastAsia" w:cs="Times New Roman"/>
                <w:color w:val="auto"/>
                <w:kern w:val="0"/>
                <w:sz w:val="24"/>
                <w:szCs w:val="24"/>
                <w:highlight w:val="none"/>
                <w:u w:val="none"/>
                <w:lang w:val="en-US" w:eastAsia="zh-CN" w:bidi="ar-SA"/>
              </w:rPr>
              <w:t>为</w:t>
            </w:r>
            <w:r>
              <w:rPr>
                <w:rFonts w:hint="eastAsia" w:cs="Times New Roman"/>
                <w:color w:val="auto"/>
                <w:sz w:val="24"/>
                <w:szCs w:val="24"/>
                <w:highlight w:val="none"/>
                <w:lang w:val="en-US" w:eastAsia="zh-CN"/>
              </w:rPr>
              <w:t>2310-410423-04-01-586678</w:t>
            </w:r>
            <w:r>
              <w:rPr>
                <w:rFonts w:hint="eastAsia" w:ascii="Times New Roman" w:hAnsi="Times New Roman" w:eastAsia="宋体" w:cs="Times New Roman"/>
                <w:color w:val="auto"/>
                <w:kern w:val="0"/>
                <w:sz w:val="24"/>
                <w:szCs w:val="24"/>
                <w:u w:val="none"/>
                <w:lang w:val="en-US" w:eastAsia="zh-CN" w:bidi="ar-SA"/>
              </w:rPr>
              <w:t>。项目建设内容与备案相符性分析一览表如下所示。</w:t>
            </w:r>
          </w:p>
          <w:p>
            <w:pPr>
              <w:pStyle w:val="12"/>
              <w:bidi w:val="0"/>
              <w:spacing w:line="360" w:lineRule="auto"/>
              <w:ind w:firstLine="480" w:firstLineChars="200"/>
              <w:jc w:val="center"/>
              <w:rPr>
                <w:rFonts w:hint="eastAsia" w:ascii="Times New Roman" w:hAnsi="Times New Roman" w:eastAsia="黑体" w:cs="Times New Roman"/>
                <w:color w:val="auto"/>
                <w:kern w:val="2"/>
                <w:sz w:val="24"/>
                <w:szCs w:val="24"/>
                <w:lang w:val="en-US" w:eastAsia="zh-CN" w:bidi="ar-SA"/>
              </w:rPr>
            </w:pPr>
            <w:r>
              <w:rPr>
                <w:rFonts w:hint="eastAsia" w:ascii="Times New Roman" w:hAnsi="Times New Roman" w:eastAsia="黑体" w:cs="Times New Roman"/>
                <w:color w:val="auto"/>
                <w:kern w:val="2"/>
                <w:sz w:val="24"/>
                <w:szCs w:val="24"/>
                <w:lang w:val="en-US" w:eastAsia="zh-CN" w:bidi="ar-SA"/>
              </w:rPr>
              <w:t>表2 项目建设内容与备案相符性分析一览表</w:t>
            </w:r>
          </w:p>
          <w:tbl>
            <w:tblPr>
              <w:tblStyle w:val="28"/>
              <w:tblW w:w="7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577"/>
              <w:gridCol w:w="2696"/>
              <w:gridCol w:w="2644"/>
              <w:gridCol w:w="1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05" w:hRule="atLeast"/>
                <w:jc w:val="center"/>
              </w:trPr>
              <w:tc>
                <w:tcPr>
                  <w:tcW w:w="1577"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w:t>
                  </w:r>
                </w:p>
              </w:tc>
              <w:tc>
                <w:tcPr>
                  <w:tcW w:w="2696"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备案内容</w:t>
                  </w:r>
                </w:p>
              </w:tc>
              <w:tc>
                <w:tcPr>
                  <w:tcW w:w="264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建设内容</w:t>
                  </w:r>
                </w:p>
              </w:tc>
              <w:tc>
                <w:tcPr>
                  <w:tcW w:w="1021"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75" w:hRule="atLeast"/>
                <w:jc w:val="center"/>
              </w:trPr>
              <w:tc>
                <w:tcPr>
                  <w:tcW w:w="1577"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w:t>
                  </w:r>
                </w:p>
              </w:tc>
              <w:tc>
                <w:tcPr>
                  <w:tcW w:w="2696"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鲁山首创环保能源有限公司</w:t>
                  </w:r>
                </w:p>
              </w:tc>
              <w:tc>
                <w:tcPr>
                  <w:tcW w:w="264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鲁山首创环保能源有限公司</w:t>
                  </w:r>
                </w:p>
              </w:tc>
              <w:tc>
                <w:tcPr>
                  <w:tcW w:w="1021"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807" w:hRule="atLeast"/>
                <w:jc w:val="center"/>
              </w:trPr>
              <w:tc>
                <w:tcPr>
                  <w:tcW w:w="1577"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项目名称</w:t>
                  </w:r>
                </w:p>
              </w:tc>
              <w:tc>
                <w:tcPr>
                  <w:tcW w:w="2696"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鲁山首创环保能源有限公司飞灰仓库扩建项目</w:t>
                  </w:r>
                </w:p>
              </w:tc>
              <w:tc>
                <w:tcPr>
                  <w:tcW w:w="264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鲁山首创环保能源有限公司飞灰仓库扩建项目</w:t>
                  </w:r>
                </w:p>
              </w:tc>
              <w:tc>
                <w:tcPr>
                  <w:tcW w:w="1021"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84" w:hRule="atLeast"/>
                <w:jc w:val="center"/>
              </w:trPr>
              <w:tc>
                <w:tcPr>
                  <w:tcW w:w="1577"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建设地点</w:t>
                  </w:r>
                </w:p>
              </w:tc>
              <w:tc>
                <w:tcPr>
                  <w:tcW w:w="2696"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平顶山市鲁山县张良镇姚吴程村四组</w:t>
                  </w:r>
                </w:p>
              </w:tc>
              <w:tc>
                <w:tcPr>
                  <w:tcW w:w="264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平顶山市鲁山县张良镇姚吴程村四组</w:t>
                  </w:r>
                </w:p>
              </w:tc>
              <w:tc>
                <w:tcPr>
                  <w:tcW w:w="1021"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60" w:hRule="atLeast"/>
                <w:jc w:val="center"/>
              </w:trPr>
              <w:tc>
                <w:tcPr>
                  <w:tcW w:w="1577"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建设性质</w:t>
                  </w:r>
                </w:p>
              </w:tc>
              <w:tc>
                <w:tcPr>
                  <w:tcW w:w="2696"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扩建</w:t>
                  </w:r>
                </w:p>
              </w:tc>
              <w:tc>
                <w:tcPr>
                  <w:tcW w:w="264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扩建</w:t>
                  </w:r>
                </w:p>
              </w:tc>
              <w:tc>
                <w:tcPr>
                  <w:tcW w:w="1021"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41" w:hRule="atLeast"/>
                <w:jc w:val="center"/>
              </w:trPr>
              <w:tc>
                <w:tcPr>
                  <w:tcW w:w="1577"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建设规模及内容</w:t>
                  </w:r>
                </w:p>
              </w:tc>
              <w:tc>
                <w:tcPr>
                  <w:tcW w:w="2696"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总投资</w:t>
                  </w:r>
                  <w:r>
                    <w:rPr>
                      <w:rFonts w:hint="eastAsia" w:cs="Times New Roman"/>
                      <w:color w:val="auto"/>
                      <w:sz w:val="21"/>
                      <w:szCs w:val="21"/>
                      <w:highlight w:val="none"/>
                      <w:lang w:val="en-US" w:eastAsia="zh-CN"/>
                    </w:rPr>
                    <w:t>60</w:t>
                  </w:r>
                  <w:r>
                    <w:rPr>
                      <w:rFonts w:hint="eastAsia" w:ascii="Times New Roman" w:hAnsi="Times New Roman" w:eastAsia="宋体" w:cs="Times New Roman"/>
                      <w:color w:val="auto"/>
                      <w:sz w:val="21"/>
                      <w:szCs w:val="21"/>
                      <w:highlight w:val="none"/>
                      <w:lang w:val="en-US" w:eastAsia="zh-CN"/>
                    </w:rPr>
                    <w:t>万</w:t>
                  </w:r>
                  <w:r>
                    <w:rPr>
                      <w:rFonts w:hint="eastAsia" w:ascii="Times New Roman" w:hAnsi="Times New Roman" w:eastAsia="宋体" w:cs="Times New Roman"/>
                      <w:color w:val="auto"/>
                      <w:sz w:val="21"/>
                      <w:szCs w:val="21"/>
                      <w:lang w:val="en-US" w:eastAsia="zh-CN"/>
                    </w:rPr>
                    <w:t>元</w:t>
                  </w:r>
                  <w:r>
                    <w:rPr>
                      <w:rFonts w:hint="eastAsia" w:cs="Times New Roman"/>
                      <w:color w:val="auto"/>
                      <w:sz w:val="21"/>
                      <w:szCs w:val="21"/>
                      <w:lang w:val="en-US" w:eastAsia="zh-CN"/>
                    </w:rPr>
                    <w:t>，计划将厂区内生物质料棚，按照环保要求进行改造，达到存储飞灰的条件。建设主要内容有:1.在生物质料棚约二分之一处，使用300m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彩钢瓦进行分区隔离2.对分区后约4200m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地面做防渗措施；3.对原有约1000m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的铁质防飞网再次进行封闭；4.新增除氨系统</w:t>
                  </w:r>
                </w:p>
              </w:tc>
              <w:tc>
                <w:tcPr>
                  <w:tcW w:w="264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总投资</w:t>
                  </w:r>
                  <w:r>
                    <w:rPr>
                      <w:rFonts w:hint="eastAsia" w:cs="Times New Roman"/>
                      <w:color w:val="auto"/>
                      <w:sz w:val="21"/>
                      <w:szCs w:val="21"/>
                      <w:highlight w:val="none"/>
                      <w:lang w:val="en-US" w:eastAsia="zh-CN"/>
                    </w:rPr>
                    <w:t>60</w:t>
                  </w:r>
                  <w:r>
                    <w:rPr>
                      <w:rFonts w:hint="eastAsia" w:ascii="Times New Roman" w:hAnsi="Times New Roman" w:eastAsia="宋体" w:cs="Times New Roman"/>
                      <w:color w:val="auto"/>
                      <w:sz w:val="21"/>
                      <w:szCs w:val="21"/>
                      <w:highlight w:val="none"/>
                      <w:lang w:val="en-US" w:eastAsia="zh-CN"/>
                    </w:rPr>
                    <w:t>万</w:t>
                  </w:r>
                  <w:r>
                    <w:rPr>
                      <w:rFonts w:hint="eastAsia" w:ascii="Times New Roman" w:hAnsi="Times New Roman" w:eastAsia="宋体" w:cs="Times New Roman"/>
                      <w:color w:val="auto"/>
                      <w:sz w:val="21"/>
                      <w:szCs w:val="21"/>
                      <w:lang w:val="en-US" w:eastAsia="zh-CN"/>
                    </w:rPr>
                    <w:t>元</w:t>
                  </w:r>
                  <w:r>
                    <w:rPr>
                      <w:rFonts w:hint="eastAsia" w:cs="Times New Roman"/>
                      <w:color w:val="auto"/>
                      <w:sz w:val="21"/>
                      <w:szCs w:val="21"/>
                      <w:lang w:val="en-US" w:eastAsia="zh-CN"/>
                    </w:rPr>
                    <w:t>，计划将厂区内生物质料棚，按照环保要求进行改造，达到存储飞灰的条件。建设主要内容有:1.在生物质料棚约二分之一处，使用300m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彩钢瓦进行分区隔离2.对分区后约4200m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地面做防渗措施；3对原有约1000m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的铁质防飞网再次进行封闭；4.新增除氨系统</w:t>
                  </w:r>
                </w:p>
              </w:tc>
              <w:tc>
                <w:tcPr>
                  <w:tcW w:w="1021"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320" w:lineRule="exact"/>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bl>
          <w:p>
            <w:pPr>
              <w:pStyle w:val="12"/>
              <w:bidi w:val="0"/>
              <w:spacing w:line="360" w:lineRule="auto"/>
              <w:ind w:firstLine="482" w:firstLineChars="200"/>
              <w:rPr>
                <w:rFonts w:hint="eastAsia" w:ascii="Times New Roman" w:hAnsi="Times New Roman" w:cs="Times New Roman"/>
                <w:color w:val="auto"/>
              </w:rPr>
            </w:pPr>
            <w:r>
              <w:rPr>
                <w:rFonts w:hint="eastAsia" w:ascii="Times New Roman" w:hAnsi="Times New Roman" w:cs="Times New Roman"/>
                <w:b/>
                <w:bCs/>
                <w:color w:val="auto"/>
                <w:u w:val="none"/>
                <w:lang w:val="en-US" w:eastAsia="zh-CN"/>
              </w:rPr>
              <w:t>由上表可知，本项目建设单位、</w:t>
            </w:r>
            <w:r>
              <w:rPr>
                <w:rFonts w:hint="eastAsia" w:cs="Times New Roman"/>
                <w:b/>
                <w:bCs/>
                <w:color w:val="auto"/>
                <w:u w:val="none"/>
                <w:lang w:val="en-US" w:eastAsia="zh-CN"/>
              </w:rPr>
              <w:t>项目</w:t>
            </w:r>
            <w:r>
              <w:rPr>
                <w:rFonts w:hint="eastAsia" w:ascii="Times New Roman" w:hAnsi="Times New Roman" w:cs="Times New Roman"/>
                <w:b/>
                <w:bCs/>
                <w:color w:val="auto"/>
                <w:u w:val="none"/>
                <w:lang w:val="en-US" w:eastAsia="zh-CN"/>
              </w:rPr>
              <w:t>名称、建设地点、建设性质、</w:t>
            </w:r>
            <w:r>
              <w:rPr>
                <w:rFonts w:hint="eastAsia" w:ascii="Times New Roman" w:hAnsi="Times New Roman" w:cs="Times New Roman"/>
                <w:b/>
                <w:bCs/>
                <w:color w:val="auto"/>
                <w:u w:val="none"/>
              </w:rPr>
              <w:t>建设规模及内容</w:t>
            </w:r>
            <w:r>
              <w:rPr>
                <w:rFonts w:hint="eastAsia" w:ascii="Times New Roman" w:hAnsi="Times New Roman" w:cs="Times New Roman"/>
                <w:b/>
                <w:bCs/>
                <w:color w:val="auto"/>
                <w:u w:val="none"/>
                <w:lang w:eastAsia="zh-CN"/>
              </w:rPr>
              <w:t>和与备案相符，因此本项目与备案内容相符。</w:t>
            </w:r>
          </w:p>
          <w:p>
            <w:pPr>
              <w:pStyle w:val="23"/>
              <w:keepNext w:val="0"/>
              <w:keepLines w:val="0"/>
              <w:pageBreakBefore w:val="0"/>
              <w:widowControl w:val="0"/>
              <w:kinsoku/>
              <w:wordWrap/>
              <w:overflowPunct/>
              <w:topLinePunct w:val="0"/>
              <w:autoSpaceDE/>
              <w:autoSpaceDN/>
              <w:bidi w:val="0"/>
              <w:adjustRightInd/>
              <w:snapToGrid/>
              <w:spacing w:line="240" w:lineRule="auto"/>
              <w:ind w:left="0" w:leftChars="0" w:firstLine="482" w:firstLineChars="200"/>
              <w:textAlignment w:val="auto"/>
              <w:rPr>
                <w:rFonts w:hint="default" w:ascii="Times New Roman" w:hAnsi="Times New Roman" w:eastAsia="宋体" w:cs="Times New Roman"/>
                <w:b/>
                <w:bCs/>
                <w:color w:val="auto"/>
                <w:kern w:val="28"/>
                <w:sz w:val="24"/>
                <w:szCs w:val="24"/>
                <w:highlight w:val="none"/>
                <w:lang w:val="en-US" w:eastAsia="zh-CN" w:bidi="ar-SA"/>
              </w:rPr>
            </w:pPr>
            <w:r>
              <w:rPr>
                <w:rFonts w:hint="eastAsia" w:ascii="Times New Roman" w:hAnsi="Times New Roman" w:eastAsia="宋体" w:cs="Times New Roman"/>
                <w:b/>
                <w:bCs/>
                <w:color w:val="auto"/>
                <w:kern w:val="28"/>
                <w:sz w:val="24"/>
                <w:szCs w:val="24"/>
                <w:lang w:val="en-US" w:eastAsia="zh-CN" w:bidi="ar-SA"/>
              </w:rPr>
              <w:t>1</w:t>
            </w:r>
            <w:r>
              <w:rPr>
                <w:rFonts w:hint="eastAsia" w:ascii="Times New Roman" w:hAnsi="Times New Roman" w:cs="Times New Roman"/>
                <w:b/>
                <w:bCs/>
                <w:color w:val="auto"/>
                <w:kern w:val="28"/>
                <w:sz w:val="24"/>
                <w:szCs w:val="24"/>
                <w:lang w:val="en-US" w:eastAsia="zh-CN" w:bidi="ar-SA"/>
              </w:rPr>
              <w:t>.3</w:t>
            </w:r>
            <w:r>
              <w:rPr>
                <w:rFonts w:hint="eastAsia" w:ascii="Times New Roman" w:hAnsi="Times New Roman" w:eastAsia="宋体" w:cs="Times New Roman"/>
                <w:b/>
                <w:bCs/>
                <w:color w:val="auto"/>
                <w:kern w:val="28"/>
                <w:sz w:val="24"/>
                <w:szCs w:val="24"/>
                <w:highlight w:val="none"/>
                <w:lang w:val="en-US" w:eastAsia="zh-CN" w:bidi="ar-SA"/>
              </w:rPr>
              <w:t>本</w:t>
            </w:r>
            <w:r>
              <w:rPr>
                <w:rFonts w:hint="eastAsia" w:ascii="Times New Roman" w:hAnsi="Times New Roman" w:eastAsia="宋体" w:cs="Times New Roman"/>
                <w:b/>
                <w:bCs/>
                <w:color w:val="auto"/>
                <w:kern w:val="28"/>
                <w:sz w:val="24"/>
                <w:szCs w:val="24"/>
                <w:highlight w:val="none"/>
                <w:lang w:val="en-US" w:eastAsia="zh-Hans" w:bidi="ar-SA"/>
              </w:rPr>
              <w:t>项目</w:t>
            </w:r>
            <w:r>
              <w:rPr>
                <w:rFonts w:hint="eastAsia" w:ascii="Times New Roman" w:hAnsi="Times New Roman" w:eastAsia="宋体" w:cs="Times New Roman"/>
                <w:b/>
                <w:bCs/>
                <w:color w:val="auto"/>
                <w:kern w:val="28"/>
                <w:sz w:val="24"/>
                <w:szCs w:val="24"/>
                <w:highlight w:val="none"/>
                <w:lang w:val="en-US" w:eastAsia="zh-CN" w:bidi="ar-SA"/>
              </w:rPr>
              <w:t>与</w:t>
            </w:r>
            <w:r>
              <w:rPr>
                <w:rFonts w:hint="eastAsia" w:cs="Times New Roman"/>
                <w:b/>
                <w:bCs/>
                <w:color w:val="auto"/>
                <w:kern w:val="28"/>
                <w:sz w:val="24"/>
                <w:szCs w:val="24"/>
                <w:highlight w:val="none"/>
                <w:lang w:val="en-US" w:eastAsia="zh-CN" w:bidi="ar-SA"/>
              </w:rPr>
              <w:t>鲁山县</w:t>
            </w:r>
            <w:r>
              <w:rPr>
                <w:rFonts w:hint="eastAsia" w:ascii="Times New Roman" w:hAnsi="Times New Roman" w:eastAsia="宋体" w:cs="Times New Roman"/>
                <w:b/>
                <w:bCs/>
                <w:color w:val="auto"/>
                <w:kern w:val="28"/>
                <w:sz w:val="24"/>
                <w:szCs w:val="24"/>
                <w:highlight w:val="none"/>
                <w:lang w:val="en-US" w:eastAsia="zh-Hans" w:bidi="ar-SA"/>
              </w:rPr>
              <w:t>土地利用规划</w:t>
            </w:r>
            <w:r>
              <w:rPr>
                <w:rFonts w:hint="eastAsia" w:ascii="Times New Roman" w:hAnsi="Times New Roman" w:eastAsia="宋体" w:cs="Times New Roman"/>
                <w:b/>
                <w:bCs/>
                <w:color w:val="auto"/>
                <w:kern w:val="28"/>
                <w:sz w:val="24"/>
                <w:szCs w:val="24"/>
                <w:highlight w:val="none"/>
                <w:lang w:val="en-US" w:eastAsia="zh-CN" w:bidi="ar-SA"/>
              </w:rPr>
              <w:t>相符性分析</w:t>
            </w:r>
          </w:p>
          <w:p>
            <w:pPr>
              <w:adjustRightInd w:val="0"/>
              <w:snapToGrid w:val="0"/>
              <w:spacing w:line="52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平顶山市鲁山县张良镇姚吴程村，本项目所占用土地为租赁鲁山首创生物质能源有限公司现有生物质料棚（见附件8），所在宗地属于鲁山首创生物质能源有限公司，该用地性质属于公共设施用地（见附件5），因此本项目符合</w:t>
            </w:r>
            <w:r>
              <w:rPr>
                <w:rFonts w:hint="eastAsia" w:cs="Times New Roman"/>
                <w:color w:val="auto"/>
                <w:sz w:val="24"/>
                <w:szCs w:val="24"/>
                <w:lang w:val="en-US" w:eastAsia="zh-CN"/>
              </w:rPr>
              <w:t>平顶山市鲁山县</w:t>
            </w:r>
            <w:r>
              <w:rPr>
                <w:rFonts w:hint="eastAsia" w:ascii="Times New Roman" w:hAnsi="Times New Roman" w:eastAsia="宋体" w:cs="Times New Roman"/>
                <w:color w:val="auto"/>
                <w:sz w:val="24"/>
                <w:szCs w:val="24"/>
                <w:lang w:val="en-US" w:eastAsia="zh-CN"/>
              </w:rPr>
              <w:t>土地利用总体规划。</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color w:val="auto"/>
                <w:sz w:val="24"/>
              </w:rPr>
            </w:pPr>
            <w:r>
              <w:rPr>
                <w:rFonts w:hint="eastAsia" w:ascii="Times New Roman" w:hAnsi="Times New Roman" w:cs="Times New Roman"/>
                <w:b/>
                <w:color w:val="auto"/>
                <w:sz w:val="24"/>
              </w:rPr>
              <w:t>2建设项目环境影响评价分类管理名录</w:t>
            </w:r>
          </w:p>
          <w:p>
            <w:pPr>
              <w:keepNext w:val="0"/>
              <w:keepLines w:val="0"/>
              <w:pageBreakBefore w:val="0"/>
              <w:kinsoku/>
              <w:wordWrap/>
              <w:overflowPunct/>
              <w:topLinePunct w:val="0"/>
              <w:autoSpaceDE/>
              <w:autoSpaceDN/>
              <w:bidi w:val="0"/>
              <w:snapToGrid w:val="0"/>
              <w:spacing w:line="520" w:lineRule="exact"/>
              <w:ind w:firstLine="480" w:firstLineChars="200"/>
              <w:textAlignment w:val="auto"/>
              <w:rPr>
                <w:rFonts w:ascii="Times New Roman" w:hAnsi="Times New Roman" w:cs="Times New Roman"/>
                <w:b/>
                <w:bCs/>
                <w:color w:val="auto"/>
                <w:sz w:val="24"/>
              </w:rPr>
            </w:pPr>
            <w:r>
              <w:rPr>
                <w:rFonts w:hint="eastAsia" w:ascii="Times New Roman" w:hAnsi="Times New Roman" w:eastAsia="宋体" w:cs="Times New Roman"/>
                <w:b w:val="0"/>
                <w:bCs w:val="0"/>
                <w:color w:val="auto"/>
                <w:sz w:val="24"/>
                <w:szCs w:val="24"/>
                <w:u w:val="none"/>
              </w:rPr>
              <w:t>本项目</w:t>
            </w:r>
            <w:r>
              <w:rPr>
                <w:rFonts w:hint="eastAsia" w:cs="Times New Roman"/>
                <w:b w:val="0"/>
                <w:bCs w:val="0"/>
                <w:color w:val="auto"/>
                <w:sz w:val="24"/>
                <w:szCs w:val="24"/>
                <w:u w:val="none"/>
                <w:lang w:val="en-US" w:eastAsia="zh-CN"/>
              </w:rPr>
              <w:t>将</w:t>
            </w:r>
            <w:r>
              <w:rPr>
                <w:rFonts w:hint="eastAsia" w:ascii="Times New Roman" w:hAnsi="Times New Roman" w:eastAsia="宋体" w:cs="Times New Roman"/>
                <w:color w:val="auto"/>
                <w:sz w:val="24"/>
                <w:szCs w:val="24"/>
                <w:lang w:val="en-US" w:eastAsia="zh-CN"/>
              </w:rPr>
              <w:t>鲁山首创生物质能源有限公司现有</w:t>
            </w:r>
            <w:r>
              <w:rPr>
                <w:rFonts w:hint="eastAsia" w:cs="Times New Roman"/>
                <w:b w:val="0"/>
                <w:bCs w:val="0"/>
                <w:color w:val="auto"/>
                <w:sz w:val="24"/>
                <w:szCs w:val="24"/>
                <w:u w:val="none"/>
                <w:lang w:val="en-US" w:eastAsia="zh-CN"/>
              </w:rPr>
              <w:t>生物质料棚进行改造，达到储存飞灰条件</w:t>
            </w:r>
            <w:r>
              <w:rPr>
                <w:rFonts w:hint="eastAsia" w:ascii="Times New Roman" w:hAnsi="Times New Roman" w:eastAsia="宋体" w:cs="Times New Roman"/>
                <w:color w:val="auto"/>
                <w:sz w:val="24"/>
                <w:lang w:val="zh-CN"/>
              </w:rPr>
              <w:t>，</w:t>
            </w:r>
            <w:r>
              <w:rPr>
                <w:rFonts w:ascii="Times New Roman" w:hAnsi="Times New Roman" w:eastAsia="宋体" w:cs="Times New Roman"/>
                <w:color w:val="auto"/>
                <w:sz w:val="24"/>
                <w:szCs w:val="24"/>
              </w:rPr>
              <w:t>查阅《建设项目环境影响评价</w:t>
            </w:r>
            <w:r>
              <w:rPr>
                <w:rFonts w:ascii="Times New Roman" w:hAnsi="Times New Roman" w:cs="Times New Roman"/>
                <w:color w:val="auto"/>
                <w:sz w:val="24"/>
                <w:szCs w:val="24"/>
              </w:rPr>
              <w:t>分类管理名录》（2021年版），本项目属</w:t>
            </w:r>
            <w:r>
              <w:rPr>
                <w:rFonts w:hint="eastAsia" w:cs="Times New Roman"/>
                <w:color w:val="auto"/>
                <w:sz w:val="24"/>
                <w:szCs w:val="24"/>
                <w:lang w:val="en-US" w:eastAsia="zh-CN"/>
              </w:rPr>
              <w:t>于</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五十三、装卸搬运和仓储业 </w:t>
            </w:r>
            <w:r>
              <w:rPr>
                <w:rFonts w:ascii="Times New Roman" w:hAnsi="Times New Roman" w:cs="Times New Roman"/>
                <w:color w:val="auto"/>
                <w:sz w:val="24"/>
                <w:szCs w:val="24"/>
              </w:rPr>
              <w:t>”-“</w:t>
            </w:r>
            <w:r>
              <w:rPr>
                <w:rFonts w:hint="eastAsia" w:cs="Times New Roman"/>
                <w:color w:val="auto"/>
                <w:kern w:val="0"/>
                <w:sz w:val="24"/>
                <w:szCs w:val="24"/>
                <w:lang w:val="en-US" w:eastAsia="zh-CN"/>
              </w:rPr>
              <w:t>149危险品仓储 594（不含加油站的油库；不含加气站的气库）</w:t>
            </w:r>
            <w:r>
              <w:rPr>
                <w:rFonts w:ascii="Times New Roman" w:hAnsi="Times New Roman" w:cs="Times New Roman"/>
                <w:color w:val="auto"/>
                <w:sz w:val="24"/>
                <w:szCs w:val="24"/>
              </w:rPr>
              <w:t>”类项目，</w:t>
            </w:r>
            <w:r>
              <w:rPr>
                <w:rFonts w:hint="eastAsia" w:ascii="Times New Roman" w:hAnsi="Times New Roman" w:cs="Times New Roman"/>
                <w:color w:val="auto"/>
                <w:sz w:val="24"/>
                <w:szCs w:val="24"/>
                <w:lang w:val="en-US" w:eastAsia="zh-CN"/>
              </w:rPr>
              <w:t>应编制环境影响评价报告表，</w:t>
            </w:r>
            <w:r>
              <w:rPr>
                <w:rFonts w:ascii="Times New Roman" w:hAnsi="Times New Roman" w:cs="Times New Roman"/>
                <w:color w:val="auto"/>
                <w:sz w:val="24"/>
                <w:szCs w:val="24"/>
              </w:rPr>
              <w:t>因此本项目应编制环境影响评价报告表</w:t>
            </w:r>
            <w:r>
              <w:rPr>
                <w:rFonts w:hint="eastAsia" w:ascii="Times New Roman" w:hAnsi="Times New Roman" w:cs="Times New Roman"/>
                <w:color w:val="auto"/>
                <w:sz w:val="24"/>
                <w:szCs w:val="24"/>
                <w:lang w:eastAsia="zh-CN"/>
              </w:rPr>
              <w:t>。</w:t>
            </w:r>
          </w:p>
          <w:p>
            <w:pPr>
              <w:pStyle w:val="91"/>
              <w:keepNext w:val="0"/>
              <w:keepLines w:val="0"/>
              <w:pageBreakBefore w:val="0"/>
              <w:widowControl w:val="0"/>
              <w:kinsoku/>
              <w:wordWrap/>
              <w:overflowPunct w:val="0"/>
              <w:topLinePunct w:val="0"/>
              <w:autoSpaceDE/>
              <w:autoSpaceDN/>
              <w:bidi w:val="0"/>
              <w:adjustRightInd/>
              <w:snapToGrid w:val="0"/>
              <w:spacing w:before="0" w:after="0"/>
              <w:ind w:left="481" w:leftChars="229" w:firstLine="0" w:firstLineChars="0"/>
              <w:textAlignment w:val="auto"/>
              <w:rPr>
                <w:rFonts w:ascii="Times New Roman" w:hAnsi="Times New Roman" w:eastAsia="宋体" w:cs="Times New Roman"/>
                <w:b/>
                <w:color w:val="auto"/>
                <w:sz w:val="24"/>
                <w:szCs w:val="24"/>
                <w:u w:val="none"/>
              </w:rPr>
            </w:pPr>
            <w:r>
              <w:rPr>
                <w:rFonts w:hint="eastAsia" w:ascii="Times New Roman" w:hAnsi="Times New Roman" w:eastAsia="宋体" w:cs="Times New Roman"/>
                <w:b/>
                <w:color w:val="auto"/>
                <w:sz w:val="24"/>
                <w:szCs w:val="24"/>
                <w:u w:val="none"/>
              </w:rPr>
              <w:t>3</w:t>
            </w:r>
            <w:r>
              <w:rPr>
                <w:rFonts w:hint="eastAsia" w:ascii="Times New Roman" w:hAnsi="Times New Roman" w:eastAsia="宋体" w:cs="Times New Roman"/>
                <w:b/>
                <w:color w:val="auto"/>
                <w:sz w:val="24"/>
                <w:szCs w:val="24"/>
                <w:u w:val="none"/>
                <w:lang w:val="en-US" w:eastAsia="zh-CN"/>
              </w:rPr>
              <w:t xml:space="preserve"> </w:t>
            </w:r>
            <w:r>
              <w:rPr>
                <w:rFonts w:ascii="Times New Roman" w:hAnsi="Times New Roman" w:eastAsia="宋体" w:cs="Times New Roman"/>
                <w:b/>
                <w:color w:val="auto"/>
                <w:sz w:val="24"/>
                <w:szCs w:val="24"/>
                <w:u w:val="none"/>
              </w:rPr>
              <w:t>“三线一单”环境保护管理要求</w:t>
            </w:r>
          </w:p>
          <w:p>
            <w:pPr>
              <w:spacing w:line="520" w:lineRule="exact"/>
              <w:ind w:firstLine="480" w:firstLineChars="200"/>
              <w:rPr>
                <w:rFonts w:hint="eastAsia" w:ascii="Times New Roman" w:hAnsi="Times New Roman" w:cs="Times New Roman"/>
                <w:color w:val="auto"/>
                <w:sz w:val="24"/>
                <w:szCs w:val="24"/>
                <w:u w:val="none"/>
              </w:rPr>
            </w:pPr>
            <w:r>
              <w:rPr>
                <w:rFonts w:hint="eastAsia" w:ascii="Times New Roman" w:hAnsi="Times New Roman" w:cs="Times New Roman"/>
                <w:color w:val="auto"/>
                <w:sz w:val="24"/>
                <w:szCs w:val="24"/>
                <w:u w:val="none"/>
              </w:rPr>
              <w:t>根据生态环境部《关于实施“三线一单”生态环境分区管控的指导意见（试行）》（环环评〔2021〕108 号），“三线一单”是指：生态保护红线、环境质量底线、资源利用上线和生态环境准入清单。</w:t>
            </w:r>
          </w:p>
          <w:p>
            <w:pPr>
              <w:spacing w:line="520" w:lineRule="exact"/>
              <w:ind w:firstLine="480" w:firstLineChars="200"/>
              <w:rPr>
                <w:rFonts w:hint="eastAsia" w:ascii="Times New Roman" w:hAnsi="Times New Roman" w:cs="Times New Roman"/>
                <w:color w:val="auto"/>
                <w:sz w:val="24"/>
                <w:szCs w:val="24"/>
                <w:u w:val="none"/>
              </w:rPr>
            </w:pPr>
            <w:r>
              <w:rPr>
                <w:rFonts w:hint="default" w:ascii="Times New Roman" w:hAnsi="Times New Roman" w:eastAsia="宋体" w:cs="Times New Roman"/>
                <w:color w:val="auto"/>
                <w:kern w:val="0"/>
                <w:sz w:val="24"/>
                <w:szCs w:val="24"/>
                <w:highlight w:val="none"/>
                <w:u w:val="none"/>
                <w:lang w:val="zh-CN"/>
              </w:rPr>
              <w:t>①</w:t>
            </w:r>
            <w:r>
              <w:rPr>
                <w:rFonts w:hint="eastAsia" w:ascii="Times New Roman" w:hAnsi="Times New Roman" w:cs="Times New Roman"/>
                <w:color w:val="auto"/>
                <w:sz w:val="24"/>
                <w:szCs w:val="24"/>
                <w:u w:val="none"/>
              </w:rPr>
              <w:t>生态保护红线</w:t>
            </w:r>
          </w:p>
          <w:p>
            <w:pPr>
              <w:autoSpaceDE w:val="0"/>
              <w:autoSpaceDN w:val="0"/>
              <w:adjustRightInd w:val="0"/>
              <w:spacing w:line="520" w:lineRule="exact"/>
              <w:ind w:firstLine="480" w:firstLineChars="200"/>
              <w:jc w:val="left"/>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根据《中共中央国务院关于全面加强生态环境保护坚决打好污染防治攻坚战的意见（2018 年 6 月 16 日）》中“九、加快生态保护与修复”，将生态功能重要区域、生态环境敏感脆弱区域纳入生态保护红线。查阅《平顶山市人民政府关于实施“三线一单”生态环境分区管控的意见》（平政〔2021〕10 号）中“平顶山市</w:t>
            </w:r>
            <w:r>
              <w:rPr>
                <w:rFonts w:hint="eastAsia" w:cs="Times New Roman"/>
                <w:color w:val="auto"/>
                <w:kern w:val="2"/>
                <w:sz w:val="24"/>
                <w:szCs w:val="24"/>
                <w:u w:val="none"/>
                <w:lang w:val="en-US" w:eastAsia="zh-CN" w:bidi="ar-SA"/>
              </w:rPr>
              <w:t>鲁山县</w:t>
            </w:r>
            <w:r>
              <w:rPr>
                <w:rFonts w:hint="eastAsia" w:ascii="Times New Roman" w:hAnsi="Times New Roman" w:eastAsia="宋体" w:cs="Times New Roman"/>
                <w:color w:val="auto"/>
                <w:kern w:val="2"/>
                <w:sz w:val="24"/>
                <w:szCs w:val="24"/>
                <w:u w:val="none"/>
                <w:lang w:val="en-US" w:eastAsia="zh-CN" w:bidi="ar-SA"/>
              </w:rPr>
              <w:t>环境管控单元生态环境准入清单”，鲁山县生态红线保护范围涉及行政区划为：下汤镇、库区乡、瓦屋乡、土门办事处、赵村乡、尧山镇、四棵树乡、团城乡、熊背乡，本项目位于平顶山市鲁山县张良镇姚吴程村四组，不在生态红线保护范围内。</w:t>
            </w:r>
          </w:p>
          <w:p>
            <w:pPr>
              <w:autoSpaceDE w:val="0"/>
              <w:autoSpaceDN w:val="0"/>
              <w:adjustRightInd w:val="0"/>
              <w:spacing w:line="520" w:lineRule="exact"/>
              <w:ind w:firstLine="480" w:firstLineChars="200"/>
              <w:jc w:val="left"/>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zh-CN" w:eastAsia="zh-CN" w:bidi="ar-SA"/>
              </w:rPr>
              <w:t>②</w:t>
            </w:r>
            <w:r>
              <w:rPr>
                <w:rFonts w:hint="eastAsia" w:cs="Times New Roman"/>
                <w:color w:val="auto"/>
                <w:kern w:val="2"/>
                <w:sz w:val="24"/>
                <w:szCs w:val="24"/>
                <w:u w:val="none"/>
                <w:lang w:val="en-US" w:eastAsia="zh-CN" w:bidi="ar-SA"/>
              </w:rPr>
              <w:t>资源利用上线</w:t>
            </w:r>
          </w:p>
          <w:p>
            <w:pPr>
              <w:autoSpaceDE w:val="0"/>
              <w:autoSpaceDN w:val="0"/>
              <w:adjustRightInd w:val="0"/>
              <w:spacing w:line="520" w:lineRule="exact"/>
              <w:ind w:firstLine="480" w:firstLineChars="200"/>
              <w:jc w:val="left"/>
              <w:rPr>
                <w:rFonts w:hint="eastAsia" w:ascii="Times New Roman" w:hAnsi="Times New Roman" w:eastAsia="宋体" w:cs="Times New Roman"/>
                <w:color w:val="auto"/>
                <w:kern w:val="2"/>
                <w:sz w:val="24"/>
                <w:szCs w:val="24"/>
                <w:u w:val="none"/>
                <w:lang w:val="zh-CN" w:eastAsia="zh-CN" w:bidi="ar-SA"/>
              </w:rPr>
            </w:pPr>
            <w:r>
              <w:rPr>
                <w:rFonts w:hint="eastAsia" w:ascii="Times New Roman" w:hAnsi="Times New Roman" w:eastAsia="宋体" w:cs="Times New Roman"/>
                <w:color w:val="auto"/>
                <w:kern w:val="2"/>
                <w:sz w:val="24"/>
                <w:szCs w:val="24"/>
                <w:u w:val="none"/>
                <w:lang w:val="en-US" w:eastAsia="zh-CN" w:bidi="ar-SA"/>
              </w:rPr>
              <w:t>本项目营运过程中消耗一定量的电源</w:t>
            </w:r>
            <w:r>
              <w:rPr>
                <w:rFonts w:hint="eastAsia" w:cs="Times New Roman"/>
                <w:color w:val="auto"/>
                <w:kern w:val="2"/>
                <w:sz w:val="24"/>
                <w:szCs w:val="24"/>
                <w:u w:val="none"/>
                <w:lang w:val="en-US" w:eastAsia="zh-CN" w:bidi="ar-SA"/>
              </w:rPr>
              <w:t>（耗电约2万度/年）、水资源（388.65</w:t>
            </w:r>
            <w:r>
              <w:rPr>
                <w:rFonts w:hint="eastAsia" w:ascii="Times New Roman" w:hAnsi="Times New Roman" w:eastAsia="宋体" w:cs="Times New Roman"/>
                <w:color w:val="auto"/>
                <w:kern w:val="2"/>
                <w:sz w:val="24"/>
                <w:szCs w:val="24"/>
                <w:u w:val="none"/>
                <w:lang w:val="en-US" w:eastAsia="zh-CN" w:bidi="ar-SA"/>
              </w:rPr>
              <w:t>吨</w:t>
            </w:r>
            <w:r>
              <w:rPr>
                <w:rFonts w:hint="eastAsia" w:cs="Times New Roman"/>
                <w:color w:val="auto"/>
                <w:kern w:val="2"/>
                <w:sz w:val="24"/>
                <w:szCs w:val="24"/>
                <w:u w:val="none"/>
                <w:lang w:val="en-US" w:eastAsia="zh-CN" w:bidi="ar-SA"/>
              </w:rPr>
              <w:t>/年</w:t>
            </w:r>
            <w:r>
              <w:rPr>
                <w:rFonts w:hint="eastAsia" w:ascii="Times New Roman" w:hAnsi="Times New Roman" w:eastAsia="宋体" w:cs="Times New Roman"/>
                <w:color w:val="auto"/>
                <w:kern w:val="2"/>
                <w:sz w:val="24"/>
                <w:szCs w:val="24"/>
                <w:u w:val="none"/>
                <w:lang w:val="en-US" w:eastAsia="zh-CN" w:bidi="ar-SA"/>
              </w:rPr>
              <w:t>）</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项目资源消耗量相对区域资源利用总量较少，符合资源利用上限要求。</w:t>
            </w:r>
          </w:p>
          <w:p>
            <w:pPr>
              <w:autoSpaceDE w:val="0"/>
              <w:autoSpaceDN w:val="0"/>
              <w:adjustRightInd w:val="0"/>
              <w:spacing w:line="520" w:lineRule="exact"/>
              <w:ind w:firstLine="480" w:firstLineChars="200"/>
              <w:jc w:val="left"/>
              <w:rPr>
                <w:rFonts w:hint="default"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zh-CN" w:eastAsia="zh-CN" w:bidi="ar-SA"/>
              </w:rPr>
              <w:fldChar w:fldCharType="begin"/>
            </w:r>
            <w:r>
              <w:rPr>
                <w:rFonts w:hint="eastAsia" w:ascii="Times New Roman" w:hAnsi="Times New Roman" w:eastAsia="宋体" w:cs="Times New Roman"/>
                <w:color w:val="auto"/>
                <w:kern w:val="2"/>
                <w:sz w:val="24"/>
                <w:szCs w:val="24"/>
                <w:highlight w:val="none"/>
                <w:u w:val="none"/>
                <w:lang w:val="zh-CN" w:eastAsia="zh-CN" w:bidi="ar-SA"/>
              </w:rPr>
              <w:instrText xml:space="preserve"> = 3 \* GB3 \* MERGEFORMAT </w:instrText>
            </w:r>
            <w:r>
              <w:rPr>
                <w:rFonts w:hint="eastAsia" w:ascii="Times New Roman" w:hAnsi="Times New Roman" w:eastAsia="宋体" w:cs="Times New Roman"/>
                <w:color w:val="auto"/>
                <w:kern w:val="2"/>
                <w:sz w:val="24"/>
                <w:szCs w:val="24"/>
                <w:highlight w:val="none"/>
                <w:u w:val="none"/>
                <w:lang w:val="zh-CN" w:eastAsia="zh-CN" w:bidi="ar-SA"/>
              </w:rPr>
              <w:fldChar w:fldCharType="separate"/>
            </w:r>
            <w:r>
              <w:rPr>
                <w:rFonts w:hint="eastAsia" w:ascii="Times New Roman" w:hAnsi="Times New Roman" w:eastAsia="宋体" w:cs="Times New Roman"/>
                <w:color w:val="auto"/>
                <w:kern w:val="2"/>
                <w:sz w:val="24"/>
                <w:szCs w:val="24"/>
                <w:highlight w:val="none"/>
                <w:u w:val="none"/>
                <w:lang w:val="en-US" w:eastAsia="zh-CN" w:bidi="ar-SA"/>
              </w:rPr>
              <w:t>③</w:t>
            </w:r>
            <w:r>
              <w:rPr>
                <w:rFonts w:hint="eastAsia" w:ascii="Times New Roman" w:hAnsi="Times New Roman" w:eastAsia="宋体" w:cs="Times New Roman"/>
                <w:color w:val="auto"/>
                <w:kern w:val="2"/>
                <w:sz w:val="24"/>
                <w:szCs w:val="24"/>
                <w:highlight w:val="none"/>
                <w:u w:val="none"/>
                <w:lang w:val="zh-CN" w:eastAsia="zh-CN" w:bidi="ar-SA"/>
              </w:rPr>
              <w:fldChar w:fldCharType="end"/>
            </w:r>
            <w:r>
              <w:rPr>
                <w:rFonts w:hint="eastAsia" w:cs="Times New Roman"/>
                <w:color w:val="auto"/>
                <w:kern w:val="2"/>
                <w:sz w:val="24"/>
                <w:szCs w:val="24"/>
                <w:highlight w:val="none"/>
                <w:u w:val="none"/>
                <w:lang w:val="en-US" w:eastAsia="zh-CN" w:bidi="ar-SA"/>
              </w:rPr>
              <w:t>环境质量底线</w:t>
            </w:r>
          </w:p>
          <w:p>
            <w:pPr>
              <w:autoSpaceDE w:val="0"/>
              <w:autoSpaceDN w:val="0"/>
              <w:adjustRightInd w:val="0"/>
              <w:spacing w:line="520" w:lineRule="exact"/>
              <w:ind w:firstLine="480" w:firstLineChars="200"/>
              <w:jc w:val="left"/>
              <w:rPr>
                <w:rFonts w:hint="default" w:ascii="Times New Roman" w:hAnsi="Times New Roman" w:eastAsia="宋体" w:cs="Times New Roman"/>
                <w:color w:val="auto"/>
                <w:kern w:val="2"/>
                <w:sz w:val="24"/>
                <w:szCs w:val="24"/>
                <w:u w:val="none"/>
                <w:lang w:val="zh-CN" w:eastAsia="zh-CN" w:bidi="ar-SA"/>
              </w:rPr>
            </w:pPr>
            <w:r>
              <w:rPr>
                <w:rFonts w:hint="eastAsia" w:ascii="Times New Roman" w:hAnsi="Times New Roman" w:eastAsia="宋体" w:cs="Times New Roman"/>
                <w:color w:val="auto"/>
                <w:kern w:val="2"/>
                <w:sz w:val="24"/>
                <w:szCs w:val="24"/>
                <w:u w:val="none"/>
                <w:lang w:val="en-US" w:eastAsia="zh-CN" w:bidi="ar-SA"/>
              </w:rPr>
              <w:t>本项目附近区域环境空气质量除PM</w:t>
            </w:r>
            <w:r>
              <w:rPr>
                <w:rFonts w:hint="eastAsia" w:ascii="Times New Roman" w:hAnsi="Times New Roman" w:eastAsia="宋体" w:cs="Times New Roman"/>
                <w:color w:val="auto"/>
                <w:kern w:val="2"/>
                <w:sz w:val="24"/>
                <w:szCs w:val="24"/>
                <w:u w:val="none"/>
                <w:vertAlign w:val="subscript"/>
                <w:lang w:val="en-US" w:eastAsia="zh-CN" w:bidi="ar-SA"/>
              </w:rPr>
              <w:t>10</w:t>
            </w:r>
            <w:r>
              <w:rPr>
                <w:rFonts w:hint="eastAsia" w:ascii="Times New Roman" w:hAnsi="Times New Roman" w:eastAsia="宋体" w:cs="Times New Roman"/>
                <w:color w:val="auto"/>
                <w:kern w:val="2"/>
                <w:sz w:val="24"/>
                <w:szCs w:val="24"/>
                <w:u w:val="none"/>
                <w:lang w:val="en-US" w:eastAsia="zh-CN" w:bidi="ar-SA"/>
              </w:rPr>
              <w:t>、PM</w:t>
            </w:r>
            <w:r>
              <w:rPr>
                <w:rFonts w:hint="eastAsia" w:ascii="Times New Roman" w:hAnsi="Times New Roman" w:eastAsia="宋体" w:cs="Times New Roman"/>
                <w:color w:val="auto"/>
                <w:kern w:val="2"/>
                <w:sz w:val="24"/>
                <w:szCs w:val="24"/>
                <w:u w:val="none"/>
                <w:vertAlign w:val="subscript"/>
                <w:lang w:val="en-US" w:eastAsia="zh-CN" w:bidi="ar-SA"/>
              </w:rPr>
              <w:t>2.5</w:t>
            </w:r>
            <w:r>
              <w:rPr>
                <w:rFonts w:hint="eastAsia" w:ascii="Times New Roman" w:hAnsi="Times New Roman" w:eastAsia="宋体" w:cs="Times New Roman"/>
                <w:color w:val="auto"/>
                <w:kern w:val="2"/>
                <w:sz w:val="24"/>
                <w:szCs w:val="24"/>
                <w:u w:val="none"/>
                <w:lang w:val="en-US" w:eastAsia="zh-CN" w:bidi="ar-SA"/>
              </w:rPr>
              <w:t>超标外，其余各监测因子均</w:t>
            </w:r>
            <w:r>
              <w:rPr>
                <w:rFonts w:hint="eastAsia" w:ascii="Times New Roman" w:hAnsi="Times New Roman" w:eastAsia="宋体"/>
                <w:color w:val="auto"/>
                <w:sz w:val="24"/>
                <w:lang w:val="en-US" w:eastAsia="zh-CN"/>
              </w:rPr>
              <w:t>满足《环</w:t>
            </w:r>
            <w:r>
              <w:rPr>
                <w:rFonts w:hint="eastAsia" w:ascii="Times New Roman" w:hAnsi="Times New Roman" w:eastAsia="宋体"/>
                <w:color w:val="auto"/>
                <w:sz w:val="24"/>
              </w:rPr>
              <w:t>境空气质量标准》（GB3095-2012）二级标准</w:t>
            </w:r>
            <w:r>
              <w:rPr>
                <w:rFonts w:hint="eastAsia" w:ascii="Times New Roman" w:hAnsi="Times New Roman" w:eastAsia="宋体"/>
                <w:color w:val="auto"/>
                <w:sz w:val="24"/>
                <w:lang w:val="en-US" w:eastAsia="zh-CN"/>
              </w:rPr>
              <w:t>及修改单，</w:t>
            </w:r>
            <w:r>
              <w:rPr>
                <w:rFonts w:hint="eastAsia" w:ascii="Times New Roman" w:hAnsi="Times New Roman" w:eastAsia="宋体" w:cs="Times New Roman"/>
                <w:color w:val="auto"/>
                <w:kern w:val="2"/>
                <w:sz w:val="24"/>
                <w:szCs w:val="24"/>
                <w:u w:val="none"/>
                <w:lang w:val="en-US" w:eastAsia="zh-CN" w:bidi="ar-SA"/>
              </w:rPr>
              <w:t>地表水澎河新孔庄桥断面和冷水河田庄桥的监测数据环境除氨氮、总氮、总磷超标外</w:t>
            </w:r>
            <w:r>
              <w:rPr>
                <w:rFonts w:hint="eastAsia" w:ascii="Times New Roman" w:hAnsi="Times New Roman" w:eastAsia="宋体"/>
                <w:color w:val="auto"/>
                <w:sz w:val="24"/>
                <w:lang w:val="en-US" w:eastAsia="zh-CN"/>
              </w:rPr>
              <w:t>，其余</w:t>
            </w:r>
            <w:r>
              <w:rPr>
                <w:rFonts w:hint="eastAsia" w:ascii="Times New Roman" w:hAnsi="Times New Roman" w:eastAsia="宋体"/>
                <w:color w:val="auto"/>
                <w:sz w:val="24"/>
              </w:rPr>
              <w:t>各监测因子均能满足《地表水环境质量标准》(GB3838-2002)</w:t>
            </w:r>
            <w:r>
              <w:rPr>
                <w:rFonts w:hint="eastAsia" w:ascii="Times New Roman" w:hAnsi="Times New Roman" w:eastAsia="宋体"/>
                <w:color w:val="auto"/>
                <w:sz w:val="24"/>
              </w:rPr>
              <w:fldChar w:fldCharType="begin"/>
            </w:r>
            <w:r>
              <w:rPr>
                <w:rFonts w:hint="eastAsia" w:ascii="Times New Roman" w:hAnsi="Times New Roman" w:eastAsia="宋体"/>
                <w:color w:val="auto"/>
                <w:sz w:val="24"/>
              </w:rPr>
              <w:instrText xml:space="preserve"> = 3 \* ROMAN \* MERGEFORMAT </w:instrText>
            </w:r>
            <w:r>
              <w:rPr>
                <w:rFonts w:hint="eastAsia" w:ascii="Times New Roman" w:hAnsi="Times New Roman" w:eastAsia="宋体"/>
                <w:color w:val="auto"/>
                <w:sz w:val="24"/>
              </w:rPr>
              <w:fldChar w:fldCharType="separate"/>
            </w:r>
            <w:r>
              <w:rPr>
                <w:rFonts w:hint="eastAsia" w:ascii="Times New Roman" w:hAnsi="Times New Roman" w:eastAsia="宋体"/>
                <w:color w:val="auto"/>
                <w:sz w:val="24"/>
              </w:rPr>
              <w:t>Ⅲ</w:t>
            </w:r>
            <w:r>
              <w:rPr>
                <w:rFonts w:hint="eastAsia" w:ascii="Times New Roman" w:hAnsi="Times New Roman" w:eastAsia="宋体"/>
                <w:color w:val="auto"/>
                <w:sz w:val="24"/>
              </w:rPr>
              <w:fldChar w:fldCharType="end"/>
            </w:r>
            <w:r>
              <w:rPr>
                <w:rFonts w:hint="eastAsia" w:ascii="Times New Roman" w:hAnsi="Times New Roman" w:eastAsia="宋体"/>
                <w:color w:val="auto"/>
                <w:sz w:val="24"/>
              </w:rPr>
              <w:t>类标准要求</w:t>
            </w:r>
            <w:r>
              <w:rPr>
                <w:rFonts w:hint="eastAsia"/>
                <w:color w:val="auto"/>
                <w:sz w:val="24"/>
                <w:lang w:eastAsia="zh-CN"/>
              </w:rPr>
              <w:t>，</w:t>
            </w:r>
            <w:r>
              <w:rPr>
                <w:rFonts w:hint="eastAsia" w:cs="Times New Roman"/>
                <w:color w:val="auto"/>
                <w:kern w:val="2"/>
                <w:sz w:val="24"/>
                <w:szCs w:val="24"/>
                <w:highlight w:val="none"/>
                <w:u w:val="none"/>
                <w:lang w:val="en-US" w:eastAsia="zh-CN" w:bidi="ar-SA"/>
              </w:rPr>
              <w:t>且本项目</w:t>
            </w:r>
            <w:r>
              <w:rPr>
                <w:rFonts w:hint="eastAsia" w:ascii="Times New Roman" w:hAnsi="Times New Roman" w:eastAsia="宋体" w:cs="Times New Roman"/>
                <w:color w:val="auto"/>
                <w:kern w:val="2"/>
                <w:sz w:val="24"/>
                <w:szCs w:val="24"/>
                <w:highlight w:val="none"/>
                <w:u w:val="none"/>
                <w:lang w:val="en-US" w:eastAsia="zh-CN" w:bidi="ar-SA"/>
              </w:rPr>
              <w:t>不</w:t>
            </w:r>
            <w:r>
              <w:rPr>
                <w:rFonts w:hint="eastAsia" w:cs="Times New Roman"/>
                <w:color w:val="auto"/>
                <w:kern w:val="2"/>
                <w:sz w:val="24"/>
                <w:szCs w:val="24"/>
                <w:highlight w:val="none"/>
                <w:u w:val="none"/>
                <w:lang w:val="en-US" w:eastAsia="zh-CN" w:bidi="ar-SA"/>
              </w:rPr>
              <w:t>涉及</w:t>
            </w:r>
            <w:r>
              <w:rPr>
                <w:rFonts w:hint="eastAsia" w:ascii="Times New Roman" w:hAnsi="Times New Roman" w:eastAsia="宋体" w:cs="Times New Roman"/>
                <w:color w:val="auto"/>
                <w:kern w:val="2"/>
                <w:sz w:val="24"/>
                <w:szCs w:val="24"/>
                <w:highlight w:val="none"/>
                <w:u w:val="none"/>
                <w:lang w:val="en-US" w:eastAsia="zh-CN" w:bidi="ar-SA"/>
              </w:rPr>
              <w:t>生产废水外排</w:t>
            </w:r>
            <w:r>
              <w:rPr>
                <w:rFonts w:hint="eastAsia" w:cs="Times New Roman"/>
                <w:color w:val="auto"/>
                <w:kern w:val="2"/>
                <w:sz w:val="24"/>
                <w:szCs w:val="24"/>
                <w:highlight w:val="none"/>
                <w:u w:val="none"/>
                <w:lang w:val="en-US" w:eastAsia="zh-CN" w:bidi="ar-SA"/>
              </w:rPr>
              <w:t>，喷淋废水排入现有生产废水处理系统处理后，回用或用于冷却补充水</w:t>
            </w:r>
            <w:r>
              <w:rPr>
                <w:rFonts w:hint="eastAsia" w:ascii="Times New Roman" w:hAnsi="Times New Roman" w:eastAsia="宋体" w:cs="Times New Roman"/>
                <w:color w:val="auto"/>
                <w:kern w:val="2"/>
                <w:sz w:val="24"/>
                <w:szCs w:val="24"/>
                <w:u w:val="none"/>
                <w:lang w:val="en-US" w:eastAsia="zh-CN" w:bidi="ar-SA"/>
              </w:rPr>
              <w:t>，</w:t>
            </w:r>
            <w:r>
              <w:rPr>
                <w:rFonts w:hint="eastAsia" w:cs="Times New Roman"/>
                <w:color w:val="auto"/>
                <w:kern w:val="2"/>
                <w:sz w:val="24"/>
                <w:szCs w:val="24"/>
                <w:u w:val="none"/>
                <w:lang w:val="en-US" w:eastAsia="zh-CN" w:bidi="ar-SA"/>
              </w:rPr>
              <w:t>项目本身不产生固体废物，本项目氨气经收集治理后通过排气筒达标排放，</w:t>
            </w:r>
            <w:r>
              <w:rPr>
                <w:rFonts w:hint="eastAsia" w:ascii="Times New Roman" w:hAnsi="Times New Roman" w:eastAsia="宋体" w:cs="Times New Roman"/>
                <w:color w:val="auto"/>
                <w:kern w:val="2"/>
                <w:sz w:val="24"/>
                <w:szCs w:val="24"/>
                <w:u w:val="none"/>
                <w:lang w:val="en-US" w:eastAsia="zh-CN" w:bidi="ar-SA"/>
              </w:rPr>
              <w:t>因此，项目建设符合环境质量底线要求。</w:t>
            </w:r>
          </w:p>
          <w:p>
            <w:pPr>
              <w:autoSpaceDE w:val="0"/>
              <w:autoSpaceDN w:val="0"/>
              <w:adjustRightInd w:val="0"/>
              <w:spacing w:line="520" w:lineRule="exact"/>
              <w:ind w:firstLine="480" w:firstLineChars="200"/>
              <w:jc w:val="left"/>
              <w:rPr>
                <w:rFonts w:hint="eastAsia" w:ascii="Times New Roman" w:hAnsi="Times New Roman" w:eastAsia="宋体" w:cs="Times New Roman"/>
                <w:color w:val="auto"/>
                <w:kern w:val="2"/>
                <w:sz w:val="24"/>
                <w:szCs w:val="24"/>
                <w:highlight w:val="none"/>
                <w:u w:val="none"/>
                <w:lang w:val="zh-CN" w:eastAsia="zh-CN" w:bidi="ar-SA"/>
              </w:rPr>
            </w:pPr>
            <w:r>
              <w:rPr>
                <w:rFonts w:hint="eastAsia" w:ascii="Times New Roman" w:hAnsi="Times New Roman" w:eastAsia="宋体" w:cs="Times New Roman"/>
                <w:color w:val="auto"/>
                <w:kern w:val="2"/>
                <w:sz w:val="24"/>
                <w:szCs w:val="24"/>
                <w:highlight w:val="none"/>
                <w:u w:val="none"/>
                <w:lang w:val="zh-CN" w:eastAsia="zh-CN" w:bidi="ar-SA"/>
              </w:rPr>
              <w:t>④生态环境准入清单</w:t>
            </w:r>
          </w:p>
          <w:p>
            <w:pPr>
              <w:spacing w:line="520" w:lineRule="exact"/>
              <w:ind w:firstLine="480" w:firstLineChars="200"/>
              <w:rPr>
                <w:rFonts w:hint="eastAsia" w:ascii="Times New Roman" w:hAnsi="Times New Roman" w:cs="Times New Roman"/>
                <w:color w:val="auto"/>
                <w:kern w:val="0"/>
                <w:sz w:val="24"/>
                <w:szCs w:val="24"/>
                <w:highlight w:val="yellow"/>
                <w:u w:val="none"/>
                <w:lang w:val="zh-CN"/>
              </w:rPr>
            </w:pPr>
            <w:r>
              <w:rPr>
                <w:rFonts w:hint="eastAsia" w:ascii="Times New Roman" w:hAnsi="Times New Roman" w:cs="Times New Roman"/>
                <w:color w:val="auto"/>
                <w:sz w:val="24"/>
                <w:szCs w:val="24"/>
                <w:highlight w:val="none"/>
                <w:u w:val="none"/>
              </w:rPr>
              <w:t>本项目位于</w:t>
            </w:r>
            <w:r>
              <w:rPr>
                <w:rFonts w:hint="eastAsia" w:ascii="Times New Roman" w:hAnsi="Times New Roman" w:cs="Times New Roman"/>
                <w:color w:val="auto"/>
                <w:kern w:val="0"/>
                <w:sz w:val="24"/>
                <w:szCs w:val="24"/>
                <w:highlight w:val="none"/>
                <w:u w:val="none"/>
                <w:lang w:val="en-US" w:eastAsia="zh-CN"/>
              </w:rPr>
              <w:t>平顶山市鲁山县张良镇姚吴程村四组</w:t>
            </w:r>
            <w:r>
              <w:rPr>
                <w:rFonts w:hint="eastAsia" w:ascii="Times New Roman" w:hAnsi="Times New Roman" w:cs="Times New Roman"/>
                <w:color w:val="auto"/>
                <w:kern w:val="0"/>
                <w:sz w:val="24"/>
                <w:szCs w:val="24"/>
                <w:highlight w:val="none"/>
                <w:u w:val="none"/>
                <w:lang w:val="zh-CN"/>
              </w:rPr>
              <w:t>，查阅《关于组织实施平顶山市“三线一单”生态环境分区管控准入清单的函》（平环函[2021]121号）</w:t>
            </w:r>
            <w:r>
              <w:rPr>
                <w:rFonts w:hint="eastAsia" w:ascii="Times New Roman" w:hAnsi="Times New Roman" w:eastAsia="宋体" w:cs="Times New Roman"/>
                <w:color w:val="auto"/>
                <w:kern w:val="0"/>
                <w:sz w:val="24"/>
                <w:szCs w:val="24"/>
                <w:highlight w:val="none"/>
                <w:u w:val="none"/>
                <w:lang w:val="zh-CN"/>
              </w:rPr>
              <w:t>，</w:t>
            </w:r>
            <w:r>
              <w:rPr>
                <w:rFonts w:hint="eastAsia" w:ascii="Times New Roman" w:hAnsi="Times New Roman" w:cs="Times New Roman"/>
                <w:color w:val="auto"/>
                <w:kern w:val="0"/>
                <w:sz w:val="24"/>
                <w:szCs w:val="24"/>
                <w:highlight w:val="none"/>
                <w:u w:val="none"/>
                <w:lang w:val="zh-CN"/>
              </w:rPr>
              <w:t>项目与</w:t>
            </w:r>
            <w:r>
              <w:rPr>
                <w:rFonts w:hint="eastAsia" w:ascii="Times New Roman" w:hAnsi="Times New Roman" w:eastAsia="宋体" w:cs="Times New Roman"/>
                <w:color w:val="auto"/>
                <w:kern w:val="0"/>
                <w:sz w:val="24"/>
                <w:szCs w:val="24"/>
                <w:highlight w:val="none"/>
                <w:u w:val="none"/>
                <w:lang w:val="en-US" w:eastAsia="zh-CN"/>
              </w:rPr>
              <w:t>平顶山市</w:t>
            </w:r>
            <w:r>
              <w:rPr>
                <w:rFonts w:hint="eastAsia" w:cs="Times New Roman"/>
                <w:color w:val="auto"/>
                <w:kern w:val="0"/>
                <w:sz w:val="24"/>
                <w:szCs w:val="24"/>
                <w:highlight w:val="none"/>
                <w:u w:val="none"/>
                <w:lang w:val="en-US" w:eastAsia="zh-CN"/>
              </w:rPr>
              <w:t>鲁山县</w:t>
            </w:r>
            <w:r>
              <w:rPr>
                <w:rFonts w:hint="eastAsia" w:ascii="Times New Roman" w:hAnsi="Times New Roman" w:eastAsia="宋体" w:cs="Times New Roman"/>
                <w:color w:val="auto"/>
                <w:kern w:val="0"/>
                <w:sz w:val="24"/>
                <w:szCs w:val="24"/>
                <w:highlight w:val="none"/>
                <w:u w:val="none"/>
                <w:lang w:val="en-US" w:eastAsia="zh-CN"/>
              </w:rPr>
              <w:t>环境管控单元生态环境准入清单</w:t>
            </w:r>
            <w:r>
              <w:rPr>
                <w:rFonts w:hint="eastAsia" w:ascii="Times New Roman" w:hAnsi="Times New Roman" w:cs="Times New Roman"/>
                <w:color w:val="auto"/>
                <w:kern w:val="0"/>
                <w:sz w:val="24"/>
                <w:szCs w:val="24"/>
                <w:highlight w:val="none"/>
                <w:u w:val="none"/>
                <w:lang w:val="zh-CN"/>
              </w:rPr>
              <w:t>符合性分析详见下表。</w:t>
            </w:r>
          </w:p>
          <w:p>
            <w:pPr>
              <w:spacing w:line="240" w:lineRule="auto"/>
              <w:ind w:firstLine="480" w:firstLineChars="200"/>
              <w:jc w:val="center"/>
              <w:rPr>
                <w:rFonts w:hint="eastAsia" w:ascii="Times New Roman" w:hAnsi="Times New Roman" w:eastAsia="黑体" w:cs="Times New Roman"/>
                <w:color w:val="auto"/>
                <w:kern w:val="0"/>
                <w:sz w:val="24"/>
                <w:szCs w:val="24"/>
                <w:u w:val="none"/>
                <w:lang w:val="en-US" w:eastAsia="zh-CN"/>
              </w:rPr>
            </w:pPr>
            <w:r>
              <w:rPr>
                <w:rFonts w:ascii="Times New Roman" w:hAnsi="Times New Roman" w:eastAsia="黑体" w:cs="Times New Roman"/>
                <w:color w:val="auto"/>
                <w:kern w:val="0"/>
                <w:sz w:val="24"/>
                <w:szCs w:val="24"/>
                <w:u w:val="none"/>
                <w:lang w:val="zh-CN"/>
              </w:rPr>
              <w:t>表</w:t>
            </w:r>
            <w:r>
              <w:rPr>
                <w:rFonts w:hint="eastAsia" w:ascii="Times New Roman" w:hAnsi="Times New Roman" w:eastAsia="黑体" w:cs="Times New Roman"/>
                <w:color w:val="auto"/>
                <w:kern w:val="0"/>
                <w:sz w:val="24"/>
                <w:szCs w:val="24"/>
                <w:u w:val="none"/>
                <w:lang w:val="en-US" w:eastAsia="zh-CN"/>
              </w:rPr>
              <w:t>3</w:t>
            </w:r>
            <w:r>
              <w:rPr>
                <w:rFonts w:ascii="Times New Roman" w:hAnsi="Times New Roman" w:eastAsia="黑体" w:cs="Times New Roman"/>
                <w:color w:val="auto"/>
                <w:kern w:val="0"/>
                <w:sz w:val="24"/>
                <w:szCs w:val="24"/>
                <w:u w:val="none"/>
                <w:lang w:val="zh-CN"/>
              </w:rPr>
              <w:t xml:space="preserve"> </w:t>
            </w:r>
            <w:r>
              <w:rPr>
                <w:rFonts w:hint="eastAsia" w:eastAsia="黑体" w:cs="Times New Roman"/>
                <w:color w:val="auto"/>
                <w:kern w:val="0"/>
                <w:sz w:val="24"/>
                <w:szCs w:val="24"/>
                <w:u w:val="none"/>
                <w:lang w:val="en-US" w:eastAsia="zh-CN"/>
              </w:rPr>
              <w:t xml:space="preserve">   </w:t>
            </w:r>
            <w:r>
              <w:rPr>
                <w:rFonts w:ascii="Times New Roman" w:hAnsi="Times New Roman" w:eastAsia="黑体" w:cs="Times New Roman"/>
                <w:color w:val="auto"/>
                <w:kern w:val="0"/>
                <w:sz w:val="24"/>
                <w:szCs w:val="24"/>
                <w:u w:val="none"/>
                <w:lang w:val="zh-CN"/>
              </w:rPr>
              <w:t>项目与</w:t>
            </w:r>
            <w:r>
              <w:rPr>
                <w:rFonts w:hint="eastAsia" w:ascii="Times New Roman" w:hAnsi="Times New Roman" w:eastAsia="黑体" w:cs="Times New Roman"/>
                <w:color w:val="auto"/>
                <w:kern w:val="0"/>
                <w:sz w:val="24"/>
                <w:szCs w:val="24"/>
                <w:u w:val="none"/>
                <w:lang w:val="en-US" w:eastAsia="zh-CN"/>
              </w:rPr>
              <w:t>平顶山市</w:t>
            </w:r>
            <w:r>
              <w:rPr>
                <w:rFonts w:hint="eastAsia" w:eastAsia="黑体" w:cs="Times New Roman"/>
                <w:color w:val="auto"/>
                <w:kern w:val="0"/>
                <w:sz w:val="24"/>
                <w:szCs w:val="24"/>
                <w:u w:val="none"/>
                <w:lang w:val="en-US" w:eastAsia="zh-CN"/>
              </w:rPr>
              <w:t>鲁山县</w:t>
            </w:r>
            <w:r>
              <w:rPr>
                <w:rFonts w:hint="eastAsia" w:ascii="Times New Roman" w:hAnsi="Times New Roman" w:eastAsia="黑体" w:cs="Times New Roman"/>
                <w:color w:val="auto"/>
                <w:kern w:val="0"/>
                <w:sz w:val="24"/>
                <w:szCs w:val="24"/>
                <w:u w:val="none"/>
                <w:lang w:val="en-US" w:eastAsia="zh-CN"/>
              </w:rPr>
              <w:t>环境管控单元生态环境准入清单</w:t>
            </w:r>
          </w:p>
          <w:p>
            <w:pPr>
              <w:spacing w:line="240" w:lineRule="auto"/>
              <w:ind w:firstLine="480" w:firstLineChars="200"/>
              <w:jc w:val="center"/>
              <w:rPr>
                <w:rFonts w:ascii="Times New Roman" w:hAnsi="Times New Roman" w:cs="Times New Roman"/>
                <w:color w:val="auto"/>
                <w:u w:val="none"/>
                <w:lang w:val="zh-CN"/>
              </w:rPr>
            </w:pPr>
            <w:r>
              <w:rPr>
                <w:rFonts w:ascii="Times New Roman" w:hAnsi="Times New Roman" w:eastAsia="黑体" w:cs="Times New Roman"/>
                <w:color w:val="auto"/>
                <w:kern w:val="0"/>
                <w:sz w:val="24"/>
                <w:szCs w:val="24"/>
                <w:u w:val="none"/>
                <w:lang w:val="zh-CN"/>
              </w:rPr>
              <w:t>相符性分析一览表</w:t>
            </w:r>
          </w:p>
          <w:tbl>
            <w:tblPr>
              <w:tblStyle w:val="28"/>
              <w:tblW w:w="809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9"/>
              <w:gridCol w:w="677"/>
              <w:gridCol w:w="678"/>
              <w:gridCol w:w="698"/>
              <w:gridCol w:w="2884"/>
              <w:gridCol w:w="1761"/>
              <w:gridCol w:w="6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6" w:hRule="atLeast"/>
              </w:trPr>
              <w:tc>
                <w:tcPr>
                  <w:tcW w:w="709" w:type="dxa"/>
                  <w:tcBorders>
                    <w:top w:val="single" w:color="auto" w:sz="4" w:space="0"/>
                    <w:left w:val="single" w:color="auto" w:sz="0"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szCs w:val="21"/>
                      <w:u w:val="none"/>
                      <w:lang w:val="en-US" w:eastAsia="zh-CN"/>
                    </w:rPr>
                  </w:pPr>
                  <w:r>
                    <w:rPr>
                      <w:rFonts w:ascii="Times New Roman" w:hAnsi="Times New Roman" w:cs="Times New Roman"/>
                      <w:color w:val="auto"/>
                      <w:szCs w:val="21"/>
                      <w:u w:val="none"/>
                    </w:rPr>
                    <w:t>管控单元名称</w:t>
                  </w:r>
                  <w:r>
                    <w:rPr>
                      <w:rFonts w:hint="eastAsia" w:ascii="Times New Roman" w:hAnsi="Times New Roman" w:cs="Times New Roman"/>
                      <w:color w:val="auto"/>
                      <w:szCs w:val="21"/>
                      <w:u w:val="none"/>
                      <w:lang w:val="en-US" w:eastAsia="zh-CN"/>
                    </w:rPr>
                    <w:t>及编码</w:t>
                  </w:r>
                </w:p>
              </w:tc>
              <w:tc>
                <w:tcPr>
                  <w:tcW w:w="67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行政区划</w:t>
                  </w:r>
                </w:p>
              </w:tc>
              <w:tc>
                <w:tcPr>
                  <w:tcW w:w="67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管控单元分类</w:t>
                  </w:r>
                </w:p>
              </w:tc>
              <w:tc>
                <w:tcPr>
                  <w:tcW w:w="358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s="Times New Roman"/>
                      <w:color w:val="auto"/>
                      <w:szCs w:val="21"/>
                      <w:u w:val="none"/>
                    </w:rPr>
                  </w:pPr>
                  <w:r>
                    <w:rPr>
                      <w:rFonts w:ascii="Times New Roman" w:hAnsi="Times New Roman" w:cs="Times New Roman"/>
                      <w:color w:val="auto"/>
                      <w:szCs w:val="21"/>
                      <w:u w:val="none"/>
                    </w:rPr>
                    <w:t>管控要求</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color w:val="auto"/>
                      <w:szCs w:val="21"/>
                      <w:u w:val="none"/>
                    </w:rPr>
                  </w:pPr>
                  <w:r>
                    <w:rPr>
                      <w:rFonts w:ascii="Times New Roman" w:hAnsi="Times New Roman" w:eastAsia="宋体" w:cs="Times New Roman"/>
                      <w:color w:val="auto"/>
                      <w:szCs w:val="21"/>
                      <w:u w:val="none"/>
                    </w:rPr>
                    <w:t>项目情况</w:t>
                  </w:r>
                </w:p>
              </w:tc>
              <w:tc>
                <w:tcPr>
                  <w:tcW w:w="69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color w:val="auto"/>
                      <w:szCs w:val="21"/>
                      <w:u w:val="none"/>
                    </w:rPr>
                  </w:pPr>
                  <w:r>
                    <w:rPr>
                      <w:rFonts w:ascii="Times New Roman" w:hAnsi="Times New Roman" w:eastAsia="宋体" w:cs="Times New Roman"/>
                      <w:color w:val="auto"/>
                      <w:szCs w:val="21"/>
                      <w:u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3" w:hRule="atLeast"/>
              </w:trPr>
              <w:tc>
                <w:tcPr>
                  <w:tcW w:w="709"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eastAsia="zh-CN"/>
                    </w:rPr>
                  </w:pPr>
                  <w:r>
                    <w:rPr>
                      <w:rFonts w:hint="eastAsia" w:ascii="宋体" w:hAnsi="宋体" w:cs="宋体"/>
                      <w:i w:val="0"/>
                      <w:iCs w:val="0"/>
                      <w:color w:val="auto"/>
                      <w:kern w:val="0"/>
                      <w:sz w:val="22"/>
                      <w:szCs w:val="22"/>
                      <w:u w:val="none"/>
                      <w:lang w:val="en-US" w:eastAsia="zh-CN" w:bidi="ar"/>
                    </w:rPr>
                    <w:t>-（YS4104233310001）</w:t>
                  </w:r>
                </w:p>
              </w:tc>
              <w:tc>
                <w:tcPr>
                  <w:tcW w:w="677"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w:t>
                  </w:r>
                </w:p>
              </w:tc>
              <w:tc>
                <w:tcPr>
                  <w:tcW w:w="678" w:type="dxa"/>
                  <w:vMerge w:val="restart"/>
                  <w:tcBorders>
                    <w:top w:val="single" w:color="auto" w:sz="4" w:space="0"/>
                    <w:left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宋体" w:hAnsi="宋体" w:eastAsia="宋体" w:cs="宋体"/>
                      <w:i w:val="0"/>
                      <w:iCs w:val="0"/>
                      <w:color w:val="auto"/>
                      <w:kern w:val="0"/>
                      <w:sz w:val="22"/>
                      <w:szCs w:val="22"/>
                      <w:u w:val="none"/>
                      <w:lang w:val="en-US" w:eastAsia="zh-CN" w:bidi="ar"/>
                    </w:rPr>
                    <w:t>一般</w:t>
                  </w:r>
                  <w:r>
                    <w:rPr>
                      <w:rFonts w:hint="eastAsia" w:ascii="宋体" w:hAnsi="宋体" w:cs="宋体"/>
                      <w:i w:val="0"/>
                      <w:iCs w:val="0"/>
                      <w:color w:val="auto"/>
                      <w:kern w:val="0"/>
                      <w:sz w:val="22"/>
                      <w:szCs w:val="22"/>
                      <w:u w:val="none"/>
                      <w:lang w:val="en-US" w:eastAsia="zh-CN" w:bidi="ar"/>
                    </w:rPr>
                    <w:t>管控区</w:t>
                  </w:r>
                </w:p>
              </w:tc>
              <w:tc>
                <w:tcPr>
                  <w:tcW w:w="698"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空间布局约束</w:t>
                  </w:r>
                </w:p>
              </w:tc>
              <w:tc>
                <w:tcPr>
                  <w:tcW w:w="288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color w:val="auto"/>
                      <w:szCs w:val="21"/>
                      <w:u w:val="none"/>
                    </w:rPr>
                  </w:pPr>
                  <w:r>
                    <w:rPr>
                      <w:rFonts w:ascii="Times New Roman" w:hAnsi="Times New Roman" w:eastAsia="宋体" w:cs="Times New Roman"/>
                      <w:color w:val="auto"/>
                      <w:szCs w:val="21"/>
                      <w:u w:val="none"/>
                    </w:rPr>
                    <w:t>大力淘汰和压减钢铁、焦炭、建材等行业产能。全面推进“散乱污”企业综合整治，全面淘汰退出达不到标准的落后产能和不达标企业</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本项目不属于</w:t>
                  </w:r>
                  <w:r>
                    <w:rPr>
                      <w:rFonts w:ascii="Times New Roman" w:hAnsi="Times New Roman" w:eastAsia="宋体" w:cs="Times New Roman"/>
                      <w:color w:val="auto"/>
                      <w:szCs w:val="21"/>
                      <w:u w:val="none"/>
                    </w:rPr>
                    <w:t>达不到标准的落后产能和不达标企业</w:t>
                  </w:r>
                </w:p>
              </w:tc>
              <w:tc>
                <w:tcPr>
                  <w:tcW w:w="69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43" w:hRule="atLeast"/>
              </w:trPr>
              <w:tc>
                <w:tcPr>
                  <w:tcW w:w="709" w:type="dxa"/>
                  <w:vMerge w:val="continue"/>
                  <w:tcBorders>
                    <w:left w:val="single" w:color="auto" w:sz="4" w:space="0"/>
                    <w:right w:val="single" w:color="auto" w:sz="4" w:space="0"/>
                  </w:tcBorders>
                  <w:noWrap w:val="0"/>
                  <w:vAlign w:val="center"/>
                </w:tcPr>
                <w:p>
                  <w:pPr>
                    <w:jc w:val="center"/>
                    <w:rPr>
                      <w:rFonts w:ascii="Times New Roman" w:hAnsi="Times New Roman" w:cs="Times New Roman"/>
                      <w:color w:val="auto"/>
                      <w:szCs w:val="21"/>
                      <w:u w:val="none"/>
                    </w:rPr>
                  </w:pPr>
                </w:p>
              </w:tc>
              <w:tc>
                <w:tcPr>
                  <w:tcW w:w="677" w:type="dxa"/>
                  <w:vMerge w:val="continue"/>
                  <w:tcBorders>
                    <w:left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val="en-US" w:eastAsia="zh-CN"/>
                    </w:rPr>
                  </w:pPr>
                </w:p>
              </w:tc>
              <w:tc>
                <w:tcPr>
                  <w:tcW w:w="678" w:type="dxa"/>
                  <w:vMerge w:val="continue"/>
                  <w:tcBorders>
                    <w:left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val="en-US" w:eastAsia="zh-CN"/>
                    </w:rPr>
                  </w:pPr>
                </w:p>
              </w:tc>
              <w:tc>
                <w:tcPr>
                  <w:tcW w:w="698"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污染物排放管控</w:t>
                  </w:r>
                </w:p>
              </w:tc>
              <w:tc>
                <w:tcPr>
                  <w:tcW w:w="288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color w:val="auto"/>
                      <w:szCs w:val="21"/>
                      <w:u w:val="none"/>
                    </w:rPr>
                  </w:pPr>
                  <w:r>
                    <w:rPr>
                      <w:rFonts w:ascii="Times New Roman" w:hAnsi="Times New Roman" w:eastAsia="宋体" w:cs="Times New Roman"/>
                      <w:color w:val="auto"/>
                      <w:szCs w:val="21"/>
                      <w:u w:val="none"/>
                    </w:rPr>
                    <w:t>促进加快淘汰国三及以下柴油货车、采用稀薄燃烧技术和“油改气”的老旧燃气车辆。</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本项目使用运输、装卸车辆为国Ⅳ车辆</w:t>
                  </w:r>
                </w:p>
              </w:tc>
              <w:tc>
                <w:tcPr>
                  <w:tcW w:w="6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color w:val="auto"/>
                      <w:szCs w:val="21"/>
                      <w:u w:val="none"/>
                      <w:lang w:eastAsia="zh-CN"/>
                    </w:rPr>
                  </w:pPr>
                  <w:r>
                    <w:rPr>
                      <w:rFonts w:hint="eastAsia" w:ascii="Times New Roman" w:hAnsi="Times New Roman" w:eastAsia="宋体" w:cs="Times New Roman"/>
                      <w:color w:val="auto"/>
                      <w:szCs w:val="21"/>
                      <w:u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87" w:hRule="atLeast"/>
              </w:trPr>
              <w:tc>
                <w:tcPr>
                  <w:tcW w:w="709" w:type="dxa"/>
                  <w:vMerge w:val="continue"/>
                  <w:tcBorders>
                    <w:left w:val="single" w:color="auto" w:sz="4" w:space="0"/>
                    <w:right w:val="single" w:color="auto" w:sz="4" w:space="0"/>
                  </w:tcBorders>
                  <w:noWrap w:val="0"/>
                  <w:vAlign w:val="center"/>
                </w:tcPr>
                <w:p>
                  <w:pPr>
                    <w:jc w:val="center"/>
                    <w:rPr>
                      <w:rFonts w:ascii="Times New Roman" w:hAnsi="Times New Roman" w:cs="Times New Roman"/>
                      <w:color w:val="auto"/>
                      <w:szCs w:val="21"/>
                      <w:u w:val="none"/>
                    </w:rPr>
                  </w:pPr>
                </w:p>
              </w:tc>
              <w:tc>
                <w:tcPr>
                  <w:tcW w:w="677" w:type="dxa"/>
                  <w:vMerge w:val="continue"/>
                  <w:tcBorders>
                    <w:left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val="en-US" w:eastAsia="zh-CN"/>
                    </w:rPr>
                  </w:pPr>
                </w:p>
              </w:tc>
              <w:tc>
                <w:tcPr>
                  <w:tcW w:w="678" w:type="dxa"/>
                  <w:vMerge w:val="continue"/>
                  <w:tcBorders>
                    <w:left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val="en-US" w:eastAsia="zh-CN"/>
                    </w:rPr>
                  </w:pPr>
                </w:p>
              </w:tc>
              <w:tc>
                <w:tcPr>
                  <w:tcW w:w="69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line="260" w:lineRule="exact"/>
                    <w:jc w:val="left"/>
                    <w:textAlignment w:val="center"/>
                    <w:rPr>
                      <w:rFonts w:hint="eastAsia" w:ascii="Times New Roman" w:hAnsi="Times New Roman" w:cs="Times New Roman"/>
                      <w:color w:val="auto"/>
                      <w:szCs w:val="21"/>
                      <w:u w:val="none"/>
                      <w:lang w:val="en-US" w:eastAsia="zh-CN"/>
                    </w:rPr>
                  </w:pPr>
                  <w:r>
                    <w:rPr>
                      <w:rFonts w:hint="eastAsia" w:ascii="宋体" w:hAnsi="宋体" w:eastAsia="宋体" w:cs="宋体"/>
                      <w:i w:val="0"/>
                      <w:iCs w:val="0"/>
                      <w:color w:val="auto"/>
                      <w:kern w:val="0"/>
                      <w:sz w:val="22"/>
                      <w:szCs w:val="22"/>
                      <w:u w:val="none"/>
                      <w:lang w:val="en-US" w:eastAsia="zh-CN" w:bidi="ar"/>
                    </w:rPr>
                    <w:t>环境风险防控</w:t>
                  </w:r>
                </w:p>
              </w:tc>
              <w:tc>
                <w:tcPr>
                  <w:tcW w:w="288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line="260" w:lineRule="exact"/>
                    <w:jc w:val="center"/>
                    <w:textAlignment w:val="center"/>
                    <w:rPr>
                      <w:rFonts w:hint="default" w:ascii="宋体" w:hAnsi="宋体" w:eastAsia="宋体" w:cs="宋体"/>
                      <w:i w:val="0"/>
                      <w:iCs w:val="0"/>
                      <w:color w:val="auto"/>
                      <w:kern w:val="0"/>
                      <w:sz w:val="22"/>
                      <w:szCs w:val="22"/>
                      <w:u w:val="none"/>
                      <w:lang w:val="en-US" w:eastAsia="zh-CN" w:bidi="ar"/>
                    </w:rPr>
                  </w:pPr>
                  <w:r>
                    <w:rPr>
                      <w:rFonts w:hint="eastAsia" w:ascii="宋体" w:hAnsi="宋体" w:cs="宋体"/>
                      <w:i w:val="0"/>
                      <w:iCs w:val="0"/>
                      <w:color w:val="auto"/>
                      <w:kern w:val="0"/>
                      <w:sz w:val="22"/>
                      <w:szCs w:val="22"/>
                      <w:u w:val="none"/>
                      <w:lang w:val="en-US" w:eastAsia="zh-CN" w:bidi="ar"/>
                    </w:rPr>
                    <w:t>/</w:t>
                  </w:r>
                </w:p>
              </w:tc>
              <w:tc>
                <w:tcPr>
                  <w:tcW w:w="6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45" w:hRule="atLeast"/>
              </w:trPr>
              <w:tc>
                <w:tcPr>
                  <w:tcW w:w="709" w:type="dxa"/>
                  <w:vMerge w:val="continue"/>
                  <w:tcBorders>
                    <w:left w:val="single" w:color="auto" w:sz="4" w:space="0"/>
                    <w:bottom w:val="single" w:color="auto" w:sz="4" w:space="0"/>
                    <w:right w:val="single" w:color="auto" w:sz="4" w:space="0"/>
                  </w:tcBorders>
                  <w:noWrap w:val="0"/>
                  <w:vAlign w:val="center"/>
                </w:tcPr>
                <w:p>
                  <w:pPr>
                    <w:jc w:val="center"/>
                    <w:rPr>
                      <w:rFonts w:ascii="Times New Roman" w:hAnsi="Times New Roman" w:cs="Times New Roman"/>
                      <w:color w:val="auto"/>
                      <w:szCs w:val="21"/>
                      <w:u w:val="none"/>
                    </w:rPr>
                  </w:pPr>
                </w:p>
              </w:tc>
              <w:tc>
                <w:tcPr>
                  <w:tcW w:w="677" w:type="dxa"/>
                  <w:vMerge w:val="continue"/>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val="en-US" w:eastAsia="zh-CN"/>
                    </w:rPr>
                  </w:pPr>
                </w:p>
              </w:tc>
              <w:tc>
                <w:tcPr>
                  <w:tcW w:w="678" w:type="dxa"/>
                  <w:vMerge w:val="continue"/>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val="en-US" w:eastAsia="zh-CN"/>
                    </w:rPr>
                  </w:pPr>
                </w:p>
              </w:tc>
              <w:tc>
                <w:tcPr>
                  <w:tcW w:w="69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line="260" w:lineRule="exact"/>
                    <w:jc w:val="left"/>
                    <w:textAlignment w:val="center"/>
                    <w:rPr>
                      <w:rFonts w:hint="eastAsia" w:ascii="Times New Roman" w:hAnsi="Times New Roman" w:cs="Times New Roman"/>
                      <w:color w:val="auto"/>
                      <w:szCs w:val="21"/>
                      <w:u w:val="none"/>
                      <w:lang w:val="en-US" w:eastAsia="zh-CN"/>
                    </w:rPr>
                  </w:pPr>
                  <w:r>
                    <w:rPr>
                      <w:rFonts w:hint="eastAsia" w:ascii="宋体" w:hAnsi="宋体" w:eastAsia="宋体" w:cs="宋体"/>
                      <w:i w:val="0"/>
                      <w:iCs w:val="0"/>
                      <w:color w:val="auto"/>
                      <w:kern w:val="0"/>
                      <w:sz w:val="22"/>
                      <w:szCs w:val="22"/>
                      <w:u w:val="none"/>
                      <w:lang w:val="en-US" w:eastAsia="zh-CN" w:bidi="ar"/>
                    </w:rPr>
                    <w:t>资源开发效率要求</w:t>
                  </w:r>
                </w:p>
              </w:tc>
              <w:tc>
                <w:tcPr>
                  <w:tcW w:w="288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color w:val="auto"/>
                      <w:szCs w:val="21"/>
                      <w:u w:val="none"/>
                      <w:lang w:val="en-US" w:eastAsia="zh-CN"/>
                    </w:rPr>
                  </w:pPr>
                  <w:r>
                    <w:rPr>
                      <w:rFonts w:hint="eastAsia" w:cs="Times New Roman"/>
                      <w:color w:val="auto"/>
                      <w:szCs w:val="21"/>
                      <w:u w:val="none"/>
                      <w:lang w:val="en-US" w:eastAsia="zh-CN"/>
                    </w:rPr>
                    <w:t>/</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w:t>
                  </w:r>
                </w:p>
              </w:tc>
              <w:tc>
                <w:tcPr>
                  <w:tcW w:w="6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w:t>
                  </w:r>
                </w:p>
              </w:tc>
            </w:tr>
          </w:tbl>
          <w:p>
            <w:pPr>
              <w:spacing w:line="520" w:lineRule="exact"/>
              <w:ind w:firstLine="480" w:firstLineChars="200"/>
              <w:rPr>
                <w:rFonts w:hint="eastAsia" w:ascii="Times New Roman" w:hAnsi="Times New Roman" w:cs="Times New Roman"/>
                <w:color w:val="auto"/>
                <w:sz w:val="24"/>
                <w:szCs w:val="24"/>
                <w:u w:val="none"/>
              </w:rPr>
            </w:pPr>
            <w:r>
              <w:rPr>
                <w:rFonts w:hint="eastAsia" w:ascii="Times New Roman" w:hAnsi="Times New Roman" w:cs="Times New Roman"/>
                <w:color w:val="auto"/>
                <w:sz w:val="24"/>
                <w:szCs w:val="24"/>
                <w:u w:val="none"/>
              </w:rPr>
              <w:t>由上表分析可知，项目建设符合生态环境准入清单管理要求。</w:t>
            </w:r>
          </w:p>
          <w:p>
            <w:pPr>
              <w:pStyle w:val="38"/>
              <w:keepNext w:val="0"/>
              <w:keepLines w:val="0"/>
              <w:pageBreakBefore w:val="0"/>
              <w:widowControl w:val="0"/>
              <w:kinsoku/>
              <w:wordWrap/>
              <w:overflowPunct/>
              <w:topLinePunct w:val="0"/>
              <w:autoSpaceDE w:val="0"/>
              <w:autoSpaceDN w:val="0"/>
              <w:bidi w:val="0"/>
              <w:adjustRightInd w:val="0"/>
              <w:snapToGrid/>
              <w:spacing w:line="520" w:lineRule="exact"/>
              <w:ind w:firstLine="482" w:firstLineChars="200"/>
              <w:jc w:val="both"/>
              <w:textAlignment w:val="auto"/>
              <w:rPr>
                <w:rFonts w:ascii="Times New Roman" w:hAnsi="Times New Roman" w:cs="Times New Roman"/>
                <w:color w:val="auto"/>
                <w:highlight w:val="yellow"/>
              </w:rPr>
            </w:pPr>
            <w:r>
              <w:rPr>
                <w:rFonts w:hint="eastAsia" w:ascii="Times New Roman" w:hAnsi="Times New Roman" w:eastAsia="宋体" w:cs="Times New Roman"/>
                <w:b/>
                <w:bCs/>
                <w:color w:val="auto"/>
                <w:kern w:val="28"/>
                <w:sz w:val="24"/>
                <w:szCs w:val="24"/>
                <w:highlight w:val="none"/>
                <w:u w:val="none"/>
                <w:lang w:val="en-US" w:eastAsia="zh-CN" w:bidi="ar-SA"/>
              </w:rPr>
              <w:t>4</w:t>
            </w:r>
            <w:r>
              <w:rPr>
                <w:rFonts w:hint="eastAsia" w:ascii="Times New Roman" w:hAnsi="Times New Roman" w:cs="Times New Roman"/>
                <w:b/>
                <w:bCs/>
                <w:color w:val="auto"/>
                <w:kern w:val="28"/>
                <w:sz w:val="24"/>
                <w:szCs w:val="24"/>
                <w:highlight w:val="none"/>
                <w:u w:val="none"/>
                <w:lang w:val="en-US" w:eastAsia="zh-CN" w:bidi="ar-SA"/>
              </w:rPr>
              <w:t xml:space="preserve"> </w:t>
            </w:r>
            <w:r>
              <w:rPr>
                <w:rFonts w:ascii="Times New Roman" w:hAnsi="Times New Roman" w:cs="Times New Roman"/>
                <w:b/>
                <w:bCs/>
                <w:color w:val="auto"/>
                <w:highlight w:val="none"/>
              </w:rPr>
              <w:t>与相关水源保护区划相符性分析</w:t>
            </w:r>
          </w:p>
          <w:p>
            <w:pPr>
              <w:keepNext w:val="0"/>
              <w:keepLines w:val="0"/>
              <w:pageBreakBefore w:val="0"/>
              <w:widowControl w:val="0"/>
              <w:kinsoku/>
              <w:wordWrap/>
              <w:overflowPunct/>
              <w:topLinePunct w:val="0"/>
              <w:bidi w:val="0"/>
              <w:spacing w:line="440" w:lineRule="exact"/>
              <w:ind w:firstLine="482" w:firstLineChars="200"/>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4.1</w:t>
            </w:r>
            <w:r>
              <w:rPr>
                <w:rFonts w:hint="default" w:ascii="Times New Roman" w:hAnsi="Times New Roman" w:eastAsia="宋体" w:cs="Times New Roman"/>
                <w:b/>
                <w:bCs/>
                <w:color w:val="auto"/>
                <w:kern w:val="2"/>
                <w:sz w:val="24"/>
                <w:szCs w:val="24"/>
                <w:highlight w:val="none"/>
                <w:lang w:val="en-US" w:eastAsia="zh-CN" w:bidi="ar-SA"/>
              </w:rPr>
              <w:t>与平顶山市集中式饮用水源地的相符性分析</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lang w:val="en-US" w:eastAsia="zh-CN"/>
              </w:rPr>
              <w:t>根据《河南省人民政府关于调整取消部分集中式饮用水水源保护区的通知》（豫政文[2021]72号）</w:t>
            </w:r>
            <w:r>
              <w:rPr>
                <w:rFonts w:hint="default" w:ascii="Times New Roman" w:hAnsi="Times New Roman" w:eastAsia="宋体" w:cs="Times New Roman"/>
                <w:color w:val="auto"/>
                <w:sz w:val="24"/>
                <w:szCs w:val="24"/>
                <w:highlight w:val="none"/>
                <w:u w:val="none"/>
              </w:rPr>
              <w:t>文件，平顶山市城市集中式饮用水源保护区范围如下：</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（一）调整平顶山市白龟山水库饮用水水源保护区。具体范围如下：</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一级保护区：水库大坝上游，水库高程103米以内的区域及平顶山学院取水口外围500米至湖滨路、平顶山市自来水有限公司取水口外围500米至平湖路以内的区域；沙河、应河、澎河、冷水河入库口至上游2000米的河道管理范围区域。</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二级保护区：一级保护区外，水库高程103米至水库高程104米——湖滨路以内的区域；沙河入库口至上游昭平台水库坝下的河道管理范围区域；澎河入库口至上游14000米（南水北调中线工程澎河退水闸）的河道管理范围区域；应河、冷水河入库口至上游4000米的河道管理范围区域；大浪河、将相河、七里河、濂河、肥河入沙河口至上游1000米的河道管理范围区域。</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准保护区：一、二级保护区外，应河、澎河、冷水河河道管理范围外500米以内的区域。</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（二）调整鲁山县昭平台水库饮用水水源保护区。具体范围如下：</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一级保护区：水库大坝至上游3800米，水库高程169米以内的区域及以外200米不超过环库路的区域。</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二级保护区：一级保护区外，水库大坝上游3800米至5800米，水库高程169米以内的区域及以外至环库路的区域。</w:t>
            </w:r>
          </w:p>
          <w:p>
            <w:pPr>
              <w:keepNext w:val="0"/>
              <w:keepLines w:val="0"/>
              <w:pageBreakBefore w:val="0"/>
              <w:widowControl w:val="0"/>
              <w:kinsoku/>
              <w:wordWrap/>
              <w:overflowPunct/>
              <w:topLinePunct w:val="0"/>
              <w:bidi w:val="0"/>
              <w:spacing w:line="440" w:lineRule="exact"/>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准保护区：二级保护区外，水库高程169米以内的区域及以外至环库路的区域；沙河、荡泽河、柳林河、团城河、清水河河道管理范围外500米以内的区域。</w:t>
            </w:r>
          </w:p>
          <w:p>
            <w:pPr>
              <w:pStyle w:val="38"/>
              <w:spacing w:line="480" w:lineRule="exact"/>
              <w:ind w:firstLine="480" w:firstLineChars="200"/>
              <w:jc w:val="both"/>
              <w:rPr>
                <w:rFonts w:ascii="Times New Roman" w:hAnsi="Times New Roman" w:cs="Times New Roman"/>
                <w:color w:val="auto"/>
              </w:rPr>
            </w:pPr>
            <w:r>
              <w:rPr>
                <w:rFonts w:hint="default" w:ascii="Times New Roman" w:hAnsi="Times New Roman" w:eastAsia="宋体" w:cs="Times New Roman"/>
                <w:color w:val="auto"/>
                <w:sz w:val="24"/>
                <w:szCs w:val="24"/>
                <w:highlight w:val="none"/>
                <w:u w:val="none"/>
              </w:rPr>
              <w:t>本项目位于</w:t>
            </w:r>
            <w:r>
              <w:rPr>
                <w:rFonts w:hint="eastAsia" w:cs="Times New Roman"/>
                <w:color w:val="auto"/>
                <w:sz w:val="24"/>
                <w:szCs w:val="24"/>
                <w:highlight w:val="none"/>
                <w:u w:val="none"/>
                <w:lang w:eastAsia="zh-CN"/>
              </w:rPr>
              <w:t>平顶山市鲁山县张良镇姚吴程村四组</w:t>
            </w:r>
            <w:r>
              <w:rPr>
                <w:rFonts w:hint="default" w:ascii="Times New Roman" w:hAnsi="Times New Roman" w:eastAsia="宋体" w:cs="Times New Roman"/>
                <w:b w:val="0"/>
                <w:bCs w:val="0"/>
                <w:color w:val="auto"/>
                <w:sz w:val="24"/>
                <w:szCs w:val="24"/>
                <w:highlight w:val="none"/>
                <w:u w:val="none"/>
              </w:rPr>
              <w:t>，</w:t>
            </w:r>
            <w:r>
              <w:rPr>
                <w:rFonts w:hint="default" w:ascii="Times New Roman" w:hAnsi="Times New Roman" w:eastAsia="宋体" w:cs="Times New Roman"/>
                <w:b w:val="0"/>
                <w:bCs w:val="0"/>
                <w:color w:val="auto"/>
                <w:kern w:val="0"/>
                <w:sz w:val="24"/>
                <w:szCs w:val="24"/>
                <w:highlight w:val="none"/>
                <w:u w:val="none"/>
                <w:lang w:val="en-US" w:eastAsia="zh-CN"/>
              </w:rPr>
              <w:t>本项目</w:t>
            </w:r>
            <w:r>
              <w:rPr>
                <w:rFonts w:hint="eastAsia" w:cs="Times New Roman"/>
                <w:b w:val="0"/>
                <w:bCs w:val="0"/>
                <w:color w:val="auto"/>
                <w:kern w:val="0"/>
                <w:sz w:val="24"/>
                <w:szCs w:val="24"/>
                <w:highlight w:val="none"/>
                <w:u w:val="none"/>
                <w:lang w:val="en-US" w:eastAsia="zh-CN"/>
              </w:rPr>
              <w:t>无生产废水外排</w:t>
            </w:r>
            <w:r>
              <w:rPr>
                <w:rFonts w:hint="eastAsia" w:cs="Times New Roman"/>
                <w:color w:val="auto"/>
                <w:kern w:val="0"/>
                <w:sz w:val="24"/>
                <w:szCs w:val="24"/>
                <w:highlight w:val="none"/>
                <w:u w:val="none"/>
                <w:lang w:val="en-US" w:eastAsia="zh-CN"/>
              </w:rPr>
              <w:t>，距离</w:t>
            </w:r>
            <w:r>
              <w:rPr>
                <w:rFonts w:hint="default" w:ascii="Times New Roman" w:hAnsi="Times New Roman" w:eastAsia="宋体" w:cs="Times New Roman"/>
                <w:color w:val="auto"/>
                <w:sz w:val="24"/>
                <w:szCs w:val="24"/>
                <w:highlight w:val="none"/>
                <w:u w:val="none"/>
              </w:rPr>
              <w:t>澎河</w:t>
            </w:r>
            <w:r>
              <w:rPr>
                <w:rFonts w:hint="eastAsia" w:ascii="Times New Roman" w:cs="Times New Roman"/>
                <w:color w:val="auto"/>
                <w:sz w:val="24"/>
                <w:szCs w:val="24"/>
                <w:highlight w:val="none"/>
                <w:u w:val="none"/>
                <w:lang w:val="en-US" w:eastAsia="zh-CN"/>
              </w:rPr>
              <w:t>水库1400m</w:t>
            </w:r>
            <w:r>
              <w:rPr>
                <w:rFonts w:hint="default" w:ascii="Times New Roman" w:hAnsi="Times New Roman" w:eastAsia="宋体" w:cs="Times New Roman"/>
                <w:color w:val="auto"/>
                <w:sz w:val="24"/>
                <w:szCs w:val="24"/>
                <w:highlight w:val="none"/>
                <w:u w:val="none"/>
              </w:rPr>
              <w:t>、</w:t>
            </w:r>
            <w:r>
              <w:rPr>
                <w:rFonts w:hint="eastAsia" w:ascii="Times New Roman" w:cs="Times New Roman"/>
                <w:color w:val="auto"/>
                <w:sz w:val="24"/>
                <w:szCs w:val="24"/>
                <w:highlight w:val="none"/>
                <w:u w:val="none"/>
                <w:lang w:val="en-US" w:eastAsia="zh-CN"/>
              </w:rPr>
              <w:t>距离</w:t>
            </w:r>
            <w:r>
              <w:rPr>
                <w:rFonts w:hint="default" w:ascii="Times New Roman" w:hAnsi="Times New Roman" w:eastAsia="宋体" w:cs="Times New Roman"/>
                <w:color w:val="auto"/>
                <w:sz w:val="24"/>
                <w:szCs w:val="24"/>
                <w:highlight w:val="none"/>
                <w:u w:val="none"/>
              </w:rPr>
              <w:t>冷水河河道</w:t>
            </w:r>
            <w:r>
              <w:rPr>
                <w:rFonts w:hint="eastAsia" w:ascii="Times New Roman" w:cs="Times New Roman"/>
                <w:color w:val="auto"/>
                <w:sz w:val="24"/>
                <w:szCs w:val="24"/>
                <w:highlight w:val="none"/>
                <w:u w:val="none"/>
                <w:lang w:val="en-US" w:eastAsia="zh-CN"/>
              </w:rPr>
              <w:t>750m，</w:t>
            </w:r>
            <w:r>
              <w:rPr>
                <w:rFonts w:hint="eastAsia" w:cs="Times New Roman"/>
                <w:color w:val="auto"/>
                <w:sz w:val="24"/>
                <w:szCs w:val="24"/>
                <w:highlight w:val="none"/>
                <w:u w:val="none"/>
                <w:lang w:val="en-US" w:eastAsia="zh-CN"/>
              </w:rPr>
              <w:t>距离</w:t>
            </w:r>
            <w:r>
              <w:rPr>
                <w:rFonts w:hint="default" w:ascii="Times New Roman" w:hAnsi="Times New Roman" w:eastAsia="宋体" w:cs="Times New Roman"/>
                <w:color w:val="auto"/>
                <w:sz w:val="24"/>
                <w:szCs w:val="24"/>
                <w:highlight w:val="none"/>
                <w:u w:val="none"/>
                <w:lang w:eastAsia="zh-CN"/>
              </w:rPr>
              <w:t>沙河约</w:t>
            </w:r>
            <w:r>
              <w:rPr>
                <w:rFonts w:hint="eastAsia" w:ascii="Times New Roman" w:cs="Times New Roman"/>
                <w:color w:val="auto"/>
                <w:lang w:val="en-US" w:eastAsia="zh-CN"/>
              </w:rPr>
              <w:t>12.3</w:t>
            </w:r>
            <w:r>
              <w:rPr>
                <w:rFonts w:hint="default" w:ascii="Times New Roman" w:hAnsi="Times New Roman" w:eastAsia="宋体" w:cs="Times New Roman"/>
                <w:color w:val="auto"/>
                <w:sz w:val="24"/>
                <w:szCs w:val="24"/>
                <w:highlight w:val="none"/>
                <w:u w:val="none"/>
                <w:lang w:val="en-US" w:eastAsia="zh-CN"/>
              </w:rPr>
              <w:t>km，</w:t>
            </w:r>
            <w:r>
              <w:rPr>
                <w:rFonts w:hint="eastAsia" w:ascii="Times New Roman" w:hAnsi="Times New Roman" w:cs="Times New Roman"/>
                <w:color w:val="auto"/>
              </w:rPr>
              <w:t>距离水源保护区</w:t>
            </w:r>
            <w:r>
              <w:rPr>
                <w:rFonts w:hint="eastAsia" w:ascii="Times New Roman" w:hAnsi="Times New Roman" w:cs="Times New Roman"/>
                <w:color w:val="auto"/>
                <w:lang w:val="en-US" w:eastAsia="zh-CN"/>
              </w:rPr>
              <w:t>白龟山</w:t>
            </w:r>
            <w:r>
              <w:rPr>
                <w:rFonts w:hint="eastAsia" w:ascii="Times New Roman" w:hAnsi="Times New Roman" w:cs="Times New Roman"/>
                <w:color w:val="auto"/>
              </w:rPr>
              <w:t>水库距离约为</w:t>
            </w:r>
            <w:r>
              <w:rPr>
                <w:rFonts w:hint="eastAsia" w:ascii="Times New Roman" w:hAnsi="Times New Roman" w:cs="Times New Roman"/>
                <w:color w:val="auto"/>
                <w:lang w:val="en-US" w:eastAsia="zh-CN"/>
              </w:rPr>
              <w:t>1</w:t>
            </w:r>
            <w:r>
              <w:rPr>
                <w:rFonts w:hint="eastAsia" w:ascii="Times New Roman" w:cs="Times New Roman"/>
                <w:color w:val="auto"/>
                <w:lang w:val="en-US" w:eastAsia="zh-CN"/>
              </w:rPr>
              <w:t>2.6</w:t>
            </w:r>
            <w:r>
              <w:rPr>
                <w:rFonts w:hint="eastAsia" w:ascii="Times New Roman" w:hAnsi="Times New Roman" w:cs="Times New Roman"/>
                <w:color w:val="auto"/>
              </w:rPr>
              <w:t>km</w:t>
            </w:r>
            <w:r>
              <w:rPr>
                <w:rFonts w:hint="eastAsia" w:ascii="Times New Roman" w:cs="Times New Roman"/>
                <w:color w:val="auto"/>
                <w:lang w:eastAsia="zh-CN"/>
              </w:rPr>
              <w:t>，</w:t>
            </w:r>
            <w:r>
              <w:rPr>
                <w:rFonts w:hint="eastAsia" w:ascii="Times New Roman" w:cs="Times New Roman"/>
                <w:color w:val="auto"/>
                <w:lang w:val="en-US" w:eastAsia="zh-CN"/>
              </w:rPr>
              <w:t>距离昭平台南干渠距离约为3</w:t>
            </w:r>
            <w:r>
              <w:rPr>
                <w:rFonts w:hint="eastAsia" w:ascii="Times New Roman" w:hAnsi="Times New Roman" w:cs="Times New Roman"/>
                <w:color w:val="auto"/>
              </w:rPr>
              <w:t>km。项目选址不在平顶山市划定的一级、二级和准保护区范围内，</w:t>
            </w:r>
            <w:r>
              <w:rPr>
                <w:rFonts w:hint="eastAsia" w:ascii="Times New Roman" w:cs="Times New Roman"/>
                <w:color w:val="auto"/>
                <w:lang w:val="en-US" w:eastAsia="zh-CN"/>
              </w:rPr>
              <w:t>不在</w:t>
            </w:r>
            <w:r>
              <w:rPr>
                <w:rFonts w:hint="default" w:ascii="Times New Roman" w:hAnsi="Times New Roman" w:eastAsia="宋体" w:cs="Times New Roman"/>
                <w:color w:val="auto"/>
                <w:sz w:val="24"/>
                <w:szCs w:val="24"/>
                <w:highlight w:val="none"/>
                <w:u w:val="none"/>
              </w:rPr>
              <w:t>准保护区：一、二级保护区外，应河、澎河、冷水河河道管理范围外500米以内的区域</w:t>
            </w:r>
            <w:r>
              <w:rPr>
                <w:rFonts w:hint="eastAsia" w:ascii="Times New Roman" w:cs="Times New Roman"/>
                <w:color w:val="auto"/>
                <w:sz w:val="24"/>
                <w:szCs w:val="24"/>
                <w:highlight w:val="none"/>
                <w:u w:val="none"/>
                <w:lang w:val="en-US" w:eastAsia="zh-CN"/>
              </w:rPr>
              <w:t>,</w:t>
            </w:r>
            <w:r>
              <w:rPr>
                <w:rFonts w:hint="eastAsia" w:ascii="Times New Roman" w:hAnsi="Times New Roman" w:cs="Times New Roman"/>
                <w:color w:val="auto"/>
              </w:rPr>
              <w:t>符合平顶山市饮用水源地规划要求。</w:t>
            </w:r>
          </w:p>
          <w:p>
            <w:pPr>
              <w:keepNext w:val="0"/>
              <w:keepLines w:val="0"/>
              <w:pageBreakBefore w:val="0"/>
              <w:widowControl w:val="0"/>
              <w:kinsoku/>
              <w:wordWrap/>
              <w:overflowPunct/>
              <w:topLinePunct w:val="0"/>
              <w:bidi w:val="0"/>
              <w:spacing w:line="440" w:lineRule="exact"/>
              <w:ind w:firstLine="482" w:firstLineChars="200"/>
              <w:rPr>
                <w:rFonts w:hint="default" w:ascii="Times New Roman" w:hAnsi="Times New Roman" w:eastAsia="宋体" w:cs="Times New Roman"/>
                <w:b/>
                <w:bCs/>
                <w:color w:val="auto"/>
                <w:sz w:val="24"/>
                <w:szCs w:val="24"/>
                <w:highlight w:val="none"/>
                <w:u w:val="none"/>
              </w:rPr>
            </w:pPr>
            <w:r>
              <w:rPr>
                <w:rFonts w:hint="eastAsia" w:ascii="Times New Roman" w:hAnsi="Times New Roman" w:eastAsia="宋体" w:cs="Times New Roman"/>
                <w:b/>
                <w:bCs/>
                <w:color w:val="auto"/>
                <w:sz w:val="24"/>
                <w:szCs w:val="24"/>
                <w:highlight w:val="none"/>
                <w:u w:val="none"/>
                <w:lang w:val="en-US" w:eastAsia="zh-CN"/>
              </w:rPr>
              <w:t>4.2</w:t>
            </w:r>
            <w:r>
              <w:rPr>
                <w:rFonts w:hint="default" w:ascii="Times New Roman" w:hAnsi="Times New Roman" w:eastAsia="宋体" w:cs="Times New Roman"/>
                <w:b/>
                <w:bCs/>
                <w:color w:val="auto"/>
                <w:sz w:val="24"/>
                <w:szCs w:val="24"/>
                <w:highlight w:val="none"/>
                <w:u w:val="none"/>
              </w:rPr>
              <w:t>与鲁山县乡镇集中式饮用水水源保护区的相符性分析</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根据2016年3月6日河南省人民政府办公厅发布的《河南省人民政府办公厅关于印发河南省乡镇集中式饮用水水源保护区划的通知（豫政办〔2016〕23号）》，及《河南省人民政府关于划定调整取消部分集中式饮用水水源保护区的通知》（豫政文[2019]125号），鲁山县乡镇集中式饮用水水源保护区如下：</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1）鲁山县四棵树乡清水河前庄一级保护区范围：清水河取水口上游1000米及下游100米河道内及两侧50米的区域；二级保护区范围：一级保护区外，清水河上游2000米及下游200米河道内及两侧1000米的区域；准保护区范围：二级保护区外，清水河上游至鲁山县界河道内及两侧50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2）鲁山县尧山镇玉皇庙河西竹园一级保护区范围：玉皇庙河尧山第一漂上站水坝至上游1000米河道内及两侧50米的区域；二级保护区范围：一级保护区外，玉皇庙河上游2000米河道内及两侧1000米的区域；准保护区范围：二级保护区外，玉皇庙河上游2000米河道内及两侧50米的区域，北沟河上游2000米河道内及两侧50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3）鲁山县土门办事处土门河侯家庄一级保护区范围：土门河取水口上游1000米至下游100米河道内及两侧50米的区域；二级保护区范围：一级保护区外，土门河上游2000米至下游200米河道内及两侧1000米的区域；准保护区范围为二级保护区外，土门河上游2000米河道内及两侧50米的区域，西沟河上游2000米河道内及两侧50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4）鲁山县下汤镇沙河地下水井（共1眼井）一级保护区范围：沙河取水井上游二广高速桥（770米）至下游100米河道内及两侧50米的区域；二级保护区范围：一级保护区外，沙河上游2000米至下游200米河道内及左岸1000米、右岸至分水岭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（5）鲁山县张官营镇地下水井群（共2眼井）一级保护区范围：水厂厂区及外围47米的区域。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（6）鲁山县张良镇地下水井群（共2眼井）一级保护区范围：水厂厂区及外围47米的区域。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（7）鲁山县马楼乡地下水井群（共2眼井）一级保护区范围：水厂厂区及外围34米的区域。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（8）鲁山县磙子营乡地下水井群（共2眼井）一级保护区范围：水厂厂区及外围47米的区域（1号取水井），2号取水井外围47米的区域。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（9）鲁山县让河乡地下水井群（共2眼井）一级保护区范围：水厂厂区及外围30米的区域（1号取水井），2号取水井外围30米的区域。</w:t>
            </w:r>
          </w:p>
          <w:p>
            <w:pPr>
              <w:keepNext w:val="0"/>
              <w:keepLines w:val="0"/>
              <w:pageBreakBefore w:val="0"/>
              <w:widowControl w:val="0"/>
              <w:tabs>
                <w:tab w:val="left" w:pos="8160"/>
              </w:tabs>
              <w:kinsoku/>
              <w:wordWrap/>
              <w:overflowPunct/>
              <w:topLinePunct w:val="0"/>
              <w:autoSpaceDE/>
              <w:autoSpaceDN/>
              <w:bidi w:val="0"/>
              <w:adjustRightInd/>
              <w:snapToGrid/>
              <w:spacing w:line="440" w:lineRule="exact"/>
              <w:ind w:firstLine="480" w:firstLineChars="200"/>
              <w:textAlignment w:val="baseline"/>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本项目位于</w:t>
            </w:r>
            <w:r>
              <w:rPr>
                <w:rFonts w:hint="eastAsia" w:cs="Times New Roman"/>
                <w:b w:val="0"/>
                <w:bCs w:val="0"/>
                <w:color w:val="auto"/>
                <w:sz w:val="24"/>
                <w:szCs w:val="24"/>
                <w:highlight w:val="none"/>
                <w:u w:val="none"/>
                <w:lang w:val="en-US" w:eastAsia="zh-CN"/>
              </w:rPr>
              <w:t>平顶山市鲁山县张良镇姚吴程村四组</w:t>
            </w:r>
            <w:r>
              <w:rPr>
                <w:rFonts w:hint="default" w:ascii="Times New Roman" w:hAnsi="Times New Roman" w:eastAsia="宋体" w:cs="Times New Roman"/>
                <w:b w:val="0"/>
                <w:bCs w:val="0"/>
                <w:color w:val="auto"/>
                <w:sz w:val="24"/>
                <w:szCs w:val="24"/>
                <w:highlight w:val="none"/>
                <w:u w:val="none"/>
                <w:lang w:val="en-US" w:eastAsia="zh-CN"/>
              </w:rPr>
              <w:t>，距离最近的</w:t>
            </w:r>
            <w:r>
              <w:rPr>
                <w:rFonts w:hint="eastAsia" w:ascii="Times New Roman" w:hAnsi="Times New Roman" w:eastAsia="宋体" w:cs="Times New Roman"/>
                <w:color w:val="auto"/>
                <w:sz w:val="24"/>
                <w:szCs w:val="24"/>
                <w:lang w:eastAsia="zh-CN"/>
              </w:rPr>
              <w:t>乡镇</w:t>
            </w:r>
            <w:r>
              <w:rPr>
                <w:rFonts w:hint="default" w:ascii="Times New Roman" w:hAnsi="Times New Roman" w:eastAsia="宋体" w:cs="Times New Roman"/>
                <w:b w:val="0"/>
                <w:bCs w:val="0"/>
                <w:color w:val="auto"/>
                <w:sz w:val="24"/>
                <w:szCs w:val="24"/>
                <w:highlight w:val="none"/>
                <w:u w:val="none"/>
                <w:lang w:val="en-US" w:eastAsia="zh-CN"/>
              </w:rPr>
              <w:t>集中式饮用水源保护区</w:t>
            </w:r>
            <w:r>
              <w:rPr>
                <w:rFonts w:hint="default" w:cs="Times New Roman"/>
                <w:b w:val="0"/>
                <w:bCs w:val="0"/>
                <w:color w:val="auto"/>
                <w:sz w:val="24"/>
                <w:szCs w:val="24"/>
                <w:highlight w:val="none"/>
                <w:u w:val="none"/>
                <w:lang w:val="en-US" w:eastAsia="zh-CN"/>
              </w:rPr>
              <w:t>张良镇地下水井群</w:t>
            </w:r>
            <w:r>
              <w:rPr>
                <w:rFonts w:hint="eastAsia" w:cs="Times New Roman"/>
                <w:b w:val="0"/>
                <w:bCs w:val="0"/>
                <w:color w:val="auto"/>
                <w:sz w:val="24"/>
                <w:szCs w:val="24"/>
                <w:highlight w:val="none"/>
                <w:u w:val="none"/>
                <w:lang w:val="en-US" w:eastAsia="zh-CN"/>
              </w:rPr>
              <w:t>7</w:t>
            </w:r>
            <w:r>
              <w:rPr>
                <w:rFonts w:hint="default" w:ascii="Times New Roman" w:hAnsi="Times New Roman" w:eastAsia="宋体" w:cs="Times New Roman"/>
                <w:b w:val="0"/>
                <w:bCs w:val="0"/>
                <w:color w:val="auto"/>
                <w:sz w:val="24"/>
                <w:szCs w:val="24"/>
                <w:highlight w:val="none"/>
                <w:u w:val="none"/>
                <w:lang w:val="en-US" w:eastAsia="zh-CN"/>
              </w:rPr>
              <w:t>km。</w:t>
            </w:r>
          </w:p>
          <w:p>
            <w:pPr>
              <w:pStyle w:val="38"/>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jc w:val="both"/>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综上所述，本项目不在鲁山县乡镇集中式饮用水水源保护区范围内。</w:t>
            </w:r>
          </w:p>
          <w:p>
            <w:pPr>
              <w:pStyle w:val="38"/>
              <w:keepNext w:val="0"/>
              <w:keepLines w:val="0"/>
              <w:pageBreakBefore w:val="0"/>
              <w:widowControl w:val="0"/>
              <w:kinsoku/>
              <w:wordWrap/>
              <w:overflowPunct/>
              <w:topLinePunct w:val="0"/>
              <w:autoSpaceDE w:val="0"/>
              <w:autoSpaceDN w:val="0"/>
              <w:bidi w:val="0"/>
              <w:adjustRightInd w:val="0"/>
              <w:snapToGrid/>
              <w:spacing w:line="520" w:lineRule="exact"/>
              <w:ind w:firstLine="482" w:firstLineChars="200"/>
              <w:jc w:val="both"/>
              <w:textAlignment w:val="auto"/>
              <w:rPr>
                <w:rFonts w:ascii="Times New Roman" w:hAnsi="Times New Roman" w:cs="Times New Roman"/>
                <w:b/>
                <w:bCs/>
                <w:color w:val="auto"/>
              </w:rPr>
            </w:pPr>
            <w:r>
              <w:rPr>
                <w:rFonts w:ascii="Times New Roman" w:hAnsi="Times New Roman" w:cs="Times New Roman"/>
                <w:b/>
                <w:bCs/>
                <w:color w:val="auto"/>
              </w:rPr>
              <w:t>4.</w:t>
            </w:r>
            <w:r>
              <w:rPr>
                <w:rFonts w:hint="eastAsia" w:ascii="Times New Roman" w:cs="Times New Roman"/>
                <w:b/>
                <w:bCs/>
                <w:color w:val="auto"/>
                <w:lang w:val="en-US" w:eastAsia="zh-CN"/>
              </w:rPr>
              <w:t>3</w:t>
            </w:r>
            <w:r>
              <w:rPr>
                <w:rFonts w:hint="eastAsia" w:ascii="Times New Roman" w:hAnsi="Times New Roman" w:cs="Times New Roman"/>
                <w:b/>
                <w:bCs/>
                <w:color w:val="auto"/>
                <w:lang w:val="en-US" w:eastAsia="zh-CN"/>
              </w:rPr>
              <w:t xml:space="preserve"> </w:t>
            </w:r>
            <w:r>
              <w:rPr>
                <w:rFonts w:hint="eastAsia" w:ascii="Times New Roman" w:hAnsi="Times New Roman" w:cs="Times New Roman"/>
                <w:b/>
                <w:bCs/>
                <w:color w:val="auto"/>
              </w:rPr>
              <w:t>与</w:t>
            </w:r>
            <w:r>
              <w:rPr>
                <w:rFonts w:ascii="Times New Roman" w:hAnsi="Times New Roman" w:cs="Times New Roman"/>
                <w:b/>
                <w:bCs/>
                <w:color w:val="auto"/>
              </w:rPr>
              <w:t>南水北调中线工程饮用水水源保护区</w:t>
            </w:r>
            <w:r>
              <w:rPr>
                <w:rStyle w:val="36"/>
                <w:rFonts w:hint="eastAsia" w:ascii="Times New Roman" w:hAnsi="Times New Roman" w:cs="Times New Roman"/>
                <w:b/>
                <w:bCs/>
                <w:color w:val="auto"/>
                <w:sz w:val="24"/>
              </w:rPr>
              <w:t>的</w:t>
            </w:r>
            <w:r>
              <w:rPr>
                <w:rFonts w:hint="eastAsia" w:ascii="Times New Roman" w:hAnsi="Times New Roman" w:cs="Times New Roman"/>
                <w:b/>
                <w:bCs/>
                <w:color w:val="auto"/>
              </w:rPr>
              <w:t>相符性分析</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根据《河南省南水北调中线工程建设领导小组办公室 河南省环境保护厅 河南省水利厅 河南省国土资源厅 关于印发南水北调中线一期工程总干渠（河南段）两侧饮用水水源保护区划的通知》（豫调办</w:t>
            </w:r>
            <w:r>
              <w:rPr>
                <w:rFonts w:hint="eastAsia" w:ascii="Times New Roman" w:hAnsi="Times New Roman" w:cs="Times New Roman"/>
                <w:color w:val="auto"/>
              </w:rPr>
              <w:t>[</w:t>
            </w:r>
            <w:r>
              <w:rPr>
                <w:rFonts w:ascii="Times New Roman" w:hAnsi="Times New Roman" w:cs="Times New Roman"/>
                <w:color w:val="auto"/>
              </w:rPr>
              <w:t>2018</w:t>
            </w:r>
            <w:r>
              <w:rPr>
                <w:rFonts w:hint="eastAsia" w:ascii="Times New Roman" w:hAnsi="Times New Roman" w:cs="Times New Roman"/>
                <w:color w:val="auto"/>
              </w:rPr>
              <w:t>]</w:t>
            </w:r>
            <w:r>
              <w:rPr>
                <w:rFonts w:ascii="Times New Roman" w:hAnsi="Times New Roman" w:cs="Times New Roman"/>
                <w:color w:val="auto"/>
              </w:rPr>
              <w:t>56号）文件：</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南水北调总干渠明渠段在地下水水位低于总干渠渠底的渠段，保护区划分范围为：</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一级保护区范围自总干渠管理范围边线（防护栏网）外延50米；</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二级保护区范围自一级保护区边线外延150米。</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南水北调总干渠明渠段在地下水水位高于总干渠渠底的渠段，保护区划分范围为：</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（1）微~弱透水性地层</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一级保护区范围自总干渠管理范围边线（防护栏网）外延50米；</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二级保护区范围自一级保护区边线外延500米。</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（2）弱~中等透水性地层</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一级保护区范围自总干渠管理范围边线（防护栏网）外延100米；</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二级保护区范围自一级保护区边线外延1000米。</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（3）强透水性地层</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一级保护区范围自总干渠管理范围边线（防护栏网）外延200米；</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rPr>
              <w:t>二级保护区范围自一级保护区边线外延2000、1500米。</w:t>
            </w:r>
          </w:p>
          <w:p>
            <w:pPr>
              <w:pStyle w:val="38"/>
              <w:spacing w:line="480" w:lineRule="exact"/>
              <w:ind w:firstLine="482" w:firstLineChars="200"/>
              <w:jc w:val="both"/>
              <w:rPr>
                <w:rFonts w:hint="eastAsia" w:ascii="Times New Roman" w:hAnsi="Times New Roman" w:cs="Times New Roman"/>
                <w:color w:val="auto"/>
              </w:rPr>
            </w:pPr>
            <w:r>
              <w:rPr>
                <w:rFonts w:hint="eastAsia" w:ascii="Times New Roman" w:hAnsi="Times New Roman" w:cs="Times New Roman"/>
                <w:b/>
                <w:bCs/>
                <w:color w:val="auto"/>
              </w:rPr>
              <w:t>相符性分析：</w:t>
            </w:r>
            <w:r>
              <w:rPr>
                <w:rFonts w:hint="eastAsia" w:ascii="Times New Roman" w:hAnsi="Times New Roman" w:cs="Times New Roman"/>
                <w:color w:val="auto"/>
              </w:rPr>
              <w:t>根据《南水北调中线一期工程总干渠（平顶山市段）两侧饮用水水源保护区图册》中水源保护距离划分，在 SH23+703.2~SH35+844.2段一级保护区范围宽度为50m，二级保护区宽度为右岸500m，</w:t>
            </w:r>
            <w:r>
              <w:rPr>
                <w:rFonts w:hint="eastAsia" w:ascii="Times New Roman" w:hAnsi="Times New Roman" w:cs="Times New Roman"/>
                <w:color w:val="auto"/>
                <w:highlight w:val="none"/>
              </w:rPr>
              <w:t>本项目距离南</w:t>
            </w:r>
            <w:r>
              <w:rPr>
                <w:rFonts w:hint="eastAsia" w:ascii="Times New Roman" w:hAnsi="Times New Roman" w:cs="Times New Roman"/>
                <w:color w:val="auto"/>
              </w:rPr>
              <w:t>水北调干渠最</w:t>
            </w:r>
            <w:r>
              <w:rPr>
                <w:rFonts w:hint="eastAsia" w:ascii="Times New Roman" w:hAnsi="Times New Roman" w:cs="Times New Roman"/>
                <w:color w:val="auto"/>
                <w:lang w:val="en-US" w:eastAsia="zh-CN"/>
              </w:rPr>
              <w:t>近</w:t>
            </w:r>
            <w:r>
              <w:rPr>
                <w:rFonts w:hint="eastAsia" w:ascii="Times New Roman" w:hAnsi="Times New Roman" w:cs="Times New Roman"/>
                <w:color w:val="auto"/>
              </w:rPr>
              <w:t>距离约</w:t>
            </w:r>
            <w:r>
              <w:rPr>
                <w:rFonts w:hint="eastAsia" w:ascii="Times New Roman" w:cs="Times New Roman"/>
                <w:color w:val="auto"/>
                <w:lang w:val="en-US" w:eastAsia="zh-CN"/>
              </w:rPr>
              <w:t>3.4</w:t>
            </w:r>
            <w:r>
              <w:rPr>
                <w:rFonts w:hint="eastAsia" w:ascii="Times New Roman" w:hAnsi="Times New Roman" w:cs="Times New Roman"/>
                <w:color w:val="auto"/>
              </w:rPr>
              <w:t>km，不在南水北调一、二级保护区范围内。</w:t>
            </w:r>
          </w:p>
          <w:p>
            <w:pPr>
              <w:pStyle w:val="38"/>
              <w:spacing w:line="480" w:lineRule="exact"/>
              <w:ind w:firstLine="480" w:firstLineChars="200"/>
              <w:jc w:val="both"/>
              <w:rPr>
                <w:rFonts w:ascii="Times New Roman" w:hAnsi="Times New Roman" w:cs="Times New Roman"/>
                <w:color w:val="auto"/>
              </w:rPr>
            </w:pPr>
            <w:r>
              <w:rPr>
                <w:rFonts w:ascii="Times New Roman" w:hAnsi="Times New Roman" w:cs="Times New Roman"/>
                <w:color w:val="auto"/>
                <w:highlight w:val="none"/>
              </w:rPr>
              <w:t>综上</w:t>
            </w:r>
            <w:r>
              <w:rPr>
                <w:rFonts w:ascii="Times New Roman" w:hAnsi="Times New Roman" w:cs="Times New Roman"/>
                <w:color w:val="auto"/>
              </w:rPr>
              <w:t>，项目位于</w:t>
            </w:r>
            <w:r>
              <w:rPr>
                <w:rFonts w:hint="eastAsia" w:ascii="Times New Roman" w:hAnsi="Times New Roman" w:cs="Times New Roman"/>
                <w:color w:val="auto"/>
                <w:lang w:val="en-US" w:eastAsia="zh-CN"/>
              </w:rPr>
              <w:t>平顶山市鲁山县张良镇姚吴程村四组</w:t>
            </w:r>
            <w:r>
              <w:rPr>
                <w:rFonts w:ascii="Times New Roman" w:hAnsi="Times New Roman" w:cs="Times New Roman"/>
                <w:color w:val="auto"/>
              </w:rPr>
              <w:t>，项目不在饮用水源地</w:t>
            </w:r>
            <w:r>
              <w:rPr>
                <w:rFonts w:hint="eastAsia" w:ascii="Times New Roman" w:hAnsi="Times New Roman" w:cs="Times New Roman"/>
                <w:color w:val="auto"/>
              </w:rPr>
              <w:t>、</w:t>
            </w:r>
            <w:r>
              <w:rPr>
                <w:rFonts w:ascii="Times New Roman" w:hAnsi="Times New Roman" w:cs="Times New Roman"/>
                <w:color w:val="auto"/>
              </w:rPr>
              <w:t>南水北调总干渠保护区范围内，故项目建设符合</w:t>
            </w:r>
            <w:r>
              <w:rPr>
                <w:rFonts w:hint="eastAsia" w:ascii="Times New Roman" w:hAnsi="Times New Roman" w:cs="Times New Roman"/>
                <w:color w:val="auto"/>
              </w:rPr>
              <w:t>《关于划定调整取消部分集中式饮用水水源保护区的通知》（豫政文[2021]72号）、</w:t>
            </w:r>
            <w:r>
              <w:rPr>
                <w:rFonts w:ascii="Times New Roman" w:hAnsi="Times New Roman" w:cs="Times New Roman"/>
                <w:color w:val="auto"/>
              </w:rPr>
              <w:t>《河南省县级集中式饮用水水源保护区划》（豫政办[2013]107号）、《河南省乡镇集中式饮用水水源保护区划》（豫政办[2016]23号）及《河南省南水北调中线工程建设领导小组办公室 河南省环境保护厅 河南省水利厅 河南省国土资源厅 关于印发南水北调中线一期工程总干渠（河南段）两侧饮用水水源保护区划的通知》（豫调办</w:t>
            </w:r>
            <w:r>
              <w:rPr>
                <w:rFonts w:hint="eastAsia" w:ascii="Times New Roman" w:hAnsi="Times New Roman" w:cs="Times New Roman"/>
                <w:color w:val="auto"/>
              </w:rPr>
              <w:t>[</w:t>
            </w:r>
            <w:r>
              <w:rPr>
                <w:rFonts w:ascii="Times New Roman" w:hAnsi="Times New Roman" w:cs="Times New Roman"/>
                <w:color w:val="auto"/>
              </w:rPr>
              <w:t>2018</w:t>
            </w:r>
            <w:r>
              <w:rPr>
                <w:rFonts w:hint="eastAsia" w:ascii="Times New Roman" w:hAnsi="Times New Roman" w:cs="Times New Roman"/>
                <w:color w:val="auto"/>
              </w:rPr>
              <w:t>]</w:t>
            </w:r>
            <w:r>
              <w:rPr>
                <w:rFonts w:ascii="Times New Roman" w:hAnsi="Times New Roman" w:cs="Times New Roman"/>
                <w:color w:val="auto"/>
              </w:rPr>
              <w:t>56号）中饮用水源保护区要求。</w:t>
            </w:r>
          </w:p>
          <w:p>
            <w:pPr>
              <w:widowControl/>
              <w:spacing w:line="520" w:lineRule="exact"/>
              <w:ind w:firstLine="482" w:firstLineChars="200"/>
              <w:jc w:val="left"/>
              <w:rPr>
                <w:rFonts w:hint="default" w:ascii="宋体" w:hAnsi="宋体" w:eastAsia="宋体" w:cs="宋体"/>
                <w:b/>
                <w:bCs w:val="0"/>
                <w:color w:val="auto"/>
                <w:kern w:val="28"/>
                <w:sz w:val="24"/>
                <w:szCs w:val="40"/>
                <w:u w:val="none"/>
                <w:lang w:val="en-US" w:eastAsia="zh-CN" w:bidi="ar-SA"/>
              </w:rPr>
            </w:pPr>
            <w:r>
              <w:rPr>
                <w:rFonts w:hint="eastAsia" w:ascii="Times New Roman" w:hAnsi="Times New Roman" w:eastAsia="宋体" w:cs="Times New Roman"/>
                <w:b/>
                <w:bCs/>
                <w:color w:val="auto"/>
                <w:kern w:val="28"/>
                <w:sz w:val="24"/>
                <w:szCs w:val="24"/>
                <w:u w:val="none"/>
                <w:lang w:val="en-US" w:eastAsia="zh-CN" w:bidi="ar-SA"/>
              </w:rPr>
              <w:t>5</w:t>
            </w:r>
            <w:r>
              <w:rPr>
                <w:rFonts w:hint="eastAsia" w:ascii="宋体" w:hAnsi="宋体" w:eastAsia="宋体" w:cs="宋体"/>
                <w:b/>
                <w:bCs w:val="0"/>
                <w:color w:val="auto"/>
                <w:kern w:val="28"/>
                <w:sz w:val="24"/>
                <w:szCs w:val="40"/>
                <w:highlight w:val="none"/>
                <w:u w:val="none"/>
                <w:lang w:val="en-US" w:eastAsia="zh-CN" w:bidi="ar-SA"/>
              </w:rPr>
              <w:t>与《平顶山市生</w:t>
            </w:r>
            <w:r>
              <w:rPr>
                <w:rFonts w:hint="eastAsia" w:ascii="宋体" w:hAnsi="宋体" w:eastAsia="宋体" w:cs="宋体"/>
                <w:b/>
                <w:bCs w:val="0"/>
                <w:color w:val="auto"/>
                <w:kern w:val="28"/>
                <w:sz w:val="24"/>
                <w:szCs w:val="40"/>
                <w:u w:val="none"/>
                <w:lang w:val="en-US" w:eastAsia="zh-CN" w:bidi="ar-SA"/>
              </w:rPr>
              <w:t>态环境保护委员会办公室关于印发平顶山市 2023 年碧水保卫战实施方案的通知》</w:t>
            </w:r>
            <w:r>
              <w:rPr>
                <w:rFonts w:hint="default" w:ascii="宋体" w:hAnsi="宋体" w:eastAsia="宋体" w:cs="宋体"/>
                <w:b/>
                <w:bCs w:val="0"/>
                <w:color w:val="auto"/>
                <w:kern w:val="28"/>
                <w:sz w:val="24"/>
                <w:szCs w:val="40"/>
                <w:u w:val="none"/>
                <w:lang w:val="en-US" w:eastAsia="zh-CN" w:bidi="ar-SA"/>
              </w:rPr>
              <w:t>（</w:t>
            </w:r>
            <w:r>
              <w:rPr>
                <w:rFonts w:hint="eastAsia" w:ascii="宋体" w:hAnsi="宋体" w:eastAsia="宋体" w:cs="宋体"/>
                <w:b/>
                <w:bCs w:val="0"/>
                <w:color w:val="auto"/>
                <w:kern w:val="28"/>
                <w:sz w:val="24"/>
                <w:szCs w:val="40"/>
                <w:u w:val="none"/>
                <w:lang w:val="en-US" w:eastAsia="zh-CN" w:bidi="ar-SA"/>
              </w:rPr>
              <w:t>平环委办〔2023〕15号</w:t>
            </w:r>
            <w:r>
              <w:rPr>
                <w:rFonts w:hint="default" w:ascii="宋体" w:hAnsi="宋体" w:eastAsia="宋体" w:cs="宋体"/>
                <w:b/>
                <w:bCs w:val="0"/>
                <w:color w:val="auto"/>
                <w:kern w:val="28"/>
                <w:sz w:val="24"/>
                <w:szCs w:val="40"/>
                <w:u w:val="none"/>
                <w:lang w:val="en-US" w:eastAsia="zh-CN" w:bidi="ar-SA"/>
              </w:rPr>
              <w:t>）</w:t>
            </w:r>
            <w:r>
              <w:rPr>
                <w:rFonts w:hint="eastAsia" w:ascii="宋体" w:hAnsi="宋体" w:eastAsia="宋体" w:cs="宋体"/>
                <w:b/>
                <w:bCs w:val="0"/>
                <w:color w:val="auto"/>
                <w:kern w:val="28"/>
                <w:sz w:val="24"/>
                <w:szCs w:val="40"/>
                <w:u w:val="none"/>
                <w:lang w:val="en-US" w:eastAsia="zh-CN" w:bidi="ar-SA"/>
              </w:rPr>
              <w:t>及《平顶山市生态环境保护委员会办公室关于印发平顶山市2023年蓝天保卫战实施方案的通知》</w:t>
            </w:r>
            <w:r>
              <w:rPr>
                <w:rFonts w:hint="default" w:ascii="宋体" w:hAnsi="宋体" w:eastAsia="宋体" w:cs="宋体"/>
                <w:b/>
                <w:bCs w:val="0"/>
                <w:color w:val="auto"/>
                <w:kern w:val="28"/>
                <w:sz w:val="24"/>
                <w:szCs w:val="40"/>
                <w:u w:val="none"/>
                <w:lang w:val="en-US" w:eastAsia="zh-CN" w:bidi="ar-SA"/>
              </w:rPr>
              <w:t>（</w:t>
            </w:r>
            <w:r>
              <w:rPr>
                <w:rFonts w:hint="eastAsia" w:ascii="宋体" w:hAnsi="宋体" w:eastAsia="宋体" w:cs="宋体"/>
                <w:b/>
                <w:bCs w:val="0"/>
                <w:color w:val="auto"/>
                <w:kern w:val="28"/>
                <w:sz w:val="24"/>
                <w:szCs w:val="40"/>
                <w:u w:val="none"/>
                <w:lang w:val="en-US" w:eastAsia="zh-CN" w:bidi="ar-SA"/>
              </w:rPr>
              <w:t>平环委办〔2023〕13号</w:t>
            </w:r>
            <w:r>
              <w:rPr>
                <w:rFonts w:hint="default" w:ascii="宋体" w:hAnsi="宋体" w:eastAsia="宋体" w:cs="宋体"/>
                <w:b/>
                <w:bCs w:val="0"/>
                <w:color w:val="auto"/>
                <w:kern w:val="28"/>
                <w:sz w:val="24"/>
                <w:szCs w:val="40"/>
                <w:u w:val="none"/>
                <w:lang w:val="en-US" w:eastAsia="zh-CN" w:bidi="ar-SA"/>
              </w:rPr>
              <w:t>）</w:t>
            </w:r>
            <w:r>
              <w:rPr>
                <w:rFonts w:hint="eastAsia" w:ascii="宋体" w:hAnsi="宋体" w:eastAsia="宋体" w:cs="宋体"/>
                <w:b/>
                <w:bCs w:val="0"/>
                <w:color w:val="auto"/>
                <w:kern w:val="28"/>
                <w:sz w:val="24"/>
                <w:szCs w:val="40"/>
                <w:u w:val="none"/>
                <w:lang w:val="en-US" w:eastAsia="zh-CN" w:bidi="ar-SA"/>
              </w:rPr>
              <w:t>相符性分析。</w:t>
            </w:r>
          </w:p>
          <w:p>
            <w:pPr>
              <w:spacing w:line="520" w:lineRule="exact"/>
              <w:ind w:firstLine="480" w:firstLineChars="200"/>
              <w:jc w:val="left"/>
              <w:rPr>
                <w:rFonts w:hint="default" w:ascii="Times New Roman" w:hAnsi="Times New Roman" w:eastAsia="宋体" w:cs="Times New Roman"/>
                <w:color w:val="auto"/>
                <w:kern w:val="0"/>
                <w:sz w:val="24"/>
                <w:szCs w:val="24"/>
                <w:u w:val="none"/>
                <w:lang w:val="en-US" w:eastAsia="zh-CN"/>
              </w:rPr>
            </w:pPr>
            <w:r>
              <w:rPr>
                <w:rFonts w:hint="default" w:ascii="Times New Roman" w:hAnsi="Times New Roman" w:eastAsia="宋体" w:cs="Times New Roman"/>
                <w:color w:val="auto"/>
                <w:kern w:val="0"/>
                <w:sz w:val="24"/>
                <w:szCs w:val="24"/>
                <w:u w:val="none"/>
                <w:lang w:val="en-US" w:eastAsia="zh-CN"/>
              </w:rPr>
              <w:t>本项目建设内容与</w:t>
            </w:r>
            <w:r>
              <w:rPr>
                <w:rFonts w:hint="eastAsia" w:cs="Times New Roman"/>
                <w:color w:val="auto"/>
                <w:kern w:val="0"/>
                <w:sz w:val="24"/>
                <w:szCs w:val="24"/>
                <w:u w:val="none"/>
                <w:lang w:val="en-US" w:eastAsia="zh-CN"/>
              </w:rPr>
              <w:t>上述文件中</w:t>
            </w:r>
            <w:r>
              <w:rPr>
                <w:rFonts w:hint="default" w:ascii="Times New Roman" w:hAnsi="Times New Roman" w:eastAsia="宋体" w:cs="Times New Roman"/>
                <w:color w:val="auto"/>
                <w:kern w:val="0"/>
                <w:sz w:val="24"/>
                <w:szCs w:val="24"/>
                <w:u w:val="none"/>
                <w:lang w:val="en-US" w:eastAsia="zh-CN"/>
              </w:rPr>
              <w:t>相关内容的相符性分析</w:t>
            </w:r>
            <w:r>
              <w:rPr>
                <w:rFonts w:hint="eastAsia" w:ascii="Times New Roman" w:hAnsi="Times New Roman" w:eastAsia="宋体" w:cs="Times New Roman"/>
                <w:color w:val="auto"/>
                <w:kern w:val="0"/>
                <w:sz w:val="24"/>
                <w:szCs w:val="24"/>
                <w:u w:val="none"/>
                <w:lang w:val="en-US" w:eastAsia="zh-CN"/>
              </w:rPr>
              <w:t>详见下表</w:t>
            </w:r>
            <w:r>
              <w:rPr>
                <w:rFonts w:hint="eastAsia" w:cs="Times New Roman"/>
                <w:color w:val="auto"/>
                <w:kern w:val="0"/>
                <w:sz w:val="24"/>
                <w:szCs w:val="24"/>
                <w:u w:val="none"/>
                <w:lang w:val="en-US" w:eastAsia="zh-CN"/>
              </w:rPr>
              <w:t>（节选与本项目相关）</w:t>
            </w:r>
            <w:r>
              <w:rPr>
                <w:rFonts w:hint="eastAsia" w:ascii="Times New Roman" w:hAnsi="Times New Roman" w:eastAsia="宋体" w:cs="Times New Roman"/>
                <w:color w:val="auto"/>
                <w:kern w:val="0"/>
                <w:sz w:val="24"/>
                <w:szCs w:val="24"/>
                <w:u w:val="none"/>
                <w:lang w:val="en-US" w:eastAsia="zh-CN"/>
              </w:rPr>
              <w:t>。</w:t>
            </w:r>
          </w:p>
          <w:p>
            <w:pPr>
              <w:pStyle w:val="7"/>
              <w:numPr>
                <w:ilvl w:val="0"/>
                <w:numId w:val="0"/>
              </w:numPr>
              <w:spacing w:line="240" w:lineRule="auto"/>
              <w:jc w:val="center"/>
              <w:rPr>
                <w:rFonts w:hint="eastAsia" w:ascii="Times New Roman" w:hAnsi="Times New Roman" w:eastAsia="黑体" w:cs="Times New Roman"/>
                <w:b w:val="0"/>
                <w:color w:val="auto"/>
                <w:kern w:val="0"/>
                <w:sz w:val="24"/>
                <w:szCs w:val="24"/>
                <w:u w:val="none"/>
                <w:lang w:val="en-US" w:eastAsia="zh-CN" w:bidi="ar-SA"/>
              </w:rPr>
            </w:pPr>
            <w:r>
              <w:rPr>
                <w:rFonts w:hint="eastAsia" w:ascii="Times New Roman" w:hAnsi="Times New Roman" w:eastAsia="黑体" w:cs="Times New Roman"/>
                <w:b w:val="0"/>
                <w:color w:val="auto"/>
                <w:kern w:val="0"/>
                <w:sz w:val="24"/>
                <w:szCs w:val="24"/>
                <w:u w:val="none"/>
                <w:lang w:val="en-US" w:eastAsia="zh-CN" w:bidi="ar-SA"/>
              </w:rPr>
              <w:t xml:space="preserve">表4 </w:t>
            </w:r>
            <w:r>
              <w:rPr>
                <w:rFonts w:hint="eastAsia" w:eastAsia="黑体" w:cs="Times New Roman"/>
                <w:b w:val="0"/>
                <w:color w:val="auto"/>
                <w:kern w:val="0"/>
                <w:sz w:val="24"/>
                <w:szCs w:val="24"/>
                <w:u w:val="none"/>
                <w:lang w:val="en-US" w:eastAsia="zh-CN" w:bidi="ar-SA"/>
              </w:rPr>
              <w:t xml:space="preserve">  </w:t>
            </w:r>
            <w:r>
              <w:rPr>
                <w:rFonts w:hint="eastAsia" w:ascii="Times New Roman" w:hAnsi="Times New Roman" w:eastAsia="黑体" w:cs="Times New Roman"/>
                <w:b w:val="0"/>
                <w:color w:val="auto"/>
                <w:kern w:val="0"/>
                <w:sz w:val="24"/>
                <w:szCs w:val="24"/>
                <w:u w:val="none"/>
                <w:lang w:val="en-US" w:eastAsia="zh-CN" w:bidi="ar-SA"/>
              </w:rPr>
              <w:t>本项目建设内容与上述文件符合性分析一览表</w:t>
            </w:r>
          </w:p>
          <w:tbl>
            <w:tblPr>
              <w:tblStyle w:val="28"/>
              <w:tblW w:w="839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45"/>
              <w:gridCol w:w="1560"/>
              <w:gridCol w:w="2866"/>
              <w:gridCol w:w="1601"/>
              <w:gridCol w:w="92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5" w:hRule="atLeast"/>
                <w:jc w:val="center"/>
              </w:trPr>
              <w:tc>
                <w:tcPr>
                  <w:tcW w:w="1445" w:type="dxa"/>
                  <w:tcBorders>
                    <w:top w:val="single" w:color="000000" w:sz="12" w:space="0"/>
                    <w:left w:val="nil"/>
                    <w:bottom w:val="single" w:color="000000" w:sz="4" w:space="0"/>
                    <w:right w:val="single" w:color="000000" w:sz="4" w:space="0"/>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lang w:val="zh-CN"/>
                    </w:rPr>
                  </w:pPr>
                  <w:r>
                    <w:rPr>
                      <w:rFonts w:hint="eastAsia" w:ascii="Times New Roman" w:hAnsi="Times New Roman" w:eastAsia="宋体" w:cs="Times New Roman"/>
                      <w:b w:val="0"/>
                      <w:bCs w:val="0"/>
                      <w:color w:val="auto"/>
                      <w:kern w:val="2"/>
                      <w:sz w:val="21"/>
                      <w:szCs w:val="21"/>
                      <w:u w:val="none"/>
                      <w:lang w:val="zh-CN" w:eastAsia="zh-CN" w:bidi="ar-SA"/>
                    </w:rPr>
                    <w:t>类别</w:t>
                  </w:r>
                </w:p>
              </w:tc>
              <w:tc>
                <w:tcPr>
                  <w:tcW w:w="1560" w:type="dxa"/>
                  <w:tcBorders>
                    <w:top w:val="single" w:color="000000" w:sz="12" w:space="0"/>
                    <w:left w:val="single" w:color="000000" w:sz="4" w:space="0"/>
                    <w:bottom w:val="single" w:color="000000" w:sz="4" w:space="0"/>
                    <w:right w:val="single" w:color="000000" w:sz="4" w:space="0"/>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lang w:val="zh-CN"/>
                    </w:rPr>
                  </w:pPr>
                  <w:r>
                    <w:rPr>
                      <w:rFonts w:hint="eastAsia" w:ascii="Times New Roman" w:hAnsi="Times New Roman" w:eastAsia="宋体" w:cs="Times New Roman"/>
                      <w:b w:val="0"/>
                      <w:bCs w:val="0"/>
                      <w:color w:val="auto"/>
                      <w:kern w:val="2"/>
                      <w:sz w:val="21"/>
                      <w:szCs w:val="21"/>
                      <w:u w:val="none"/>
                      <w:lang w:val="zh-CN" w:eastAsia="zh-CN" w:bidi="ar-SA"/>
                    </w:rPr>
                    <w:t>主要任务</w:t>
                  </w:r>
                </w:p>
              </w:tc>
              <w:tc>
                <w:tcPr>
                  <w:tcW w:w="2866" w:type="dxa"/>
                  <w:tcBorders>
                    <w:top w:val="single" w:color="000000" w:sz="12" w:space="0"/>
                    <w:left w:val="single" w:color="000000" w:sz="4" w:space="0"/>
                    <w:bottom w:val="single" w:color="000000" w:sz="4" w:space="0"/>
                    <w:right w:val="single" w:color="000000" w:sz="4" w:space="0"/>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lang w:val="zh-CN"/>
                    </w:rPr>
                  </w:pPr>
                  <w:r>
                    <w:rPr>
                      <w:rFonts w:hint="eastAsia" w:ascii="Times New Roman" w:hAnsi="Times New Roman" w:eastAsia="宋体" w:cs="Times New Roman"/>
                      <w:b w:val="0"/>
                      <w:bCs w:val="0"/>
                      <w:color w:val="auto"/>
                      <w:kern w:val="2"/>
                      <w:sz w:val="21"/>
                      <w:szCs w:val="21"/>
                      <w:u w:val="none"/>
                      <w:lang w:val="zh-CN" w:eastAsia="zh-CN" w:bidi="ar-SA"/>
                    </w:rPr>
                    <w:t>实施方案相关要求</w:t>
                  </w:r>
                </w:p>
              </w:tc>
              <w:tc>
                <w:tcPr>
                  <w:tcW w:w="1601" w:type="dxa"/>
                  <w:tcBorders>
                    <w:top w:val="single" w:color="000000" w:sz="12" w:space="0"/>
                    <w:left w:val="single" w:color="000000" w:sz="4" w:space="0"/>
                    <w:bottom w:val="single" w:color="000000" w:sz="4" w:space="0"/>
                    <w:right w:val="nil"/>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lang w:val="zh-CN"/>
                    </w:rPr>
                  </w:pPr>
                  <w:r>
                    <w:rPr>
                      <w:rFonts w:hint="eastAsia" w:ascii="Times New Roman" w:hAnsi="Times New Roman" w:eastAsia="宋体" w:cs="Times New Roman"/>
                      <w:b w:val="0"/>
                      <w:bCs w:val="0"/>
                      <w:color w:val="auto"/>
                      <w:kern w:val="2"/>
                      <w:sz w:val="21"/>
                      <w:szCs w:val="21"/>
                      <w:u w:val="none"/>
                      <w:lang w:val="zh-CN" w:eastAsia="zh-CN" w:bidi="ar-SA"/>
                    </w:rPr>
                    <w:t>本项目情况</w:t>
                  </w:r>
                </w:p>
              </w:tc>
              <w:tc>
                <w:tcPr>
                  <w:tcW w:w="925" w:type="dxa"/>
                  <w:tcBorders>
                    <w:top w:val="single" w:color="000000" w:sz="12" w:space="0"/>
                    <w:left w:val="single" w:color="000000" w:sz="4" w:space="0"/>
                    <w:bottom w:val="single" w:color="000000" w:sz="4" w:space="0"/>
                    <w:right w:val="nil"/>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lang w:val="zh-CN"/>
                    </w:rPr>
                  </w:pPr>
                  <w:r>
                    <w:rPr>
                      <w:rFonts w:hint="eastAsia" w:ascii="Times New Roman" w:hAnsi="Times New Roman" w:eastAsia="宋体" w:cs="Times New Roman"/>
                      <w:b w:val="0"/>
                      <w:bCs w:val="0"/>
                      <w:color w:val="auto"/>
                      <w:kern w:val="2"/>
                      <w:sz w:val="21"/>
                      <w:szCs w:val="21"/>
                      <w:u w:val="none"/>
                      <w:lang w:val="zh-CN" w:eastAsia="zh-CN" w:bidi="ar-SA"/>
                    </w:rPr>
                    <w:t>符合性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4" w:hRule="atLeast"/>
                <w:jc w:val="center"/>
              </w:trPr>
              <w:tc>
                <w:tcPr>
                  <w:tcW w:w="1445" w:type="dxa"/>
                  <w:tcBorders>
                    <w:left w:val="nil"/>
                    <w:right w:val="single" w:color="000000" w:sz="4" w:space="0"/>
                  </w:tcBorders>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平顶山市2023年蓝天保卫战实施方案的通知</w:t>
                  </w:r>
                </w:p>
              </w:tc>
              <w:tc>
                <w:tcPr>
                  <w:tcW w:w="1560" w:type="dxa"/>
                  <w:tcBorders>
                    <w:top w:val="single" w:color="000000" w:sz="4" w:space="0"/>
                    <w:left w:val="single" w:color="000000" w:sz="4" w:space="0"/>
                    <w:right w:val="single" w:color="000000" w:sz="4" w:space="0"/>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13.加强扬尘防治精细化管理</w:t>
                  </w:r>
                </w:p>
              </w:tc>
              <w:tc>
                <w:tcPr>
                  <w:tcW w:w="2866" w:type="dxa"/>
                  <w:tcBorders>
                    <w:left w:val="single" w:color="000000" w:sz="4" w:space="0"/>
                    <w:right w:val="single" w:color="000000" w:sz="4" w:space="0"/>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开展扬尘治理提升行动，严格落实扬尘治理“两个标准”要求，做好建筑工地、线性工程城乡结合部等关键部位和重点环节综合治理，加大扬尘污染防治执法监管力度，逐月开展降尘量监测，实施公开排名通报，各县(市、区)平均降尘量不高于 7吨/月·平方公里。持续开展城市清洁行动，强化道路扬尘综合整治，重点提升国省道、县乡道路、城乡结合部和背街小巷等各类道路清扫保洁效果，2023 年底前实现建成区道路清扫覆盖率达到 90%以上，道路机械化清扫率达到 80%以上，道路清扫保洁能力显著增强。加强餐饮油烟日常监督，强化市、县监控平台联网运行，实现对大型餐饮服务单位油烟排放情况实时监控:餐饮油烟净化设施月抽查率不低于20%</w:t>
                  </w:r>
                </w:p>
              </w:tc>
              <w:tc>
                <w:tcPr>
                  <w:tcW w:w="1601" w:type="dxa"/>
                  <w:tcBorders>
                    <w:left w:val="single" w:color="000000" w:sz="4" w:space="0"/>
                    <w:right w:val="nil"/>
                  </w:tcBorders>
                  <w:noWrap w:val="0"/>
                  <w:vAlign w:val="center"/>
                </w:tcPr>
                <w:p>
                  <w:pPr>
                    <w:autoSpaceDE w:val="0"/>
                    <w:autoSpaceDN w:val="0"/>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本项目扩建飞灰库为密闭设施，且在库内安装喷干雾装置</w:t>
                  </w:r>
                </w:p>
              </w:tc>
              <w:tc>
                <w:tcPr>
                  <w:tcW w:w="925" w:type="dxa"/>
                  <w:tcBorders>
                    <w:left w:val="single" w:color="000000" w:sz="4" w:space="0"/>
                    <w:right w:val="nil"/>
                  </w:tcBorders>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相符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78" w:hRule="atLeast"/>
                <w:jc w:val="center"/>
              </w:trPr>
              <w:tc>
                <w:tcPr>
                  <w:tcW w:w="1445" w:type="dxa"/>
                  <w:tcBorders>
                    <w:left w:val="nil"/>
                    <w:right w:val="single" w:color="000000" w:sz="4" w:space="0"/>
                  </w:tcBorders>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宋体" w:hAnsi="宋体" w:eastAsia="宋体" w:cs="宋体"/>
                      <w:color w:val="auto"/>
                      <w:sz w:val="21"/>
                      <w:szCs w:val="21"/>
                      <w:u w:val="none"/>
                      <w:lang w:val="en-US" w:eastAsia="zh-CN"/>
                    </w:rPr>
                    <w:t>平顶山市 2023 年碧水保卫战实施方案的通知</w:t>
                  </w:r>
                </w:p>
              </w:tc>
              <w:tc>
                <w:tcPr>
                  <w:tcW w:w="1560" w:type="dxa"/>
                  <w:tcBorders>
                    <w:top w:val="single" w:color="000000" w:sz="4" w:space="0"/>
                    <w:left w:val="single" w:color="000000" w:sz="4" w:space="0"/>
                    <w:right w:val="single" w:color="000000" w:sz="4" w:space="0"/>
                  </w:tcBorders>
                  <w:noWrap w:val="0"/>
                  <w:vAlign w:val="center"/>
                </w:tcPr>
                <w:p>
                  <w:pPr>
                    <w:autoSpaceDE w:val="0"/>
                    <w:autoSpaceDN w:val="0"/>
                    <w:adjustRightInd w:val="0"/>
                    <w:spacing w:line="240" w:lineRule="auto"/>
                    <w:jc w:val="center"/>
                    <w:rPr>
                      <w:rFonts w:hint="eastAsia" w:ascii="Times New Roman" w:hAnsi="Times New Roman" w:eastAsia="宋体" w:cs="Times New Roman"/>
                      <w:color w:val="auto"/>
                      <w:sz w:val="21"/>
                      <w:szCs w:val="21"/>
                      <w:u w:val="none"/>
                      <w:lang w:val="en-US" w:eastAsia="zh-CN"/>
                    </w:rPr>
                  </w:pPr>
                  <w:r>
                    <w:rPr>
                      <w:rFonts w:hint="eastAsia" w:ascii="宋体" w:hAnsi="宋体" w:eastAsia="宋体" w:cs="宋体"/>
                      <w:color w:val="auto"/>
                      <w:sz w:val="21"/>
                      <w:szCs w:val="21"/>
                      <w:u w:val="none"/>
                    </w:rPr>
                    <w:t>22.加强水环境风险防控</w:t>
                  </w:r>
                </w:p>
              </w:tc>
              <w:tc>
                <w:tcPr>
                  <w:tcW w:w="2866" w:type="dxa"/>
                  <w:tcBorders>
                    <w:left w:val="single" w:color="000000" w:sz="4" w:space="0"/>
                    <w:right w:val="single" w:color="000000" w:sz="4" w:space="0"/>
                  </w:tcBorders>
                  <w:noWrap w:val="0"/>
                  <w:vAlign w:val="center"/>
                </w:tcPr>
                <w:p>
                  <w:pPr>
                    <w:autoSpaceDE w:val="0"/>
                    <w:autoSpaceDN w:val="0"/>
                    <w:spacing w:line="240" w:lineRule="auto"/>
                    <w:jc w:val="center"/>
                    <w:rPr>
                      <w:rFonts w:hint="eastAsia" w:ascii="Times New Roman" w:hAnsi="Times New Roman" w:eastAsia="宋体" w:cs="Times New Roman"/>
                      <w:color w:val="auto"/>
                      <w:sz w:val="21"/>
                      <w:szCs w:val="21"/>
                      <w:u w:val="none"/>
                      <w:lang w:val="en-US" w:eastAsia="zh-CN"/>
                    </w:rPr>
                  </w:pPr>
                  <w:r>
                    <w:rPr>
                      <w:rFonts w:hint="eastAsia" w:ascii="宋体" w:hAnsi="宋体" w:eastAsia="宋体" w:cs="宋体"/>
                      <w:color w:val="auto"/>
                      <w:sz w:val="21"/>
                      <w:szCs w:val="21"/>
                      <w:u w:val="none"/>
                    </w:rPr>
                    <w:t>以涉危涉重企业、工业园区等为重点，加强水环境风险日常监管，建设事故调蓄池、应急闻坝等预防性设施，进一步开展尾矿库环境风险隐患排查，建立尾矿库分级分类环境监管制度。完善上下游政府及相关部门之间的联防联控、信息共享，阐坝调度机制，落实防范措施。加强重点饮用水水源地河流、重要跨界河流以及其他敏感水体风险防控，完善“一河一策”应急预案，强化重点区域污染监控预警，提高水环境风险防控和应急处置能力。</w:t>
                  </w:r>
                </w:p>
              </w:tc>
              <w:tc>
                <w:tcPr>
                  <w:tcW w:w="1601" w:type="dxa"/>
                  <w:tcBorders>
                    <w:left w:val="single" w:color="000000" w:sz="4" w:space="0"/>
                    <w:right w:val="nil"/>
                  </w:tcBorders>
                  <w:noWrap w:val="0"/>
                  <w:vAlign w:val="center"/>
                </w:tcPr>
                <w:p>
                  <w:pPr>
                    <w:autoSpaceDE w:val="0"/>
                    <w:autoSpaceDN w:val="0"/>
                    <w:spacing w:line="240" w:lineRule="auto"/>
                    <w:jc w:val="center"/>
                    <w:rPr>
                      <w:rFonts w:hint="eastAsia" w:ascii="Times New Roman" w:hAnsi="Times New Roman" w:cs="Times New Roman"/>
                      <w:color w:val="auto"/>
                      <w:sz w:val="21"/>
                      <w:szCs w:val="21"/>
                      <w:u w:val="none"/>
                      <w:lang w:val="en-US" w:eastAsia="zh-CN"/>
                    </w:rPr>
                  </w:pPr>
                  <w:r>
                    <w:rPr>
                      <w:rFonts w:hint="eastAsia" w:ascii="宋体" w:hAnsi="宋体" w:cs="宋体"/>
                      <w:color w:val="auto"/>
                      <w:sz w:val="21"/>
                      <w:szCs w:val="21"/>
                      <w:u w:val="none"/>
                      <w:lang w:val="en-US" w:eastAsia="zh-CN"/>
                    </w:rPr>
                    <w:t>本项目飞灰库拟按要求进行重点防渗，预防水污染事故发生</w:t>
                  </w:r>
                </w:p>
              </w:tc>
              <w:tc>
                <w:tcPr>
                  <w:tcW w:w="925" w:type="dxa"/>
                  <w:tcBorders>
                    <w:left w:val="single" w:color="000000" w:sz="4" w:space="0"/>
                    <w:right w:val="nil"/>
                  </w:tcBorders>
                  <w:noWrap w:val="0"/>
                  <w:vAlign w:val="center"/>
                </w:tcPr>
                <w:p>
                  <w:pPr>
                    <w:spacing w:line="240" w:lineRule="auto"/>
                    <w:jc w:val="center"/>
                    <w:rPr>
                      <w:rFonts w:hint="eastAsia" w:ascii="Times New Roman" w:hAnsi="Times New Roman" w:cs="Times New Roman"/>
                      <w:color w:val="auto"/>
                      <w:sz w:val="21"/>
                      <w:szCs w:val="21"/>
                      <w:u w:val="none"/>
                      <w:lang w:val="en-US" w:eastAsia="zh-CN"/>
                    </w:rPr>
                  </w:pPr>
                  <w:r>
                    <w:rPr>
                      <w:rFonts w:hint="eastAsia" w:ascii="宋体" w:hAnsi="宋体" w:cs="宋体"/>
                      <w:color w:val="auto"/>
                      <w:sz w:val="21"/>
                      <w:szCs w:val="21"/>
                      <w:u w:val="none"/>
                      <w:lang w:val="en-US" w:eastAsia="zh-CN"/>
                    </w:rPr>
                    <w:t>相符</w:t>
                  </w:r>
                </w:p>
              </w:tc>
            </w:tr>
          </w:tbl>
          <w:p>
            <w:pPr>
              <w:pStyle w:val="24"/>
              <w:keepNext w:val="0"/>
              <w:keepLines w:val="0"/>
              <w:pageBreakBefore w:val="0"/>
              <w:widowControl w:val="0"/>
              <w:numPr>
                <w:ilvl w:val="0"/>
                <w:numId w:val="0"/>
              </w:numPr>
              <w:tabs>
                <w:tab w:val="left" w:pos="4140"/>
              </w:tabs>
              <w:kinsoku/>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auto"/>
              <w:rPr>
                <w:rFonts w:hint="eastAsia" w:ascii="Times New Roman" w:hAnsi="Times New Roman" w:eastAsia="宋体" w:cs="Times New Roman"/>
                <w:color w:val="auto"/>
                <w:kern w:val="0"/>
                <w:sz w:val="24"/>
                <w:szCs w:val="24"/>
                <w:u w:val="none"/>
                <w:lang w:val="en-US" w:eastAsia="zh-CN"/>
              </w:rPr>
            </w:pPr>
            <w:r>
              <w:rPr>
                <w:rFonts w:hint="eastAsia" w:ascii="Times New Roman" w:hAnsi="Times New Roman" w:eastAsia="宋体" w:cs="Times New Roman"/>
                <w:color w:val="auto"/>
                <w:kern w:val="0"/>
                <w:sz w:val="24"/>
                <w:szCs w:val="24"/>
                <w:u w:val="none"/>
                <w:lang w:val="en-US" w:eastAsia="zh-CN"/>
              </w:rPr>
              <w:t>由以上分析可知，本项目建设符合《平顶山市生态环境保护委员会办公室关于印发平顶山市 2023 年碧水保卫战实施方案的通知》</w:t>
            </w:r>
            <w:r>
              <w:rPr>
                <w:rFonts w:hint="default" w:ascii="Times New Roman" w:hAnsi="Times New Roman" w:eastAsia="宋体" w:cs="Times New Roman"/>
                <w:color w:val="auto"/>
                <w:kern w:val="0"/>
                <w:sz w:val="24"/>
                <w:szCs w:val="24"/>
                <w:u w:val="none"/>
                <w:lang w:val="en-US" w:eastAsia="zh-CN"/>
              </w:rPr>
              <w:t>（</w:t>
            </w:r>
            <w:r>
              <w:rPr>
                <w:rFonts w:hint="eastAsia" w:ascii="Times New Roman" w:hAnsi="Times New Roman" w:eastAsia="宋体" w:cs="Times New Roman"/>
                <w:color w:val="auto"/>
                <w:kern w:val="0"/>
                <w:sz w:val="24"/>
                <w:szCs w:val="24"/>
                <w:u w:val="none"/>
                <w:lang w:val="en-US" w:eastAsia="zh-CN"/>
              </w:rPr>
              <w:t>平环委办〔2023〕15号</w:t>
            </w:r>
            <w:r>
              <w:rPr>
                <w:rFonts w:hint="default" w:ascii="Times New Roman" w:hAnsi="Times New Roman" w:eastAsia="宋体" w:cs="Times New Roman"/>
                <w:color w:val="auto"/>
                <w:kern w:val="0"/>
                <w:sz w:val="24"/>
                <w:szCs w:val="24"/>
                <w:u w:val="none"/>
                <w:lang w:val="en-US" w:eastAsia="zh-CN"/>
              </w:rPr>
              <w:t>）</w:t>
            </w:r>
            <w:r>
              <w:rPr>
                <w:rFonts w:hint="eastAsia" w:ascii="Times New Roman" w:hAnsi="Times New Roman" w:eastAsia="宋体" w:cs="Times New Roman"/>
                <w:color w:val="auto"/>
                <w:kern w:val="0"/>
                <w:sz w:val="24"/>
                <w:szCs w:val="24"/>
                <w:u w:val="none"/>
                <w:lang w:val="en-US" w:eastAsia="zh-CN"/>
              </w:rPr>
              <w:t>及《平顶山市生态环境保护委员会办公室关于印发平顶山市 2023 年蓝天保卫战实施方案的通知》</w:t>
            </w:r>
            <w:r>
              <w:rPr>
                <w:rFonts w:hint="default" w:ascii="Times New Roman" w:hAnsi="Times New Roman" w:eastAsia="宋体" w:cs="Times New Roman"/>
                <w:color w:val="auto"/>
                <w:kern w:val="0"/>
                <w:sz w:val="24"/>
                <w:szCs w:val="24"/>
                <w:u w:val="none"/>
                <w:lang w:val="en-US" w:eastAsia="zh-CN"/>
              </w:rPr>
              <w:t>（</w:t>
            </w:r>
            <w:r>
              <w:rPr>
                <w:rFonts w:hint="eastAsia" w:ascii="Times New Roman" w:hAnsi="Times New Roman" w:eastAsia="宋体" w:cs="Times New Roman"/>
                <w:color w:val="auto"/>
                <w:kern w:val="0"/>
                <w:sz w:val="24"/>
                <w:szCs w:val="24"/>
                <w:u w:val="none"/>
                <w:lang w:val="en-US" w:eastAsia="zh-CN"/>
              </w:rPr>
              <w:t>平环委办〔2023〕13号</w:t>
            </w:r>
            <w:r>
              <w:rPr>
                <w:rFonts w:hint="default" w:ascii="Times New Roman" w:hAnsi="Times New Roman" w:eastAsia="宋体" w:cs="Times New Roman"/>
                <w:color w:val="auto"/>
                <w:kern w:val="0"/>
                <w:sz w:val="24"/>
                <w:szCs w:val="24"/>
                <w:u w:val="none"/>
                <w:lang w:val="en-US" w:eastAsia="zh-CN"/>
              </w:rPr>
              <w:t>）</w:t>
            </w:r>
            <w:r>
              <w:rPr>
                <w:rFonts w:hint="eastAsia" w:ascii="Times New Roman" w:hAnsi="Times New Roman" w:eastAsia="宋体" w:cs="Times New Roman"/>
                <w:color w:val="auto"/>
                <w:kern w:val="0"/>
                <w:sz w:val="24"/>
                <w:szCs w:val="24"/>
                <w:u w:val="none"/>
                <w:lang w:val="en-US" w:eastAsia="zh-CN"/>
              </w:rPr>
              <w:t>中相关要求。</w:t>
            </w:r>
          </w:p>
          <w:p>
            <w:pPr>
              <w:spacing w:after="60" w:line="260" w:lineRule="exact"/>
              <w:ind w:firstLine="482" w:firstLineChars="200"/>
              <w:jc w:val="both"/>
              <w:rPr>
                <w:rFonts w:hint="eastAsia" w:ascii="Times New Roman" w:hAnsi="Times New Roman" w:eastAsia="宋体" w:cs="Times New Roman"/>
                <w:b/>
                <w:bCs/>
                <w:color w:val="auto"/>
                <w:kern w:val="0"/>
                <w:sz w:val="24"/>
                <w:szCs w:val="20"/>
                <w:u w:val="none"/>
                <w:lang w:val="en-US" w:eastAsia="zh-CN" w:bidi="ar-SA"/>
              </w:rPr>
            </w:pPr>
            <w:r>
              <w:rPr>
                <w:rFonts w:hint="eastAsia" w:cs="Times New Roman"/>
                <w:b/>
                <w:bCs/>
                <w:color w:val="auto"/>
                <w:kern w:val="0"/>
                <w:sz w:val="24"/>
                <w:szCs w:val="20"/>
                <w:u w:val="none"/>
                <w:lang w:val="en-US" w:eastAsia="zh-CN" w:bidi="ar-SA"/>
              </w:rPr>
              <w:t>6</w:t>
            </w:r>
            <w:r>
              <w:rPr>
                <w:rFonts w:hint="eastAsia" w:ascii="Times New Roman" w:hAnsi="Times New Roman" w:eastAsia="宋体" w:cs="Times New Roman"/>
                <w:b/>
                <w:bCs/>
                <w:color w:val="auto"/>
                <w:kern w:val="0"/>
                <w:sz w:val="24"/>
                <w:szCs w:val="20"/>
                <w:u w:val="none"/>
                <w:lang w:val="en-US" w:eastAsia="zh-CN" w:bidi="ar-SA"/>
              </w:rPr>
              <w:t>与</w:t>
            </w:r>
            <w:r>
              <w:rPr>
                <w:rFonts w:hint="eastAsia" w:ascii="Times New Roman" w:hAnsi="Times New Roman" w:eastAsia="宋体" w:cs="Times New Roman"/>
                <w:b/>
                <w:bCs/>
                <w:color w:val="auto"/>
                <w:kern w:val="0"/>
                <w:sz w:val="24"/>
                <w:szCs w:val="20"/>
                <w:highlight w:val="none"/>
                <w:u w:val="none"/>
                <w:lang w:val="en-US" w:eastAsia="zh-CN" w:bidi="ar-SA"/>
              </w:rPr>
              <w:t>《</w:t>
            </w:r>
            <w:r>
              <w:rPr>
                <w:rFonts w:hint="eastAsia" w:ascii="Times New Roman" w:hAnsi="Times New Roman" w:eastAsia="宋体" w:cs="Times New Roman"/>
                <w:b/>
                <w:bCs/>
                <w:color w:val="auto"/>
                <w:kern w:val="0"/>
                <w:sz w:val="24"/>
                <w:szCs w:val="20"/>
                <w:u w:val="none"/>
                <w:lang w:val="en-US" w:eastAsia="zh-CN" w:bidi="ar-SA"/>
              </w:rPr>
              <w:t>危险废物收集 贮存 运输技术规范</w:t>
            </w:r>
            <w:r>
              <w:rPr>
                <w:rFonts w:hint="eastAsia" w:ascii="Times New Roman" w:hAnsi="Times New Roman" w:eastAsia="宋体" w:cs="Times New Roman"/>
                <w:b/>
                <w:bCs/>
                <w:color w:val="auto"/>
                <w:kern w:val="0"/>
                <w:sz w:val="24"/>
                <w:szCs w:val="20"/>
                <w:highlight w:val="none"/>
                <w:u w:val="none"/>
                <w:lang w:val="en-US" w:eastAsia="zh-CN" w:bidi="ar-SA"/>
              </w:rPr>
              <w:t>》</w:t>
            </w:r>
            <w:r>
              <w:rPr>
                <w:rFonts w:hint="eastAsia" w:ascii="Times New Roman" w:hAnsi="Times New Roman" w:eastAsia="宋体" w:cs="Times New Roman"/>
                <w:b/>
                <w:bCs/>
                <w:color w:val="auto"/>
                <w:kern w:val="0"/>
                <w:sz w:val="24"/>
                <w:szCs w:val="20"/>
                <w:u w:val="none"/>
                <w:lang w:val="en-US" w:eastAsia="zh-CN" w:bidi="ar-SA"/>
              </w:rPr>
              <w:t>（HJ 2025-2012）相符性分析</w:t>
            </w:r>
          </w:p>
          <w:p>
            <w:pPr>
              <w:pStyle w:val="7"/>
              <w:numPr>
                <w:ilvl w:val="0"/>
                <w:numId w:val="0"/>
              </w:numPr>
              <w:spacing w:line="240" w:lineRule="auto"/>
              <w:jc w:val="center"/>
              <w:rPr>
                <w:rFonts w:hint="eastAsia" w:ascii="Times New Roman" w:hAnsi="Times New Roman" w:eastAsia="宋体" w:cs="Times New Roman"/>
                <w:b/>
                <w:bCs/>
                <w:color w:val="auto"/>
                <w:kern w:val="0"/>
                <w:sz w:val="24"/>
                <w:szCs w:val="20"/>
                <w:u w:val="none"/>
                <w:lang w:val="en-US" w:eastAsia="zh-CN" w:bidi="ar-SA"/>
              </w:rPr>
            </w:pPr>
            <w:r>
              <w:rPr>
                <w:rFonts w:hint="eastAsia" w:ascii="Times New Roman" w:hAnsi="Times New Roman" w:eastAsia="黑体" w:cs="Times New Roman"/>
                <w:b w:val="0"/>
                <w:color w:val="auto"/>
                <w:kern w:val="0"/>
                <w:sz w:val="24"/>
                <w:szCs w:val="24"/>
                <w:u w:val="none"/>
                <w:lang w:val="en-US" w:eastAsia="zh-CN" w:bidi="ar-SA"/>
              </w:rPr>
              <w:t>表</w:t>
            </w:r>
            <w:r>
              <w:rPr>
                <w:rFonts w:hint="eastAsia" w:eastAsia="黑体" w:cs="Times New Roman"/>
                <w:b w:val="0"/>
                <w:color w:val="auto"/>
                <w:kern w:val="0"/>
                <w:sz w:val="24"/>
                <w:szCs w:val="24"/>
                <w:u w:val="none"/>
                <w:lang w:val="en-US" w:eastAsia="zh-CN" w:bidi="ar-SA"/>
              </w:rPr>
              <w:t>5</w:t>
            </w:r>
            <w:r>
              <w:rPr>
                <w:rFonts w:hint="eastAsia" w:ascii="Times New Roman" w:hAnsi="Times New Roman" w:eastAsia="黑体" w:cs="Times New Roman"/>
                <w:b w:val="0"/>
                <w:color w:val="auto"/>
                <w:kern w:val="0"/>
                <w:sz w:val="24"/>
                <w:szCs w:val="24"/>
                <w:u w:val="none"/>
                <w:lang w:val="en-US" w:eastAsia="zh-CN" w:bidi="ar-SA"/>
              </w:rPr>
              <w:t xml:space="preserve"> </w:t>
            </w:r>
            <w:r>
              <w:rPr>
                <w:rFonts w:hint="eastAsia" w:eastAsia="黑体" w:cs="Times New Roman"/>
                <w:b w:val="0"/>
                <w:color w:val="auto"/>
                <w:kern w:val="0"/>
                <w:sz w:val="24"/>
                <w:szCs w:val="24"/>
                <w:u w:val="none"/>
                <w:lang w:val="en-US" w:eastAsia="zh-CN" w:bidi="ar-SA"/>
              </w:rPr>
              <w:t xml:space="preserve">  </w:t>
            </w:r>
            <w:r>
              <w:rPr>
                <w:rFonts w:hint="eastAsia" w:ascii="Times New Roman" w:hAnsi="Times New Roman" w:eastAsia="黑体" w:cs="Times New Roman"/>
                <w:b w:val="0"/>
                <w:color w:val="auto"/>
                <w:kern w:val="0"/>
                <w:sz w:val="24"/>
                <w:szCs w:val="24"/>
                <w:u w:val="none"/>
                <w:lang w:val="en-US" w:eastAsia="zh-CN" w:bidi="ar-SA"/>
              </w:rPr>
              <w:t>本项目建设内容与《危险废物收集 贮存 运输技术规范》（HJ2025-2012）相符性分析一览表</w:t>
            </w:r>
          </w:p>
          <w:tbl>
            <w:tblPr>
              <w:tblStyle w:val="28"/>
              <w:tblW w:w="8058"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405"/>
              <w:gridCol w:w="3901"/>
              <w:gridCol w:w="2930"/>
              <w:gridCol w:w="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3"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序号</w:t>
                  </w:r>
                </w:p>
              </w:tc>
              <w:tc>
                <w:tcPr>
                  <w:tcW w:w="3901" w:type="dxa"/>
                  <w:vAlign w:val="center"/>
                </w:tcPr>
                <w:p>
                  <w:pPr>
                    <w:keepNext/>
                    <w:keepLines/>
                    <w:jc w:val="center"/>
                    <w:rPr>
                      <w:b w:val="0"/>
                      <w:bCs w:val="0"/>
                      <w:color w:val="auto"/>
                      <w:u w:val="none"/>
                    </w:rPr>
                  </w:pPr>
                  <w:r>
                    <w:rPr>
                      <w:rFonts w:hint="eastAsia"/>
                      <w:b w:val="0"/>
                      <w:bCs w:val="0"/>
                      <w:color w:val="auto"/>
                      <w:u w:val="none"/>
                    </w:rPr>
                    <w:t>相关要求</w:t>
                  </w:r>
                </w:p>
              </w:tc>
              <w:tc>
                <w:tcPr>
                  <w:tcW w:w="2930" w:type="dxa"/>
                  <w:vAlign w:val="center"/>
                </w:tcPr>
                <w:p>
                  <w:pPr>
                    <w:keepNext/>
                    <w:keepLines/>
                    <w:jc w:val="center"/>
                    <w:rPr>
                      <w:b w:val="0"/>
                      <w:bCs w:val="0"/>
                      <w:color w:val="auto"/>
                      <w:u w:val="none"/>
                    </w:rPr>
                  </w:pPr>
                  <w:r>
                    <w:rPr>
                      <w:rFonts w:hint="eastAsia"/>
                      <w:b w:val="0"/>
                      <w:bCs w:val="0"/>
                      <w:color w:val="auto"/>
                      <w:u w:val="none"/>
                    </w:rPr>
                    <w:t>本项目情况</w:t>
                  </w:r>
                </w:p>
              </w:tc>
              <w:tc>
                <w:tcPr>
                  <w:tcW w:w="822" w:type="dxa"/>
                  <w:vAlign w:val="center"/>
                </w:tcPr>
                <w:p>
                  <w:pPr>
                    <w:keepNext/>
                    <w:keepLines/>
                    <w:jc w:val="center"/>
                    <w:rPr>
                      <w:b w:val="0"/>
                      <w:bCs w:val="0"/>
                      <w:color w:val="auto"/>
                      <w:u w:val="none"/>
                    </w:rPr>
                  </w:pPr>
                  <w:r>
                    <w:rPr>
                      <w:rFonts w:hint="eastAsia"/>
                      <w:b w:val="0"/>
                      <w:bCs w:val="0"/>
                      <w:color w:val="auto"/>
                      <w:u w:val="none"/>
                    </w:rPr>
                    <w:t>相符</w:t>
                  </w:r>
                </w:p>
                <w:p>
                  <w:pPr>
                    <w:keepNext/>
                    <w:keepLines/>
                    <w:jc w:val="center"/>
                    <w:rPr>
                      <w:b w:val="0"/>
                      <w:bCs w:val="0"/>
                      <w:color w:val="auto"/>
                      <w:u w:val="none"/>
                    </w:rPr>
                  </w:pPr>
                  <w:r>
                    <w:rPr>
                      <w:rFonts w:hint="eastAsia"/>
                      <w:b w:val="0"/>
                      <w:bCs w:val="0"/>
                      <w:color w:val="auto"/>
                      <w:u w:val="none"/>
                    </w:rPr>
                    <w:t>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427"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1</w:t>
                  </w:r>
                </w:p>
              </w:tc>
              <w:tc>
                <w:tcPr>
                  <w:tcW w:w="3901" w:type="dxa"/>
                  <w:vAlign w:val="center"/>
                </w:tcPr>
                <w:p>
                  <w:pPr>
                    <w:keepNext/>
                    <w:keepLines/>
                    <w:jc w:val="center"/>
                    <w:rPr>
                      <w:b w:val="0"/>
                      <w:bCs w:val="0"/>
                      <w:color w:val="auto"/>
                      <w:u w:val="none"/>
                    </w:rPr>
                  </w:pPr>
                  <w:r>
                    <w:rPr>
                      <w:rFonts w:hint="eastAsia"/>
                      <w:b w:val="0"/>
                      <w:bCs w:val="0"/>
                      <w:color w:val="auto"/>
                      <w:u w:val="none"/>
                    </w:rPr>
                    <w:t>危险废物收集、贮存、运输单位应建立规范的管理和技术人员培训制度，定期针对管理和技术人员进行培训。培训内容至少应包括危险废物鉴别要求、危险废物经营许可证管理、危险废物转移联单管理、危险废物包装和标识、危险废物运输要求、危险废物事故应急方法等。</w:t>
                  </w:r>
                </w:p>
              </w:tc>
              <w:tc>
                <w:tcPr>
                  <w:tcW w:w="2930" w:type="dxa"/>
                  <w:vAlign w:val="center"/>
                </w:tcPr>
                <w:p>
                  <w:pPr>
                    <w:keepNext/>
                    <w:keepLines/>
                    <w:jc w:val="center"/>
                    <w:rPr>
                      <w:b w:val="0"/>
                      <w:bCs w:val="0"/>
                      <w:color w:val="auto"/>
                      <w:u w:val="none"/>
                    </w:rPr>
                  </w:pPr>
                  <w:r>
                    <w:rPr>
                      <w:rFonts w:hint="eastAsia"/>
                      <w:b w:val="0"/>
                      <w:bCs w:val="0"/>
                      <w:color w:val="auto"/>
                      <w:u w:val="none"/>
                    </w:rPr>
                    <w:t>公司已建立规范的管理和技术人员培训制度，培训内容按要求执行。</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82"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2</w:t>
                  </w:r>
                </w:p>
              </w:tc>
              <w:tc>
                <w:tcPr>
                  <w:tcW w:w="3901" w:type="dxa"/>
                  <w:vAlign w:val="center"/>
                </w:tcPr>
                <w:p>
                  <w:pPr>
                    <w:keepNext/>
                    <w:keepLines/>
                    <w:jc w:val="center"/>
                    <w:rPr>
                      <w:b w:val="0"/>
                      <w:bCs w:val="0"/>
                      <w:color w:val="auto"/>
                      <w:u w:val="none"/>
                    </w:rPr>
                  </w:pPr>
                  <w:r>
                    <w:rPr>
                      <w:rFonts w:hint="eastAsia"/>
                      <w:b w:val="0"/>
                      <w:bCs w:val="0"/>
                      <w:color w:val="auto"/>
                      <w:u w:val="none"/>
                    </w:rPr>
                    <w:t>危险废物收集、贮存、运输单位应编制应急预案。</w:t>
                  </w:r>
                </w:p>
              </w:tc>
              <w:tc>
                <w:tcPr>
                  <w:tcW w:w="2930" w:type="dxa"/>
                  <w:vAlign w:val="center"/>
                </w:tcPr>
                <w:p>
                  <w:pPr>
                    <w:keepNext/>
                    <w:keepLines/>
                    <w:jc w:val="center"/>
                    <w:rPr>
                      <w:b w:val="0"/>
                      <w:bCs w:val="0"/>
                      <w:color w:val="auto"/>
                      <w:u w:val="none"/>
                    </w:rPr>
                  </w:pPr>
                  <w:r>
                    <w:rPr>
                      <w:rFonts w:hint="eastAsia"/>
                      <w:b w:val="0"/>
                      <w:bCs w:val="0"/>
                      <w:color w:val="auto"/>
                      <w:u w:val="none"/>
                    </w:rPr>
                    <w:t>本项目实施后，企业将按要求更</w:t>
                  </w:r>
                </w:p>
                <w:p>
                  <w:pPr>
                    <w:keepNext/>
                    <w:keepLines/>
                    <w:jc w:val="center"/>
                    <w:rPr>
                      <w:b w:val="0"/>
                      <w:bCs w:val="0"/>
                      <w:color w:val="auto"/>
                      <w:u w:val="none"/>
                    </w:rPr>
                  </w:pPr>
                  <w:r>
                    <w:rPr>
                      <w:rFonts w:hint="eastAsia"/>
                      <w:b w:val="0"/>
                      <w:bCs w:val="0"/>
                      <w:color w:val="auto"/>
                      <w:u w:val="none"/>
                    </w:rPr>
                    <w:t>新突发环境事件应急预案。</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49"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3</w:t>
                  </w:r>
                </w:p>
              </w:tc>
              <w:tc>
                <w:tcPr>
                  <w:tcW w:w="3901" w:type="dxa"/>
                  <w:vAlign w:val="center"/>
                </w:tcPr>
                <w:p>
                  <w:pPr>
                    <w:keepNext/>
                    <w:keepLines/>
                    <w:jc w:val="center"/>
                    <w:rPr>
                      <w:b w:val="0"/>
                      <w:bCs w:val="0"/>
                      <w:color w:val="auto"/>
                      <w:u w:val="none"/>
                    </w:rPr>
                  </w:pPr>
                  <w:r>
                    <w:rPr>
                      <w:rFonts w:hint="eastAsia"/>
                      <w:b w:val="0"/>
                      <w:bCs w:val="0"/>
                      <w:color w:val="auto"/>
                      <w:u w:val="none"/>
                    </w:rPr>
                    <w:t>危险废物收集、贮存、运输时应按腐蚀性、毒性、易燃性、反应性和感染性等危险特性对危险废物进行分类、包装并设置相应的标志及标签。</w:t>
                  </w:r>
                </w:p>
              </w:tc>
              <w:tc>
                <w:tcPr>
                  <w:tcW w:w="2930" w:type="dxa"/>
                  <w:vAlign w:val="center"/>
                </w:tcPr>
                <w:p>
                  <w:pPr>
                    <w:keepNext/>
                    <w:keepLines/>
                    <w:jc w:val="center"/>
                    <w:rPr>
                      <w:b w:val="0"/>
                      <w:bCs w:val="0"/>
                      <w:color w:val="auto"/>
                      <w:u w:val="none"/>
                    </w:rPr>
                  </w:pPr>
                  <w:r>
                    <w:rPr>
                      <w:rFonts w:hint="eastAsia"/>
                      <w:b w:val="0"/>
                      <w:bCs w:val="0"/>
                      <w:color w:val="auto"/>
                      <w:u w:val="none"/>
                    </w:rPr>
                    <w:t>飞灰存储库内部仅贮存飞灰一种危险废物，企业将按照要求设置相应的标志及标签</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49"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4</w:t>
                  </w:r>
                </w:p>
              </w:tc>
              <w:tc>
                <w:tcPr>
                  <w:tcW w:w="3901" w:type="dxa"/>
                  <w:vAlign w:val="center"/>
                </w:tcPr>
                <w:p>
                  <w:pPr>
                    <w:keepNext/>
                    <w:keepLines/>
                    <w:jc w:val="center"/>
                    <w:rPr>
                      <w:b w:val="0"/>
                      <w:bCs w:val="0"/>
                      <w:color w:val="auto"/>
                      <w:u w:val="none"/>
                    </w:rPr>
                  </w:pPr>
                  <w:r>
                    <w:rPr>
                      <w:rFonts w:hint="eastAsia"/>
                      <w:b w:val="0"/>
                      <w:bCs w:val="0"/>
                      <w:color w:val="auto"/>
                      <w:u w:val="none"/>
                    </w:rPr>
                    <w:t>危险废物贮存设施的选址、设计、建设、运行管理应满足GB18597、GBZ1 和GBZ2的相关要求。</w:t>
                  </w:r>
                </w:p>
              </w:tc>
              <w:tc>
                <w:tcPr>
                  <w:tcW w:w="2930" w:type="dxa"/>
                  <w:vAlign w:val="center"/>
                </w:tcPr>
                <w:p>
                  <w:pPr>
                    <w:keepNext/>
                    <w:keepLines/>
                    <w:jc w:val="center"/>
                    <w:rPr>
                      <w:b w:val="0"/>
                      <w:bCs w:val="0"/>
                      <w:color w:val="auto"/>
                      <w:u w:val="none"/>
                    </w:rPr>
                  </w:pPr>
                  <w:r>
                    <w:rPr>
                      <w:rFonts w:hint="eastAsia"/>
                      <w:b w:val="0"/>
                      <w:bCs w:val="0"/>
                      <w:color w:val="auto"/>
                      <w:u w:val="none"/>
                    </w:rPr>
                    <w:t>本项目飞灰库按照GB18597、GBZ1 和GBZ2的相关要求进行选址、设计、建设和运行管理。</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18"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5</w:t>
                  </w:r>
                </w:p>
              </w:tc>
              <w:tc>
                <w:tcPr>
                  <w:tcW w:w="3901" w:type="dxa"/>
                  <w:vAlign w:val="center"/>
                </w:tcPr>
                <w:p>
                  <w:pPr>
                    <w:keepNext/>
                    <w:keepLines/>
                    <w:jc w:val="center"/>
                    <w:rPr>
                      <w:b w:val="0"/>
                      <w:bCs w:val="0"/>
                      <w:color w:val="auto"/>
                      <w:u w:val="none"/>
                    </w:rPr>
                  </w:pPr>
                  <w:r>
                    <w:rPr>
                      <w:rFonts w:hint="eastAsia"/>
                      <w:b w:val="0"/>
                      <w:bCs w:val="0"/>
                      <w:color w:val="auto"/>
                      <w:u w:val="none"/>
                    </w:rPr>
                    <w:t>危险废物贮存设施应配备通讯设备、照明设施和消防设施。</w:t>
                  </w:r>
                </w:p>
              </w:tc>
              <w:tc>
                <w:tcPr>
                  <w:tcW w:w="2930" w:type="dxa"/>
                  <w:vAlign w:val="center"/>
                </w:tcPr>
                <w:p>
                  <w:pPr>
                    <w:keepNext/>
                    <w:keepLines/>
                    <w:jc w:val="center"/>
                    <w:rPr>
                      <w:b w:val="0"/>
                      <w:bCs w:val="0"/>
                      <w:color w:val="auto"/>
                      <w:u w:val="none"/>
                    </w:rPr>
                  </w:pPr>
                  <w:r>
                    <w:rPr>
                      <w:rFonts w:hint="eastAsia"/>
                      <w:b w:val="0"/>
                      <w:bCs w:val="0"/>
                      <w:color w:val="auto"/>
                      <w:u w:val="none"/>
                    </w:rPr>
                    <w:t>本项目飞灰库配备通讯设备、照明设施和消防设施。</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49"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6</w:t>
                  </w:r>
                </w:p>
              </w:tc>
              <w:tc>
                <w:tcPr>
                  <w:tcW w:w="3901" w:type="dxa"/>
                  <w:vAlign w:val="center"/>
                </w:tcPr>
                <w:p>
                  <w:pPr>
                    <w:keepNext/>
                    <w:keepLines/>
                    <w:jc w:val="center"/>
                    <w:rPr>
                      <w:b w:val="0"/>
                      <w:bCs w:val="0"/>
                      <w:color w:val="auto"/>
                      <w:u w:val="none"/>
                    </w:rPr>
                  </w:pPr>
                  <w:r>
                    <w:rPr>
                      <w:rFonts w:hint="eastAsia"/>
                      <w:b w:val="0"/>
                      <w:bCs w:val="0"/>
                      <w:color w:val="auto"/>
                      <w:u w:val="none"/>
                    </w:rPr>
                    <w:t>贮存危险废物时应按危险废物的种类和特性进行分区贮存，每个贮存区域之间宜设置挡墙间隔，并应设置防雨、防火、防雷、防扬尘装置。</w:t>
                  </w:r>
                </w:p>
              </w:tc>
              <w:tc>
                <w:tcPr>
                  <w:tcW w:w="2930" w:type="dxa"/>
                  <w:vAlign w:val="center"/>
                </w:tcPr>
                <w:p>
                  <w:pPr>
                    <w:keepNext/>
                    <w:keepLines/>
                    <w:jc w:val="center"/>
                    <w:rPr>
                      <w:b w:val="0"/>
                      <w:bCs w:val="0"/>
                      <w:color w:val="auto"/>
                      <w:u w:val="none"/>
                    </w:rPr>
                  </w:pPr>
                  <w:r>
                    <w:rPr>
                      <w:rFonts w:hint="eastAsia"/>
                      <w:b w:val="0"/>
                      <w:bCs w:val="0"/>
                      <w:color w:val="auto"/>
                      <w:u w:val="none"/>
                    </w:rPr>
                    <w:t>本项目飞灰暂存库内部仅贮存飞灰一种危险废物，且存储库设计为防雨、防火、防雷、防扬尘。</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18"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7</w:t>
                  </w:r>
                </w:p>
              </w:tc>
              <w:tc>
                <w:tcPr>
                  <w:tcW w:w="3901" w:type="dxa"/>
                  <w:vAlign w:val="center"/>
                </w:tcPr>
                <w:p>
                  <w:pPr>
                    <w:keepNext/>
                    <w:keepLines/>
                    <w:jc w:val="center"/>
                    <w:rPr>
                      <w:b w:val="0"/>
                      <w:bCs w:val="0"/>
                      <w:color w:val="auto"/>
                      <w:u w:val="none"/>
                    </w:rPr>
                  </w:pPr>
                  <w:r>
                    <w:rPr>
                      <w:rFonts w:hint="eastAsia"/>
                      <w:b w:val="0"/>
                      <w:bCs w:val="0"/>
                      <w:color w:val="auto"/>
                      <w:u w:val="none"/>
                    </w:rPr>
                    <w:t>贮存易燃易爆危险废物应配置有机气体报警、火灾报警装置和导出静电的接地装置。</w:t>
                  </w:r>
                </w:p>
              </w:tc>
              <w:tc>
                <w:tcPr>
                  <w:tcW w:w="2930" w:type="dxa"/>
                  <w:vAlign w:val="center"/>
                </w:tcPr>
                <w:p>
                  <w:pPr>
                    <w:keepNext/>
                    <w:keepLines/>
                    <w:jc w:val="center"/>
                    <w:rPr>
                      <w:b w:val="0"/>
                      <w:bCs w:val="0"/>
                      <w:color w:val="auto"/>
                      <w:u w:val="none"/>
                    </w:rPr>
                  </w:pPr>
                  <w:r>
                    <w:rPr>
                      <w:rFonts w:hint="eastAsia"/>
                      <w:b w:val="0"/>
                      <w:bCs w:val="0"/>
                      <w:color w:val="auto"/>
                      <w:u w:val="none"/>
                    </w:rPr>
                    <w:t>本项目飞灰库贮存</w:t>
                  </w:r>
                  <w:r>
                    <w:rPr>
                      <w:rFonts w:hint="eastAsia"/>
                      <w:b w:val="0"/>
                      <w:bCs w:val="0"/>
                      <w:color w:val="auto"/>
                      <w:u w:val="none"/>
                      <w:lang w:val="en-US" w:eastAsia="zh-CN"/>
                    </w:rPr>
                    <w:t>螯合固化稳定</w:t>
                  </w:r>
                  <w:r>
                    <w:rPr>
                      <w:rFonts w:hint="eastAsia"/>
                      <w:b w:val="0"/>
                      <w:bCs w:val="0"/>
                      <w:color w:val="auto"/>
                      <w:u w:val="none"/>
                    </w:rPr>
                    <w:t>后的飞灰，不涉及易燃易爆物质。</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18"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8</w:t>
                  </w:r>
                </w:p>
              </w:tc>
              <w:tc>
                <w:tcPr>
                  <w:tcW w:w="3901" w:type="dxa"/>
                  <w:vAlign w:val="center"/>
                </w:tcPr>
                <w:p>
                  <w:pPr>
                    <w:keepNext/>
                    <w:keepLines/>
                    <w:jc w:val="center"/>
                    <w:rPr>
                      <w:b w:val="0"/>
                      <w:bCs w:val="0"/>
                      <w:color w:val="auto"/>
                      <w:u w:val="none"/>
                    </w:rPr>
                  </w:pPr>
                  <w:r>
                    <w:rPr>
                      <w:rFonts w:hint="eastAsia"/>
                      <w:b w:val="0"/>
                      <w:bCs w:val="0"/>
                      <w:color w:val="auto"/>
                      <w:u w:val="none"/>
                    </w:rPr>
                    <w:t>废弃危险化学品贮存应满足GB 15603、《危险化学品安全管理条例》、《废弃危险化学品污染环境防治办法》的要求。</w:t>
                  </w:r>
                </w:p>
              </w:tc>
              <w:tc>
                <w:tcPr>
                  <w:tcW w:w="2930" w:type="dxa"/>
                  <w:vAlign w:val="center"/>
                </w:tcPr>
                <w:p>
                  <w:pPr>
                    <w:keepNext/>
                    <w:keepLines/>
                    <w:jc w:val="center"/>
                    <w:rPr>
                      <w:b w:val="0"/>
                      <w:bCs w:val="0"/>
                      <w:color w:val="auto"/>
                      <w:u w:val="none"/>
                    </w:rPr>
                  </w:pPr>
                  <w:r>
                    <w:rPr>
                      <w:rFonts w:hint="eastAsia"/>
                      <w:b w:val="0"/>
                      <w:bCs w:val="0"/>
                      <w:color w:val="auto"/>
                      <w:u w:val="none"/>
                    </w:rPr>
                    <w:t>不涉及</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49"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9</w:t>
                  </w:r>
                </w:p>
              </w:tc>
              <w:tc>
                <w:tcPr>
                  <w:tcW w:w="3901" w:type="dxa"/>
                  <w:vAlign w:val="center"/>
                </w:tcPr>
                <w:p>
                  <w:pPr>
                    <w:keepNext/>
                    <w:keepLines/>
                    <w:jc w:val="center"/>
                    <w:rPr>
                      <w:b w:val="0"/>
                      <w:bCs w:val="0"/>
                      <w:color w:val="auto"/>
                      <w:u w:val="none"/>
                    </w:rPr>
                  </w:pPr>
                  <w:r>
                    <w:rPr>
                      <w:rFonts w:hint="eastAsia"/>
                      <w:b w:val="0"/>
                      <w:bCs w:val="0"/>
                      <w:color w:val="auto"/>
                      <w:u w:val="none"/>
                    </w:rPr>
                    <w:t>危险废物贮存期限应符合《中华人民共和国固体废物污染环境防治法》的有关规定</w:t>
                  </w:r>
                </w:p>
              </w:tc>
              <w:tc>
                <w:tcPr>
                  <w:tcW w:w="2930" w:type="dxa"/>
                  <w:vAlign w:val="center"/>
                </w:tcPr>
                <w:p>
                  <w:pPr>
                    <w:keepNext/>
                    <w:keepLines/>
                    <w:jc w:val="center"/>
                    <w:rPr>
                      <w:rFonts w:hint="default" w:eastAsia="宋体"/>
                      <w:b w:val="0"/>
                      <w:bCs w:val="0"/>
                      <w:color w:val="auto"/>
                      <w:u w:val="none"/>
                      <w:lang w:val="en-US" w:eastAsia="zh-CN"/>
                    </w:rPr>
                  </w:pPr>
                  <w:r>
                    <w:rPr>
                      <w:rFonts w:hint="eastAsia"/>
                      <w:b w:val="0"/>
                      <w:bCs w:val="0"/>
                      <w:color w:val="auto"/>
                      <w:u w:val="none"/>
                    </w:rPr>
                    <w:t>《中华人民共和国固体废物污染环境防治法》</w:t>
                  </w:r>
                  <w:r>
                    <w:rPr>
                      <w:rFonts w:hint="eastAsia"/>
                      <w:b w:val="0"/>
                      <w:bCs w:val="0"/>
                      <w:color w:val="auto"/>
                      <w:u w:val="none"/>
                      <w:lang w:val="en-US" w:eastAsia="zh-CN"/>
                    </w:rPr>
                    <w:t>规定：从事收集、败存、利用、处置危险废物经营活动的单位，败存危险废物不得超过一年，确需延长期限的，应当报经颁发许可证的生态环境主管部门批准：法律、行政法规另有规定的除外。本项目飞灰贮存期限为1年，若确需延长期限，将报经颁发许可证的生态环境主管部门批准</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18"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10</w:t>
                  </w:r>
                </w:p>
              </w:tc>
              <w:tc>
                <w:tcPr>
                  <w:tcW w:w="3901" w:type="dxa"/>
                  <w:vAlign w:val="center"/>
                </w:tcPr>
                <w:p>
                  <w:pPr>
                    <w:keepNext/>
                    <w:keepLines/>
                    <w:jc w:val="center"/>
                    <w:rPr>
                      <w:b w:val="0"/>
                      <w:bCs w:val="0"/>
                      <w:color w:val="auto"/>
                      <w:u w:val="none"/>
                    </w:rPr>
                  </w:pPr>
                  <w:r>
                    <w:rPr>
                      <w:rFonts w:hint="eastAsia"/>
                      <w:b w:val="0"/>
                      <w:bCs w:val="0"/>
                      <w:color w:val="auto"/>
                      <w:u w:val="none"/>
                    </w:rPr>
                    <w:t>危险废物贮存单位应建立危险废物贮存的台账制度，危险废物出入库交接记录内容应参照本标准附录C 执行。</w:t>
                  </w:r>
                </w:p>
              </w:tc>
              <w:tc>
                <w:tcPr>
                  <w:tcW w:w="2930" w:type="dxa"/>
                  <w:vAlign w:val="center"/>
                </w:tcPr>
                <w:p>
                  <w:pPr>
                    <w:keepNext/>
                    <w:keepLines/>
                    <w:jc w:val="center"/>
                    <w:rPr>
                      <w:b w:val="0"/>
                      <w:bCs w:val="0"/>
                      <w:color w:val="auto"/>
                      <w:u w:val="none"/>
                    </w:rPr>
                  </w:pPr>
                  <w:r>
                    <w:rPr>
                      <w:rFonts w:hint="eastAsia"/>
                      <w:b w:val="0"/>
                      <w:bCs w:val="0"/>
                      <w:color w:val="auto"/>
                      <w:u w:val="none"/>
                    </w:rPr>
                    <w:t>本项目将建立台账制度，按要求</w:t>
                  </w:r>
                </w:p>
                <w:p>
                  <w:pPr>
                    <w:keepNext/>
                    <w:keepLines/>
                    <w:jc w:val="center"/>
                    <w:rPr>
                      <w:b w:val="0"/>
                      <w:bCs w:val="0"/>
                      <w:color w:val="auto"/>
                      <w:u w:val="none"/>
                    </w:rPr>
                  </w:pPr>
                  <w:r>
                    <w:rPr>
                      <w:rFonts w:hint="eastAsia"/>
                      <w:b w:val="0"/>
                      <w:bCs w:val="0"/>
                      <w:color w:val="auto"/>
                      <w:u w:val="none"/>
                    </w:rPr>
                    <w:t>执行交接、记录。</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102" w:hRule="atLeast"/>
                <w:jc w:val="right"/>
              </w:trPr>
              <w:tc>
                <w:tcPr>
                  <w:tcW w:w="405" w:type="dxa"/>
                  <w:vAlign w:val="center"/>
                </w:tcPr>
                <w:p>
                  <w:pPr>
                    <w:keepNext/>
                    <w:keepLines/>
                    <w:jc w:val="center"/>
                    <w:rPr>
                      <w:b w:val="0"/>
                      <w:bCs w:val="0"/>
                      <w:color w:val="auto"/>
                      <w:u w:val="none"/>
                    </w:rPr>
                  </w:pPr>
                  <w:r>
                    <w:rPr>
                      <w:rFonts w:hint="eastAsia"/>
                      <w:b w:val="0"/>
                      <w:bCs w:val="0"/>
                      <w:color w:val="auto"/>
                      <w:u w:val="none"/>
                    </w:rPr>
                    <w:t>11</w:t>
                  </w:r>
                </w:p>
              </w:tc>
              <w:tc>
                <w:tcPr>
                  <w:tcW w:w="3901" w:type="dxa"/>
                  <w:vAlign w:val="center"/>
                </w:tcPr>
                <w:p>
                  <w:pPr>
                    <w:keepNext/>
                    <w:keepLines/>
                    <w:jc w:val="center"/>
                    <w:rPr>
                      <w:b w:val="0"/>
                      <w:bCs w:val="0"/>
                      <w:color w:val="auto"/>
                      <w:u w:val="none"/>
                    </w:rPr>
                  </w:pPr>
                  <w:r>
                    <w:rPr>
                      <w:rFonts w:hint="eastAsia"/>
                      <w:b w:val="0"/>
                      <w:bCs w:val="0"/>
                      <w:color w:val="auto"/>
                      <w:u w:val="none"/>
                    </w:rPr>
                    <w:t>危险废</w:t>
                  </w:r>
                  <w:r>
                    <w:rPr>
                      <w:rFonts w:hint="eastAsia"/>
                      <w:b w:val="0"/>
                      <w:bCs w:val="0"/>
                      <w:color w:val="auto"/>
                      <w:highlight w:val="none"/>
                      <w:u w:val="none"/>
                    </w:rPr>
                    <w:t>物贮存设施应根据贮存的废物种类和特性按照GB18597 附录</w:t>
                  </w:r>
                  <w:r>
                    <w:rPr>
                      <w:rFonts w:hint="eastAsia"/>
                      <w:b w:val="0"/>
                      <w:bCs w:val="0"/>
                      <w:color w:val="auto"/>
                      <w:u w:val="none"/>
                    </w:rPr>
                    <w:t>A 设置标志</w:t>
                  </w:r>
                </w:p>
              </w:tc>
              <w:tc>
                <w:tcPr>
                  <w:tcW w:w="2930" w:type="dxa"/>
                  <w:vAlign w:val="center"/>
                </w:tcPr>
                <w:p>
                  <w:pPr>
                    <w:keepNext/>
                    <w:keepLines/>
                    <w:jc w:val="center"/>
                    <w:rPr>
                      <w:b w:val="0"/>
                      <w:bCs w:val="0"/>
                      <w:color w:val="auto"/>
                      <w:u w:val="none"/>
                    </w:rPr>
                  </w:pPr>
                  <w:r>
                    <w:rPr>
                      <w:rFonts w:hint="eastAsia"/>
                      <w:b w:val="0"/>
                      <w:bCs w:val="0"/>
                      <w:color w:val="auto"/>
                      <w:u w:val="none"/>
                    </w:rPr>
                    <w:t>本项目建成后将根据贮存的废物种类和特性按照</w:t>
                  </w:r>
                  <w:r>
                    <w:rPr>
                      <w:rFonts w:hint="eastAsia"/>
                      <w:b w:val="0"/>
                      <w:bCs w:val="0"/>
                      <w:color w:val="auto"/>
                      <w:u w:val="none"/>
                      <w:lang w:val="en-US" w:eastAsia="zh-CN"/>
                    </w:rPr>
                    <w:t>《危险废物贮存污染控制标准》</w:t>
                  </w:r>
                  <w:r>
                    <w:rPr>
                      <w:rFonts w:hint="eastAsia"/>
                      <w:b w:val="0"/>
                      <w:bCs w:val="0"/>
                      <w:color w:val="auto"/>
                      <w:highlight w:val="none"/>
                      <w:u w:val="none"/>
                    </w:rPr>
                    <w:t>GB18597</w:t>
                  </w:r>
                  <w:r>
                    <w:rPr>
                      <w:rFonts w:hint="eastAsia"/>
                      <w:b w:val="0"/>
                      <w:bCs w:val="0"/>
                      <w:color w:val="auto"/>
                      <w:highlight w:val="none"/>
                      <w:u w:val="none"/>
                      <w:lang w:val="en-US" w:eastAsia="zh-CN"/>
                    </w:rPr>
                    <w:t>-2023</w:t>
                  </w:r>
                  <w:r>
                    <w:rPr>
                      <w:rFonts w:hint="eastAsia"/>
                      <w:b w:val="0"/>
                      <w:bCs w:val="0"/>
                      <w:color w:val="auto"/>
                      <w:highlight w:val="none"/>
                      <w:u w:val="none"/>
                    </w:rPr>
                    <w:t xml:space="preserve"> </w:t>
                  </w:r>
                  <w:r>
                    <w:rPr>
                      <w:rFonts w:hint="eastAsia"/>
                      <w:b w:val="0"/>
                      <w:bCs w:val="0"/>
                      <w:color w:val="auto"/>
                      <w:u w:val="none"/>
                    </w:rPr>
                    <w:t>附录A 设置标志。</w:t>
                  </w:r>
                </w:p>
              </w:tc>
              <w:tc>
                <w:tcPr>
                  <w:tcW w:w="822" w:type="dxa"/>
                  <w:vAlign w:val="center"/>
                </w:tcPr>
                <w:p>
                  <w:pPr>
                    <w:keepNext/>
                    <w:keepLines/>
                    <w:jc w:val="center"/>
                    <w:rPr>
                      <w:b w:val="0"/>
                      <w:bCs w:val="0"/>
                      <w:color w:val="auto"/>
                      <w:u w:val="none"/>
                    </w:rPr>
                  </w:pPr>
                  <w:r>
                    <w:rPr>
                      <w:rFonts w:hint="eastAsia"/>
                      <w:b w:val="0"/>
                      <w:bCs w:val="0"/>
                      <w:color w:val="auto"/>
                      <w:u w:val="none"/>
                    </w:rPr>
                    <w:t>符合</w:t>
                  </w:r>
                </w:p>
              </w:tc>
            </w:tr>
          </w:tbl>
          <w:p>
            <w:pPr>
              <w:spacing w:before="120" w:beforeLines="50" w:after="120" w:afterLines="50" w:line="360" w:lineRule="auto"/>
              <w:ind w:firstLine="482" w:firstLineChars="200"/>
              <w:outlineLvl w:val="0"/>
              <w:rPr>
                <w:rFonts w:hint="eastAsia" w:ascii="Times New Roman" w:hAnsi="Times New Roman" w:eastAsia="宋体" w:cs="Times New Roman"/>
                <w:b/>
                <w:bCs/>
                <w:color w:val="auto"/>
                <w:kern w:val="0"/>
                <w:sz w:val="24"/>
                <w:szCs w:val="20"/>
                <w:u w:val="none"/>
                <w:lang w:val="en-US" w:eastAsia="zh-CN" w:bidi="ar-SA"/>
              </w:rPr>
            </w:pPr>
            <w:r>
              <w:rPr>
                <w:rFonts w:hint="eastAsia" w:cs="Times New Roman"/>
                <w:b/>
                <w:bCs/>
                <w:color w:val="auto"/>
                <w:kern w:val="0"/>
                <w:sz w:val="24"/>
                <w:szCs w:val="20"/>
                <w:u w:val="none"/>
                <w:lang w:val="en-US" w:eastAsia="zh-CN" w:bidi="ar-SA"/>
              </w:rPr>
              <w:t>7</w:t>
            </w:r>
            <w:r>
              <w:rPr>
                <w:rFonts w:hint="eastAsia" w:ascii="Times New Roman" w:hAnsi="Times New Roman" w:eastAsia="宋体" w:cs="Times New Roman"/>
                <w:b/>
                <w:bCs/>
                <w:color w:val="auto"/>
                <w:kern w:val="0"/>
                <w:sz w:val="24"/>
                <w:szCs w:val="20"/>
                <w:u w:val="none"/>
                <w:lang w:val="en-US" w:eastAsia="zh-CN" w:bidi="ar-SA"/>
              </w:rPr>
              <w:t>本项目与《危险废物贮存污染控制标准》（GB 18597-2023）要求相符性分析</w:t>
            </w:r>
          </w:p>
          <w:p>
            <w:pPr>
              <w:pStyle w:val="7"/>
              <w:numPr>
                <w:ilvl w:val="0"/>
                <w:numId w:val="0"/>
              </w:numPr>
              <w:spacing w:line="240" w:lineRule="auto"/>
              <w:jc w:val="center"/>
              <w:rPr>
                <w:rFonts w:hint="eastAsia" w:ascii="Times New Roman" w:hAnsi="Times New Roman" w:eastAsia="宋体" w:cs="Times New Roman"/>
                <w:b/>
                <w:bCs/>
                <w:color w:val="auto"/>
                <w:kern w:val="0"/>
                <w:sz w:val="24"/>
                <w:szCs w:val="20"/>
                <w:u w:val="none"/>
                <w:lang w:val="en-US" w:eastAsia="zh-CN" w:bidi="ar-SA"/>
              </w:rPr>
            </w:pPr>
            <w:r>
              <w:rPr>
                <w:rFonts w:hint="eastAsia" w:ascii="Times New Roman" w:hAnsi="Times New Roman" w:eastAsia="黑体" w:cs="Times New Roman"/>
                <w:b w:val="0"/>
                <w:color w:val="auto"/>
                <w:kern w:val="0"/>
                <w:sz w:val="24"/>
                <w:szCs w:val="24"/>
                <w:u w:val="none"/>
                <w:lang w:val="en-US" w:eastAsia="zh-CN" w:bidi="ar-SA"/>
              </w:rPr>
              <w:t>表</w:t>
            </w:r>
            <w:r>
              <w:rPr>
                <w:rFonts w:hint="eastAsia" w:eastAsia="黑体" w:cs="Times New Roman"/>
                <w:b w:val="0"/>
                <w:color w:val="auto"/>
                <w:kern w:val="0"/>
                <w:sz w:val="24"/>
                <w:szCs w:val="24"/>
                <w:u w:val="none"/>
                <w:lang w:val="en-US" w:eastAsia="zh-CN" w:bidi="ar-SA"/>
              </w:rPr>
              <w:t>6</w:t>
            </w:r>
            <w:r>
              <w:rPr>
                <w:rFonts w:hint="eastAsia" w:ascii="Times New Roman" w:hAnsi="Times New Roman" w:eastAsia="黑体" w:cs="Times New Roman"/>
                <w:b w:val="0"/>
                <w:color w:val="auto"/>
                <w:kern w:val="0"/>
                <w:sz w:val="24"/>
                <w:szCs w:val="24"/>
                <w:u w:val="none"/>
                <w:lang w:val="en-US" w:eastAsia="zh-CN" w:bidi="ar-SA"/>
              </w:rPr>
              <w:t xml:space="preserve"> </w:t>
            </w:r>
            <w:r>
              <w:rPr>
                <w:rFonts w:hint="eastAsia" w:eastAsia="黑体" w:cs="Times New Roman"/>
                <w:b w:val="0"/>
                <w:color w:val="auto"/>
                <w:kern w:val="0"/>
                <w:sz w:val="24"/>
                <w:szCs w:val="24"/>
                <w:u w:val="none"/>
                <w:lang w:val="en-US" w:eastAsia="zh-CN" w:bidi="ar-SA"/>
              </w:rPr>
              <w:t xml:space="preserve">  </w:t>
            </w:r>
            <w:r>
              <w:rPr>
                <w:rFonts w:hint="eastAsia" w:ascii="Times New Roman" w:hAnsi="Times New Roman" w:eastAsia="黑体" w:cs="Times New Roman"/>
                <w:b w:val="0"/>
                <w:color w:val="auto"/>
                <w:kern w:val="0"/>
                <w:sz w:val="24"/>
                <w:szCs w:val="24"/>
                <w:u w:val="none"/>
                <w:lang w:val="en-US" w:eastAsia="zh-CN" w:bidi="ar-SA"/>
              </w:rPr>
              <w:t>本项目建设内容与《危险废物贮存污染控制标准》（GB 18597-2023）要求相符性分析一览表</w:t>
            </w:r>
          </w:p>
          <w:tbl>
            <w:tblPr>
              <w:tblStyle w:val="28"/>
              <w:tblW w:w="8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281"/>
              <w:gridCol w:w="4078"/>
              <w:gridCol w:w="3188"/>
              <w:gridCol w:w="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89"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序号</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《危险废物贮存污染控制标准》（GB 18597-2023）要求</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本项目飞灰暂存库</w:t>
                  </w:r>
                  <w:r>
                    <w:rPr>
                      <w:rFonts w:hint="eastAsia" w:ascii="Times New Roman" w:hAnsi="Times New Roman" w:eastAsia="宋体" w:cs="Times New Roman"/>
                      <w:b w:val="0"/>
                      <w:bCs w:val="0"/>
                      <w:color w:val="auto"/>
                      <w:u w:val="none"/>
                    </w:rPr>
                    <w:t>建设要求</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是否</w:t>
                  </w:r>
                </w:p>
                <w:p>
                  <w:pPr>
                    <w:keepNext/>
                    <w:keepLines/>
                    <w:jc w:val="center"/>
                    <w:rPr>
                      <w:rFonts w:hint="eastAsia" w:ascii="Times New Roman" w:hAnsi="Times New Roman" w:eastAsia="宋体" w:cs="Times New Roman"/>
                      <w:b w:val="0"/>
                      <w:bCs w:val="0"/>
                      <w:color w:val="auto"/>
                      <w:u w:val="none"/>
                      <w:lang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single"/>
                      <w:lang w:eastAsia="zh-CN"/>
                    </w:rPr>
                  </w:pPr>
                  <w:r>
                    <w:rPr>
                      <w:rFonts w:hint="eastAsia" w:ascii="Times New Roman" w:hAnsi="Times New Roman" w:eastAsia="宋体" w:cs="Times New Roman"/>
                      <w:b w:val="0"/>
                      <w:bCs w:val="0"/>
                      <w:color w:val="auto"/>
                      <w:u w:val="single"/>
                      <w:lang w:val="en-US" w:eastAsia="zh-CN"/>
                    </w:rPr>
                    <w:t>1</w:t>
                  </w:r>
                </w:p>
              </w:tc>
              <w:tc>
                <w:tcPr>
                  <w:tcW w:w="4078" w:type="dxa"/>
                  <w:vAlign w:val="center"/>
                </w:tcPr>
                <w:p>
                  <w:pPr>
                    <w:jc w:val="center"/>
                    <w:rPr>
                      <w:rFonts w:hint="eastAsia" w:ascii="Times New Roman" w:hAnsi="Times New Roman" w:eastAsia="宋体" w:cs="Times New Roman"/>
                      <w:b w:val="0"/>
                      <w:bCs w:val="0"/>
                      <w:color w:val="auto"/>
                      <w:highlight w:val="none"/>
                      <w:u w:val="single"/>
                    </w:rPr>
                  </w:pPr>
                  <w:r>
                    <w:rPr>
                      <w:rFonts w:hint="eastAsia"/>
                      <w:highlight w:val="none"/>
                      <w:u w:val="single"/>
                      <w:vertAlign w:val="baseline"/>
                    </w:rPr>
                    <w:t>贮存危险废物应根</w:t>
                  </w:r>
                  <w:r>
                    <w:rPr>
                      <w:rFonts w:hint="eastAsia"/>
                      <w:highlight w:val="none"/>
                      <w:u w:val="single"/>
                      <w:vertAlign w:val="baseline"/>
                      <w:lang w:val="en-US" w:eastAsia="zh-CN"/>
                    </w:rPr>
                    <w:t>据</w:t>
                  </w:r>
                  <w:r>
                    <w:rPr>
                      <w:rFonts w:hint="eastAsia"/>
                      <w:highlight w:val="none"/>
                      <w:u w:val="single"/>
                      <w:vertAlign w:val="baseline"/>
                    </w:rPr>
                    <w:t>危险废物的举别、形态、物理化学性质和污染防治要求进行分类贮存，且应避免危险废物与不相容的物质或材料接触。</w:t>
                  </w:r>
                </w:p>
              </w:tc>
              <w:tc>
                <w:tcPr>
                  <w:tcW w:w="3188" w:type="dxa"/>
                  <w:vAlign w:val="center"/>
                </w:tcPr>
                <w:p>
                  <w:pPr>
                    <w:jc w:val="center"/>
                    <w:rPr>
                      <w:rFonts w:hint="eastAsia" w:ascii="Times New Roman" w:hAnsi="Times New Roman" w:eastAsia="宋体" w:cs="Times New Roman"/>
                      <w:b w:val="0"/>
                      <w:bCs w:val="0"/>
                      <w:color w:val="auto"/>
                      <w:highlight w:val="none"/>
                      <w:u w:val="single"/>
                    </w:rPr>
                  </w:pPr>
                  <w:r>
                    <w:rPr>
                      <w:rFonts w:hint="eastAsia"/>
                      <w:highlight w:val="none"/>
                      <w:u w:val="single"/>
                      <w:vertAlign w:val="baseline"/>
                      <w:lang w:val="en-US" w:eastAsia="zh-CN"/>
                    </w:rPr>
                    <w:t>本项目飞灰经螯合后包装于防水袋中，不与</w:t>
                  </w:r>
                  <w:r>
                    <w:rPr>
                      <w:rFonts w:hint="eastAsia"/>
                      <w:highlight w:val="none"/>
                      <w:u w:val="single"/>
                      <w:vertAlign w:val="baseline"/>
                    </w:rPr>
                    <w:t>不相容的物质或材料接触。</w:t>
                  </w:r>
                </w:p>
              </w:tc>
              <w:tc>
                <w:tcPr>
                  <w:tcW w:w="571" w:type="dxa"/>
                  <w:vAlign w:val="center"/>
                </w:tcPr>
                <w:p>
                  <w:pPr>
                    <w:keepNext/>
                    <w:keepLines/>
                    <w:jc w:val="center"/>
                    <w:rPr>
                      <w:rFonts w:hint="default" w:ascii="Times New Roman" w:hAnsi="Times New Roman" w:eastAsia="宋体" w:cs="Times New Roman"/>
                      <w:b w:val="0"/>
                      <w:bCs w:val="0"/>
                      <w:color w:val="auto"/>
                      <w:u w:val="none"/>
                      <w:lang w:val="en-US" w:eastAsia="zh-CN"/>
                    </w:rPr>
                  </w:pPr>
                  <w:r>
                    <w:rPr>
                      <w:rFonts w:hint="eastAsia"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single"/>
                      <w:lang w:eastAsia="zh-CN"/>
                    </w:rPr>
                  </w:pPr>
                  <w:r>
                    <w:rPr>
                      <w:rFonts w:hint="eastAsia" w:ascii="Times New Roman" w:hAnsi="Times New Roman" w:eastAsia="宋体" w:cs="Times New Roman"/>
                      <w:b w:val="0"/>
                      <w:bCs w:val="0"/>
                      <w:color w:val="auto"/>
                      <w:u w:val="single"/>
                      <w:lang w:val="en-US" w:eastAsia="zh-CN"/>
                    </w:rPr>
                    <w:t>2</w:t>
                  </w:r>
                </w:p>
              </w:tc>
              <w:tc>
                <w:tcPr>
                  <w:tcW w:w="4078" w:type="dxa"/>
                  <w:vAlign w:val="center"/>
                </w:tcPr>
                <w:p>
                  <w:pPr>
                    <w:jc w:val="center"/>
                    <w:rPr>
                      <w:rFonts w:hint="eastAsia" w:ascii="Times New Roman" w:hAnsi="Times New Roman" w:eastAsia="宋体" w:cs="Times New Roman"/>
                      <w:b w:val="0"/>
                      <w:bCs w:val="0"/>
                      <w:color w:val="auto"/>
                      <w:highlight w:val="none"/>
                      <w:u w:val="single"/>
                    </w:rPr>
                  </w:pPr>
                  <w:r>
                    <w:rPr>
                      <w:rFonts w:hint="eastAsia"/>
                      <w:highlight w:val="none"/>
                      <w:u w:val="single"/>
                      <w:vertAlign w:val="baseline"/>
                    </w:rPr>
                    <w:t>危险废物贮存过程产生的液态废物和固态废物应分类收集，按其环境管理要求妥善处理。</w:t>
                  </w:r>
                </w:p>
              </w:tc>
              <w:tc>
                <w:tcPr>
                  <w:tcW w:w="3188" w:type="dxa"/>
                  <w:vAlign w:val="center"/>
                </w:tcPr>
                <w:p>
                  <w:pPr>
                    <w:jc w:val="center"/>
                    <w:rPr>
                      <w:rFonts w:hint="eastAsia" w:ascii="Times New Roman" w:hAnsi="Times New Roman" w:eastAsia="宋体" w:cs="Times New Roman"/>
                      <w:b w:val="0"/>
                      <w:bCs w:val="0"/>
                      <w:color w:val="auto"/>
                      <w:highlight w:val="none"/>
                      <w:u w:val="single"/>
                    </w:rPr>
                  </w:pPr>
                  <w:r>
                    <w:rPr>
                      <w:rFonts w:hint="eastAsia"/>
                      <w:highlight w:val="none"/>
                      <w:u w:val="single"/>
                      <w:vertAlign w:val="baseline"/>
                      <w:lang w:val="en-US" w:eastAsia="zh-CN"/>
                    </w:rPr>
                    <w:t>本项目储存的飞灰为固态，且只储存一种危险废物，拟</w:t>
                  </w:r>
                  <w:r>
                    <w:rPr>
                      <w:rFonts w:hint="eastAsia"/>
                      <w:highlight w:val="none"/>
                      <w:u w:val="single"/>
                      <w:vertAlign w:val="baseline"/>
                    </w:rPr>
                    <w:t>按环境管理要求妥善处理。</w:t>
                  </w:r>
                </w:p>
              </w:tc>
              <w:tc>
                <w:tcPr>
                  <w:tcW w:w="571" w:type="dxa"/>
                  <w:vAlign w:val="center"/>
                </w:tcPr>
                <w:p>
                  <w:pPr>
                    <w:keepNext/>
                    <w:keepLines/>
                    <w:jc w:val="center"/>
                    <w:rPr>
                      <w:rFonts w:hint="eastAsia" w:ascii="Times New Roman" w:hAnsi="Times New Roman" w:eastAsia="宋体" w:cs="Times New Roman"/>
                      <w:b w:val="0"/>
                      <w:bCs w:val="0"/>
                      <w:color w:val="auto"/>
                      <w:u w:val="none"/>
                      <w:lang w:val="en-US" w:eastAsia="zh-CN"/>
                    </w:rPr>
                  </w:pPr>
                  <w:r>
                    <w:rPr>
                      <w:rFonts w:hint="eastAsia"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single"/>
                      <w:lang w:eastAsia="zh-CN"/>
                    </w:rPr>
                  </w:pPr>
                  <w:r>
                    <w:rPr>
                      <w:rFonts w:hint="eastAsia" w:ascii="Times New Roman" w:hAnsi="Times New Roman" w:eastAsia="宋体" w:cs="Times New Roman"/>
                      <w:b w:val="0"/>
                      <w:bCs w:val="0"/>
                      <w:color w:val="auto"/>
                      <w:u w:val="single"/>
                      <w:lang w:val="en-US" w:eastAsia="zh-CN"/>
                    </w:rPr>
                    <w:t>3</w:t>
                  </w:r>
                </w:p>
              </w:tc>
              <w:tc>
                <w:tcPr>
                  <w:tcW w:w="4078" w:type="dxa"/>
                  <w:vAlign w:val="center"/>
                </w:tcPr>
                <w:p>
                  <w:pPr>
                    <w:jc w:val="center"/>
                    <w:rPr>
                      <w:rFonts w:hint="eastAsia" w:ascii="Times New Roman" w:hAnsi="Times New Roman" w:eastAsia="宋体" w:cs="Times New Roman"/>
                      <w:b w:val="0"/>
                      <w:bCs w:val="0"/>
                      <w:color w:val="auto"/>
                      <w:highlight w:val="yellow"/>
                      <w:u w:val="single"/>
                    </w:rPr>
                  </w:pPr>
                  <w:r>
                    <w:rPr>
                      <w:rFonts w:hint="eastAsia"/>
                      <w:highlight w:val="none"/>
                      <w:u w:val="single"/>
                      <w:vertAlign w:val="baseline"/>
                    </w:rPr>
                    <w:t>贮存设施或场所、容器和包装物应按 HJ1276 要求设置危险废物</w:t>
                  </w:r>
                  <w:r>
                    <w:rPr>
                      <w:rFonts w:hint="eastAsia"/>
                      <w:highlight w:val="none"/>
                      <w:u w:val="single"/>
                      <w:vertAlign w:val="baseline"/>
                      <w:lang w:val="en-US" w:eastAsia="zh-CN"/>
                    </w:rPr>
                    <w:t>贮</w:t>
                  </w:r>
                  <w:r>
                    <w:rPr>
                      <w:rFonts w:hint="eastAsia"/>
                      <w:highlight w:val="none"/>
                      <w:u w:val="single"/>
                      <w:vertAlign w:val="baseline"/>
                    </w:rPr>
                    <w:t>存设施或场所标志、危险废物贮存分区标志和危险废物标签等危险废物识别标志。</w:t>
                  </w:r>
                </w:p>
              </w:tc>
              <w:tc>
                <w:tcPr>
                  <w:tcW w:w="3188" w:type="dxa"/>
                  <w:vAlign w:val="center"/>
                </w:tcPr>
                <w:p>
                  <w:pPr>
                    <w:jc w:val="center"/>
                    <w:rPr>
                      <w:rFonts w:hint="eastAsia" w:ascii="Times New Roman" w:hAnsi="Times New Roman" w:eastAsia="宋体" w:cs="Times New Roman"/>
                      <w:b w:val="0"/>
                      <w:bCs w:val="0"/>
                      <w:color w:val="auto"/>
                      <w:highlight w:val="yellow"/>
                      <w:u w:val="single"/>
                    </w:rPr>
                  </w:pPr>
                  <w:r>
                    <w:rPr>
                      <w:rFonts w:hint="eastAsia"/>
                      <w:highlight w:val="none"/>
                      <w:u w:val="single"/>
                      <w:vertAlign w:val="baseline"/>
                      <w:lang w:val="en-US" w:eastAsia="zh-CN"/>
                    </w:rPr>
                    <w:t>见表7中项目与《危险废物识别标志设置技术规范》(HJ1276-2022)的有关规定相符性分析。</w:t>
                  </w:r>
                </w:p>
              </w:tc>
              <w:tc>
                <w:tcPr>
                  <w:tcW w:w="571" w:type="dxa"/>
                  <w:vAlign w:val="center"/>
                </w:tcPr>
                <w:p>
                  <w:pPr>
                    <w:keepNext/>
                    <w:keepLines/>
                    <w:jc w:val="center"/>
                    <w:rPr>
                      <w:rFonts w:hint="eastAsia" w:ascii="Times New Roman" w:hAnsi="Times New Roman" w:eastAsia="宋体" w:cs="Times New Roman"/>
                      <w:b w:val="0"/>
                      <w:bCs w:val="0"/>
                      <w:color w:val="auto"/>
                      <w:u w:val="none"/>
                      <w:lang w:val="en-US" w:eastAsia="zh-CN"/>
                    </w:rPr>
                  </w:pPr>
                  <w:r>
                    <w:rPr>
                      <w:rFonts w:hint="eastAsia"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single"/>
                      <w:lang w:eastAsia="zh-CN"/>
                    </w:rPr>
                  </w:pPr>
                  <w:r>
                    <w:rPr>
                      <w:rFonts w:hint="eastAsia" w:ascii="Times New Roman" w:hAnsi="Times New Roman" w:eastAsia="宋体" w:cs="Times New Roman"/>
                      <w:b w:val="0"/>
                      <w:bCs w:val="0"/>
                      <w:color w:val="auto"/>
                      <w:u w:val="single"/>
                      <w:lang w:val="en-US" w:eastAsia="zh-CN"/>
                    </w:rPr>
                    <w:t>4</w:t>
                  </w:r>
                </w:p>
              </w:tc>
              <w:tc>
                <w:tcPr>
                  <w:tcW w:w="4078" w:type="dxa"/>
                  <w:vAlign w:val="center"/>
                </w:tcPr>
                <w:p>
                  <w:pPr>
                    <w:jc w:val="center"/>
                    <w:rPr>
                      <w:rFonts w:hint="eastAsia" w:ascii="Times New Roman" w:hAnsi="Times New Roman" w:eastAsia="宋体" w:cs="Times New Roman"/>
                      <w:b w:val="0"/>
                      <w:bCs w:val="0"/>
                      <w:color w:val="auto"/>
                      <w:highlight w:val="none"/>
                      <w:u w:val="single"/>
                    </w:rPr>
                  </w:pPr>
                  <w:r>
                    <w:rPr>
                      <w:rFonts w:hint="eastAsia"/>
                      <w:highlight w:val="none"/>
                      <w:u w:val="single"/>
                      <w:vertAlign w:val="baseline"/>
                    </w:rPr>
                    <w:t>HJ 1259 规定的危险废物环境重点监管单位，应采用电子地磅、电子标签、电子管理台账等技术手段对危险废物贮存过程进行信息化管理，确保数据完整、真实、准确;采用视频监控的应确保监控画面清晰，视频记录保存时间至少为 3 个月。</w:t>
                  </w:r>
                </w:p>
              </w:tc>
              <w:tc>
                <w:tcPr>
                  <w:tcW w:w="3188" w:type="dxa"/>
                  <w:vAlign w:val="center"/>
                </w:tcPr>
                <w:p>
                  <w:pPr>
                    <w:jc w:val="center"/>
                    <w:rPr>
                      <w:rFonts w:hint="eastAsia" w:ascii="Times New Roman" w:hAnsi="Times New Roman" w:eastAsia="宋体" w:cs="Times New Roman"/>
                      <w:b w:val="0"/>
                      <w:bCs w:val="0"/>
                      <w:color w:val="auto"/>
                      <w:highlight w:val="none"/>
                      <w:u w:val="single"/>
                    </w:rPr>
                  </w:pPr>
                  <w:r>
                    <w:rPr>
                      <w:rFonts w:hint="eastAsia"/>
                      <w:highlight w:val="none"/>
                      <w:u w:val="single"/>
                      <w:vertAlign w:val="baseline"/>
                      <w:lang w:val="en-US" w:eastAsia="zh-CN"/>
                    </w:rPr>
                    <w:t>本项目按照</w:t>
                  </w:r>
                  <w:r>
                    <w:rPr>
                      <w:rFonts w:hint="eastAsia" w:ascii="微软雅黑" w:hAnsi="微软雅黑" w:eastAsia="微软雅黑" w:cs="微软雅黑"/>
                      <w:highlight w:val="none"/>
                      <w:u w:val="single"/>
                      <w:vertAlign w:val="baseline"/>
                      <w:lang w:val="en-US" w:eastAsia="zh-CN"/>
                    </w:rPr>
                    <w:t>《</w:t>
                  </w:r>
                  <w:r>
                    <w:rPr>
                      <w:rFonts w:hint="eastAsia"/>
                      <w:highlight w:val="none"/>
                      <w:u w:val="single"/>
                      <w:vertAlign w:val="baseline"/>
                      <w:lang w:val="en-US" w:eastAsia="zh-CN"/>
                    </w:rPr>
                    <w:t>危险废物管理计划和管理台账制定技术导则</w:t>
                  </w:r>
                  <w:r>
                    <w:rPr>
                      <w:rFonts w:hint="eastAsia" w:ascii="微软雅黑" w:hAnsi="微软雅黑" w:eastAsia="微软雅黑" w:cs="微软雅黑"/>
                      <w:highlight w:val="none"/>
                      <w:u w:val="single"/>
                      <w:vertAlign w:val="baseline"/>
                      <w:lang w:val="en-US" w:eastAsia="zh-CN"/>
                    </w:rPr>
                    <w:t>》</w:t>
                  </w:r>
                  <w:r>
                    <w:rPr>
                      <w:rFonts w:hint="eastAsia"/>
                      <w:highlight w:val="none"/>
                      <w:u w:val="single"/>
                      <w:vertAlign w:val="baseline"/>
                    </w:rPr>
                    <w:t>HJ 1259</w:t>
                  </w:r>
                  <w:r>
                    <w:rPr>
                      <w:rFonts w:hint="eastAsia"/>
                      <w:highlight w:val="none"/>
                      <w:u w:val="single"/>
                      <w:vertAlign w:val="baseline"/>
                      <w:lang w:val="en-US" w:eastAsia="zh-CN"/>
                    </w:rPr>
                    <w:t>-2022</w:t>
                  </w:r>
                  <w:r>
                    <w:rPr>
                      <w:rFonts w:hint="eastAsia"/>
                      <w:highlight w:val="none"/>
                      <w:u w:val="single"/>
                      <w:vertAlign w:val="baseline"/>
                    </w:rPr>
                    <w:t xml:space="preserve"> 规定的危险废物环境重点监管单位，采用电子地磅、电子标签、电子管理台账等技术手段对危险废物贮存过程进行信息化管理，确保数据完整、真实、准确</w:t>
                  </w:r>
                  <w:r>
                    <w:rPr>
                      <w:rFonts w:hint="eastAsia"/>
                      <w:highlight w:val="none"/>
                      <w:u w:val="single"/>
                      <w:vertAlign w:val="baseline"/>
                      <w:lang w:eastAsia="zh-CN"/>
                    </w:rPr>
                    <w:t>；</w:t>
                  </w:r>
                  <w:r>
                    <w:rPr>
                      <w:rFonts w:hint="eastAsia"/>
                      <w:highlight w:val="none"/>
                      <w:u w:val="single"/>
                      <w:vertAlign w:val="baseline"/>
                    </w:rPr>
                    <w:t>采用视频监控的应确保监控画面清晰，视频记录保存时间至少为 3 个月。</w:t>
                  </w:r>
                </w:p>
              </w:tc>
              <w:tc>
                <w:tcPr>
                  <w:tcW w:w="571" w:type="dxa"/>
                  <w:vAlign w:val="center"/>
                </w:tcPr>
                <w:p>
                  <w:pPr>
                    <w:keepNext/>
                    <w:keepLines/>
                    <w:jc w:val="center"/>
                    <w:rPr>
                      <w:rFonts w:hint="eastAsia" w:ascii="Times New Roman" w:hAnsi="Times New Roman" w:eastAsia="宋体" w:cs="Times New Roman"/>
                      <w:b w:val="0"/>
                      <w:bCs w:val="0"/>
                      <w:color w:val="auto"/>
                      <w:u w:val="none"/>
                      <w:lang w:val="en-US" w:eastAsia="zh-CN"/>
                    </w:rPr>
                  </w:pPr>
                  <w:r>
                    <w:rPr>
                      <w:rFonts w:hint="eastAsia"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single"/>
                      <w:lang w:eastAsia="zh-CN"/>
                    </w:rPr>
                  </w:pPr>
                  <w:r>
                    <w:rPr>
                      <w:rFonts w:hint="eastAsia" w:ascii="Times New Roman" w:hAnsi="Times New Roman" w:eastAsia="宋体" w:cs="Times New Roman"/>
                      <w:b w:val="0"/>
                      <w:bCs w:val="0"/>
                      <w:color w:val="auto"/>
                      <w:u w:val="single"/>
                      <w:lang w:val="en-US" w:eastAsia="zh-CN"/>
                    </w:rPr>
                    <w:t>5</w:t>
                  </w:r>
                </w:p>
              </w:tc>
              <w:tc>
                <w:tcPr>
                  <w:tcW w:w="4078" w:type="dxa"/>
                  <w:vAlign w:val="center"/>
                </w:tcPr>
                <w:p>
                  <w:pPr>
                    <w:jc w:val="center"/>
                    <w:rPr>
                      <w:rFonts w:hint="eastAsia"/>
                      <w:highlight w:val="none"/>
                      <w:u w:val="single"/>
                      <w:vertAlign w:val="baseline"/>
                    </w:rPr>
                  </w:pPr>
                  <w:r>
                    <w:rPr>
                      <w:rFonts w:hint="eastAsia"/>
                      <w:highlight w:val="none"/>
                      <w:u w:val="single"/>
                      <w:vertAlign w:val="baseline"/>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p>
                  <w:pPr>
                    <w:jc w:val="center"/>
                    <w:rPr>
                      <w:rFonts w:hint="eastAsia" w:ascii="Times New Roman" w:hAnsi="Times New Roman" w:eastAsia="宋体" w:cs="Times New Roman"/>
                      <w:b w:val="0"/>
                      <w:bCs w:val="0"/>
                      <w:color w:val="auto"/>
                      <w:highlight w:val="none"/>
                      <w:u w:val="single"/>
                    </w:rPr>
                  </w:pPr>
                </w:p>
              </w:tc>
              <w:tc>
                <w:tcPr>
                  <w:tcW w:w="3188" w:type="dxa"/>
                  <w:vAlign w:val="center"/>
                </w:tcPr>
                <w:p>
                  <w:pPr>
                    <w:jc w:val="center"/>
                    <w:rPr>
                      <w:rFonts w:hint="eastAsia" w:ascii="Times New Roman" w:hAnsi="Times New Roman" w:eastAsia="宋体" w:cs="Times New Roman"/>
                      <w:b w:val="0"/>
                      <w:bCs w:val="0"/>
                      <w:color w:val="auto"/>
                      <w:highlight w:val="none"/>
                      <w:u w:val="single"/>
                    </w:rPr>
                  </w:pPr>
                  <w:r>
                    <w:rPr>
                      <w:rFonts w:hint="eastAsia"/>
                      <w:highlight w:val="none"/>
                      <w:u w:val="single"/>
                      <w:vertAlign w:val="baseline"/>
                      <w:lang w:val="en-US" w:eastAsia="zh-CN"/>
                    </w:rPr>
                    <w:t>本项目</w:t>
                  </w:r>
                  <w:r>
                    <w:rPr>
                      <w:rFonts w:hint="eastAsia"/>
                      <w:highlight w:val="none"/>
                      <w:u w:val="single"/>
                      <w:vertAlign w:val="baseline"/>
                    </w:rPr>
                    <w:t>贮存设施退役时，</w:t>
                  </w:r>
                  <w:r>
                    <w:rPr>
                      <w:rFonts w:hint="eastAsia"/>
                      <w:highlight w:val="none"/>
                      <w:u w:val="single"/>
                      <w:vertAlign w:val="baseline"/>
                      <w:lang w:val="en-US" w:eastAsia="zh-CN"/>
                    </w:rPr>
                    <w:t>拟</w:t>
                  </w:r>
                  <w:r>
                    <w:rPr>
                      <w:rFonts w:hint="eastAsia"/>
                      <w:highlight w:val="none"/>
                      <w:u w:val="single"/>
                      <w:vertAlign w:val="baseline"/>
                    </w:rPr>
                    <w:t>依法履行环境保护责任，退役前应妥善处理处置贮存设施内剩余的危险废物，并对贮存设施进行清理，消除污染，还应依据土壤污染防治相关法律法规履行场地环境风险防控责任。</w:t>
                  </w:r>
                </w:p>
              </w:tc>
              <w:tc>
                <w:tcPr>
                  <w:tcW w:w="571" w:type="dxa"/>
                  <w:vAlign w:val="center"/>
                </w:tcPr>
                <w:p>
                  <w:pPr>
                    <w:keepNext/>
                    <w:keepLines/>
                    <w:jc w:val="center"/>
                    <w:rPr>
                      <w:rFonts w:hint="eastAsia" w:ascii="Times New Roman" w:hAnsi="Times New Roman" w:eastAsia="宋体" w:cs="Times New Roman"/>
                      <w:b w:val="0"/>
                      <w:bCs w:val="0"/>
                      <w:color w:val="auto"/>
                      <w:u w:val="none"/>
                      <w:lang w:val="en-US" w:eastAsia="zh-CN"/>
                    </w:rPr>
                  </w:pPr>
                  <w:r>
                    <w:rPr>
                      <w:rFonts w:hint="eastAsia"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default" w:ascii="Times New Roman" w:hAnsi="Times New Roman" w:eastAsia="宋体" w:cs="Times New Roman"/>
                      <w:b w:val="0"/>
                      <w:bCs w:val="0"/>
                      <w:color w:val="auto"/>
                      <w:u w:val="none"/>
                      <w:lang w:val="en-US" w:eastAsia="zh-CN"/>
                    </w:rPr>
                  </w:pPr>
                  <w:r>
                    <w:rPr>
                      <w:rFonts w:hint="eastAsia" w:cs="Times New Roman"/>
                      <w:b w:val="0"/>
                      <w:bCs w:val="0"/>
                      <w:color w:val="auto"/>
                      <w:u w:val="none"/>
                      <w:lang w:val="en-US" w:eastAsia="zh-CN"/>
                    </w:rPr>
                    <w:t>6</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贮存设施选址应满足生态环境保护法律法规、规划和“三线一单”生态环境分区管控的要求，建设项目应依法进行环境影响评价。</w:t>
                  </w:r>
                </w:p>
              </w:tc>
              <w:tc>
                <w:tcPr>
                  <w:tcW w:w="3188" w:type="dxa"/>
                  <w:vAlign w:val="top"/>
                </w:tcPr>
                <w:p>
                  <w:pPr>
                    <w:keepNext/>
                    <w:keepLines/>
                    <w:jc w:val="center"/>
                    <w:rPr>
                      <w:rFonts w:hint="default"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rPr>
                    <w:t>本项目符合生态环境保护法律法规，及“三线一单”生态环境分区管控</w:t>
                  </w:r>
                  <w:r>
                    <w:rPr>
                      <w:rFonts w:hint="eastAsia" w:ascii="Times New Roman" w:hAnsi="Times New Roman" w:eastAsia="宋体" w:cs="Times New Roman"/>
                      <w:b w:val="0"/>
                      <w:bCs w:val="0"/>
                      <w:color w:val="auto"/>
                      <w:u w:val="none"/>
                      <w:lang w:val="en-US" w:eastAsia="zh-CN"/>
                    </w:rPr>
                    <w:t>且进行环境影响评价</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74"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7</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集中贮存设施不应选在生态保护红线区域、永久基本农田和其他需要特别保护的区域内，不应建在溶洞区或易遭受洪水、滑坡、泥石流、潮汐等严重自然灾害影响的地区。</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本项目位于</w:t>
                  </w:r>
                  <w:r>
                    <w:rPr>
                      <w:rFonts w:hint="eastAsia" w:ascii="Times New Roman" w:hAnsi="Times New Roman" w:eastAsia="宋体" w:cs="Times New Roman"/>
                      <w:b w:val="0"/>
                      <w:bCs w:val="0"/>
                      <w:color w:val="auto"/>
                      <w:u w:val="none"/>
                      <w:lang w:val="en-US" w:eastAsia="zh-CN"/>
                    </w:rPr>
                    <w:t>鲁山首创生物质能源有限公司现有生物质料棚</w:t>
                  </w:r>
                  <w:r>
                    <w:rPr>
                      <w:rFonts w:hint="eastAsia" w:ascii="Times New Roman" w:hAnsi="Times New Roman" w:eastAsia="宋体" w:cs="Times New Roman"/>
                      <w:b w:val="0"/>
                      <w:bCs w:val="0"/>
                      <w:color w:val="auto"/>
                      <w:u w:val="none"/>
                    </w:rPr>
                    <w:t>，用地不占用生态保护红线、永久农田和其他需要特别保护的区域内。</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27"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8</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贮存设施不应选在江河、湖泊、运河、渠道、水库及其最高水位线以下的滩地和岸坡，以及法律法规规定禁止贮存危险废物的其他地点。</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本项目位于鲁山县生物质热电联产项目现有</w:t>
                  </w:r>
                  <w:r>
                    <w:rPr>
                      <w:rFonts w:hint="eastAsia" w:ascii="Times New Roman" w:hAnsi="Times New Roman" w:eastAsia="宋体" w:cs="Times New Roman"/>
                      <w:b w:val="0"/>
                      <w:bCs w:val="0"/>
                      <w:color w:val="auto"/>
                      <w:u w:val="none"/>
                      <w:lang w:val="en-US" w:eastAsia="zh-CN"/>
                    </w:rPr>
                    <w:t>厂</w:t>
                  </w:r>
                  <w:r>
                    <w:rPr>
                      <w:rFonts w:hint="eastAsia" w:ascii="Times New Roman" w:hAnsi="Times New Roman" w:eastAsia="宋体" w:cs="Times New Roman"/>
                      <w:b w:val="0"/>
                      <w:bCs w:val="0"/>
                      <w:color w:val="auto"/>
                      <w:u w:val="none"/>
                    </w:rPr>
                    <w:t>区内的</w:t>
                  </w:r>
                  <w:r>
                    <w:rPr>
                      <w:rFonts w:hint="eastAsia" w:ascii="Times New Roman" w:hAnsi="Times New Roman" w:eastAsia="宋体" w:cs="Times New Roman"/>
                      <w:b w:val="0"/>
                      <w:bCs w:val="0"/>
                      <w:color w:val="auto"/>
                      <w:u w:val="none"/>
                      <w:lang w:val="en-US" w:eastAsia="zh-CN"/>
                    </w:rPr>
                    <w:t>生物质料棚内</w:t>
                  </w:r>
                  <w:r>
                    <w:rPr>
                      <w:rFonts w:hint="eastAsia" w:ascii="Times New Roman" w:hAnsi="Times New Roman" w:eastAsia="宋体" w:cs="Times New Roman"/>
                      <w:b w:val="0"/>
                      <w:bCs w:val="0"/>
                      <w:color w:val="auto"/>
                      <w:u w:val="none"/>
                    </w:rPr>
                    <w:t>，不在江河、湖泊、运河、渠道、水库及其最高水位线以下的滩地和岸坡，以及法律法规规定禁止贮存危险废物的地点。</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9</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贮存设施场址的位置以及其与周围环境敏感目标的距离应依据环境影响评价文件确定。</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本项目位于鲁山县生物质热电联产项目现有</w:t>
                  </w:r>
                  <w:r>
                    <w:rPr>
                      <w:rFonts w:hint="eastAsia" w:ascii="Times New Roman" w:hAnsi="Times New Roman" w:eastAsia="宋体" w:cs="Times New Roman"/>
                      <w:b w:val="0"/>
                      <w:bCs w:val="0"/>
                      <w:color w:val="auto"/>
                      <w:u w:val="none"/>
                      <w:lang w:val="en-US" w:eastAsia="zh-CN"/>
                    </w:rPr>
                    <w:t>厂</w:t>
                  </w:r>
                  <w:r>
                    <w:rPr>
                      <w:rFonts w:hint="eastAsia" w:ascii="Times New Roman" w:hAnsi="Times New Roman" w:eastAsia="宋体" w:cs="Times New Roman"/>
                      <w:b w:val="0"/>
                      <w:bCs w:val="0"/>
                      <w:color w:val="auto"/>
                      <w:u w:val="none"/>
                    </w:rPr>
                    <w:t>区内的</w:t>
                  </w:r>
                  <w:r>
                    <w:rPr>
                      <w:rFonts w:hint="eastAsia" w:ascii="Times New Roman" w:hAnsi="Times New Roman" w:eastAsia="宋体" w:cs="Times New Roman"/>
                      <w:b w:val="0"/>
                      <w:bCs w:val="0"/>
                      <w:color w:val="auto"/>
                      <w:u w:val="none"/>
                      <w:lang w:val="en-US" w:eastAsia="zh-CN"/>
                    </w:rPr>
                    <w:t>生物质料棚</w:t>
                  </w:r>
                  <w:r>
                    <w:rPr>
                      <w:rFonts w:hint="eastAsia" w:ascii="Times New Roman" w:hAnsi="Times New Roman" w:eastAsia="宋体" w:cs="Times New Roman"/>
                      <w:b w:val="0"/>
                      <w:bCs w:val="0"/>
                      <w:color w:val="auto"/>
                      <w:u w:val="none"/>
                    </w:rPr>
                    <w:t>，与周围环境敏感目标的距离</w:t>
                  </w:r>
                  <w:r>
                    <w:rPr>
                      <w:rFonts w:hint="eastAsia" w:ascii="Times New Roman" w:hAnsi="Times New Roman" w:eastAsia="宋体" w:cs="Times New Roman"/>
                      <w:b w:val="0"/>
                      <w:bCs w:val="0"/>
                      <w:color w:val="auto"/>
                      <w:u w:val="none"/>
                      <w:lang w:val="en-US" w:eastAsia="zh-CN"/>
                    </w:rPr>
                    <w:t>较远</w:t>
                  </w:r>
                  <w:r>
                    <w:rPr>
                      <w:rFonts w:hint="eastAsia" w:ascii="Times New Roman" w:hAnsi="Times New Roman" w:eastAsia="宋体" w:cs="Times New Roman"/>
                      <w:b w:val="0"/>
                      <w:bCs w:val="0"/>
                      <w:color w:val="auto"/>
                      <w:u w:val="none"/>
                    </w:rPr>
                    <w:t>。</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64"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lang w:eastAsia="zh-CN"/>
                    </w:rPr>
                  </w:pPr>
                  <w:r>
                    <w:rPr>
                      <w:rFonts w:hint="eastAsia" w:cs="Times New Roman"/>
                      <w:b w:val="0"/>
                      <w:bCs w:val="0"/>
                      <w:color w:val="auto"/>
                      <w:u w:val="none"/>
                      <w:lang w:val="en-US" w:eastAsia="zh-CN"/>
                    </w:rPr>
                    <w:t>10</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贮存设施应根据危险废物的形态、物理化学性质、包装形式和污染物迁移途径，采取必要的防风、防晒、防雨、防漏、防渗、防腐以及其他环境污染防治措施，不应露天堆放危险废物。</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本项目建设封闭式飞灰暂存库，按照GB18597-2023中标准采取防风、防晒、防雨、防漏、防渗及防腐等环境污染防治措施，不会露天堆放。</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27"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11</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贮存设施应根据危险废物的类别、数量、形态、物理化学性质和污染防治等要求设置必要的贮存分区、避免不相容的危险废物接触、混合。</w:t>
                  </w:r>
                </w:p>
              </w:tc>
              <w:tc>
                <w:tcPr>
                  <w:tcW w:w="3188" w:type="dxa"/>
                  <w:vAlign w:val="center"/>
                </w:tcPr>
                <w:p>
                  <w:pPr>
                    <w:keepNext/>
                    <w:keepLines/>
                    <w:jc w:val="center"/>
                    <w:rPr>
                      <w:rFonts w:hint="default"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rPr>
                    <w:t>本暂存库仅作为鲁山首创环保能源有限公司鲁山县生活垃圾焚烧发电项目的配套设施，用于存放该焚烧</w:t>
                  </w:r>
                  <w:r>
                    <w:rPr>
                      <w:rFonts w:hint="eastAsia" w:ascii="Times New Roman" w:hAnsi="Times New Roman" w:eastAsia="宋体" w:cs="Times New Roman"/>
                      <w:b w:val="0"/>
                      <w:bCs w:val="0"/>
                      <w:color w:val="auto"/>
                      <w:u w:val="none"/>
                      <w:lang w:val="en-US" w:eastAsia="zh-CN"/>
                    </w:rPr>
                    <w:t>炉</w:t>
                  </w:r>
                  <w:r>
                    <w:rPr>
                      <w:rFonts w:hint="eastAsia" w:ascii="Times New Roman" w:hAnsi="Times New Roman" w:eastAsia="宋体" w:cs="Times New Roman"/>
                      <w:b w:val="0"/>
                      <w:bCs w:val="0"/>
                      <w:color w:val="auto"/>
                      <w:u w:val="none"/>
                    </w:rPr>
                    <w:t>产生的飞灰，</w:t>
                  </w:r>
                  <w:r>
                    <w:rPr>
                      <w:rFonts w:hint="eastAsia" w:ascii="Times New Roman" w:hAnsi="Times New Roman" w:eastAsia="宋体" w:cs="Times New Roman"/>
                      <w:b w:val="0"/>
                      <w:bCs w:val="0"/>
                      <w:color w:val="auto"/>
                      <w:u w:val="none"/>
                      <w:lang w:val="en-US" w:eastAsia="zh-CN"/>
                    </w:rPr>
                    <w:t>且分层分区堆放，</w:t>
                  </w:r>
                  <w:r>
                    <w:rPr>
                      <w:rFonts w:hint="eastAsia" w:ascii="Times New Roman" w:hAnsi="Times New Roman" w:eastAsia="宋体" w:cs="Times New Roman"/>
                      <w:b w:val="0"/>
                      <w:bCs w:val="0"/>
                      <w:color w:val="auto"/>
                      <w:u w:val="none"/>
                    </w:rPr>
                    <w:t>不存放其他危险废物</w:t>
                  </w:r>
                  <w:r>
                    <w:rPr>
                      <w:rFonts w:hint="eastAsia" w:ascii="Times New Roman" w:hAnsi="Times New Roman" w:eastAsia="宋体" w:cs="Times New Roman"/>
                      <w:b w:val="0"/>
                      <w:bCs w:val="0"/>
                      <w:color w:val="auto"/>
                      <w:u w:val="none"/>
                      <w:lang w:eastAsia="zh-CN"/>
                    </w:rPr>
                    <w:t>，</w:t>
                  </w:r>
                  <w:r>
                    <w:rPr>
                      <w:rFonts w:hint="eastAsia" w:ascii="Times New Roman" w:hAnsi="Times New Roman" w:eastAsia="宋体" w:cs="Times New Roman"/>
                      <w:b w:val="0"/>
                      <w:bCs w:val="0"/>
                      <w:color w:val="auto"/>
                      <w:u w:val="none"/>
                      <w:lang w:val="en-US" w:eastAsia="zh-CN"/>
                    </w:rPr>
                    <w:t>不会与</w:t>
                  </w:r>
                  <w:r>
                    <w:rPr>
                      <w:rFonts w:hint="eastAsia" w:ascii="Times New Roman" w:hAnsi="Times New Roman" w:eastAsia="宋体" w:cs="Times New Roman"/>
                      <w:b w:val="0"/>
                      <w:bCs w:val="0"/>
                      <w:color w:val="auto"/>
                      <w:u w:val="none"/>
                    </w:rPr>
                    <w:t>不相容的危险废物接触、混合</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2</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贮存设施或贮存分区内地面、墙面裙脚、堵截泄漏的围堰、接触危险废物的隔板和墙体等应采用坚固的材料建造，表面无裂缝。</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本项目</w:t>
                  </w:r>
                  <w:r>
                    <w:rPr>
                      <w:rFonts w:hint="eastAsia" w:ascii="Times New Roman" w:hAnsi="Times New Roman" w:eastAsia="宋体" w:cs="Times New Roman"/>
                      <w:b w:val="0"/>
                      <w:bCs w:val="0"/>
                      <w:color w:val="auto"/>
                      <w:u w:val="none"/>
                    </w:rPr>
                    <w:t>贮存设施或贮存分区内地面、墙面裙脚、堵截泄漏的围堰、接触危险废物的隔板和墙体等采用坚固的材料建造，表面无裂缝</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382"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3</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至少1m厚黏土层</w:t>
                  </w:r>
                </w:p>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（渗透系数不应大于10</w:t>
                  </w:r>
                  <w:r>
                    <w:rPr>
                      <w:rFonts w:hint="eastAsia" w:ascii="Times New Roman" w:hAnsi="Times New Roman" w:eastAsia="宋体" w:cs="Times New Roman"/>
                      <w:b w:val="0"/>
                      <w:bCs w:val="0"/>
                      <w:color w:val="auto"/>
                      <w:u w:val="none"/>
                      <w:vertAlign w:val="superscript"/>
                    </w:rPr>
                    <w:t>-7</w:t>
                  </w:r>
                  <w:r>
                    <w:rPr>
                      <w:rFonts w:hint="eastAsia" w:ascii="Times New Roman" w:hAnsi="Times New Roman" w:eastAsia="宋体" w:cs="Times New Roman"/>
                      <w:b w:val="0"/>
                      <w:bCs w:val="0"/>
                      <w:color w:val="auto"/>
                      <w:u w:val="none"/>
                    </w:rPr>
                    <w:t>cm／s），或至少2mm厚高密度聚乙烯膜等人工防渗材料（渗透系数不大于10</w:t>
                  </w:r>
                  <w:r>
                    <w:rPr>
                      <w:rFonts w:hint="eastAsia" w:ascii="Times New Roman" w:hAnsi="Times New Roman" w:eastAsia="宋体" w:cs="Times New Roman"/>
                      <w:b w:val="0"/>
                      <w:bCs w:val="0"/>
                      <w:color w:val="auto"/>
                      <w:u w:val="none"/>
                      <w:vertAlign w:val="superscript"/>
                    </w:rPr>
                    <w:t>-10</w:t>
                  </w:r>
                  <w:r>
                    <w:rPr>
                      <w:rFonts w:hint="eastAsia" w:ascii="Times New Roman" w:hAnsi="Times New Roman" w:eastAsia="宋体" w:cs="Times New Roman"/>
                      <w:b w:val="0"/>
                      <w:bCs w:val="0"/>
                      <w:color w:val="auto"/>
                      <w:u w:val="none"/>
                    </w:rPr>
                    <w:t>cm／s），或气体防渗性能等效的材料。</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①在暂存库地面与裙脚采取表面防渗措施；表面防渗材料应与所接触的物料或污染物相容</w:t>
                  </w:r>
                  <w:r>
                    <w:rPr>
                      <w:rFonts w:hint="eastAsia" w:cs="Times New Roman"/>
                      <w:b w:val="0"/>
                      <w:bCs w:val="0"/>
                      <w:color w:val="auto"/>
                      <w:u w:val="none"/>
                      <w:lang w:eastAsia="zh-CN"/>
                    </w:rPr>
                    <w:t>，</w:t>
                  </w:r>
                  <w:r>
                    <w:rPr>
                      <w:rFonts w:hint="eastAsia" w:cs="Times New Roman"/>
                      <w:b w:val="0"/>
                      <w:bCs w:val="0"/>
                      <w:color w:val="auto"/>
                      <w:u w:val="none"/>
                      <w:lang w:val="en-US" w:eastAsia="zh-CN"/>
                    </w:rPr>
                    <w:t>且</w:t>
                  </w:r>
                  <w:r>
                    <w:rPr>
                      <w:rFonts w:hint="eastAsia" w:ascii="Times New Roman" w:hAnsi="Times New Roman" w:eastAsia="宋体" w:cs="Times New Roman"/>
                      <w:b w:val="0"/>
                      <w:bCs w:val="0"/>
                      <w:color w:val="auto"/>
                      <w:u w:val="none"/>
                    </w:rPr>
                    <w:t>进行基础防渗，</w:t>
                  </w:r>
                  <w:r>
                    <w:rPr>
                      <w:rFonts w:hint="eastAsia" w:cs="Times New Roman"/>
                      <w:b w:val="0"/>
                      <w:bCs w:val="0"/>
                      <w:color w:val="auto"/>
                      <w:u w:val="none"/>
                      <w:lang w:val="en-US" w:eastAsia="zh-CN"/>
                    </w:rPr>
                    <w:t>拟采用</w:t>
                  </w:r>
                  <w:r>
                    <w:rPr>
                      <w:rFonts w:hint="eastAsia" w:ascii="Times New Roman" w:hAnsi="Times New Roman" w:eastAsia="宋体" w:cs="Times New Roman"/>
                      <w:b w:val="0"/>
                      <w:bCs w:val="0"/>
                      <w:color w:val="auto"/>
                      <w:u w:val="none"/>
                    </w:rPr>
                    <w:t>2mm厚高密度聚乙烯膜人工防渗材料（渗透系数不大于10</w:t>
                  </w:r>
                  <w:r>
                    <w:rPr>
                      <w:rFonts w:hint="eastAsia" w:ascii="Times New Roman" w:hAnsi="Times New Roman" w:eastAsia="宋体" w:cs="Times New Roman"/>
                      <w:b w:val="0"/>
                      <w:bCs w:val="0"/>
                      <w:color w:val="auto"/>
                      <w:u w:val="none"/>
                      <w:vertAlign w:val="superscript"/>
                    </w:rPr>
                    <w:t>-10</w:t>
                  </w:r>
                  <w:r>
                    <w:rPr>
                      <w:rFonts w:hint="eastAsia" w:ascii="Times New Roman" w:hAnsi="Times New Roman" w:eastAsia="宋体" w:cs="Times New Roman"/>
                      <w:b w:val="0"/>
                      <w:bCs w:val="0"/>
                      <w:color w:val="auto"/>
                      <w:u w:val="none"/>
                    </w:rPr>
                    <w:t>cm／s），HDPE膜与飞灰及其包装吨袋相容②对HDPE膜采取防护措施，避免飞灰出入库对HDPE膜造成破损</w:t>
                  </w:r>
                  <w:r>
                    <w:rPr>
                      <w:rFonts w:hint="eastAsia" w:cs="Times New Roman"/>
                      <w:b w:val="0"/>
                      <w:bCs w:val="0"/>
                      <w:color w:val="auto"/>
                      <w:u w:val="none"/>
                      <w:lang w:eastAsia="zh-CN"/>
                    </w:rPr>
                    <w:t>（</w:t>
                  </w:r>
                  <w:r>
                    <w:rPr>
                      <w:rFonts w:hint="eastAsia" w:cs="Times New Roman"/>
                      <w:b w:val="0"/>
                      <w:bCs w:val="0"/>
                      <w:color w:val="auto"/>
                      <w:u w:val="none"/>
                      <w:lang w:val="en-US" w:eastAsia="zh-CN"/>
                    </w:rPr>
                    <w:t>具体为定期清扫膜表面，使其保持清洁，在使用过程中车辆入库前检查车辆轮胎，避免尖锐物体刮擦膜表面，且运输搬运工具尽可能小范围在库内行走</w:t>
                  </w:r>
                  <w:r>
                    <w:rPr>
                      <w:rFonts w:hint="eastAsia" w:cs="Times New Roman"/>
                      <w:b w:val="0"/>
                      <w:bCs w:val="0"/>
                      <w:color w:val="auto"/>
                      <w:u w:val="none"/>
                      <w:lang w:eastAsia="zh-CN"/>
                    </w:rPr>
                    <w:t>）</w:t>
                  </w:r>
                  <w:r>
                    <w:rPr>
                      <w:rFonts w:hint="eastAsia" w:ascii="Times New Roman" w:hAnsi="Times New Roman" w:eastAsia="宋体" w:cs="Times New Roman"/>
                      <w:b w:val="0"/>
                      <w:bCs w:val="0"/>
                      <w:color w:val="auto"/>
                      <w:u w:val="none"/>
                      <w:lang w:eastAsia="zh-CN"/>
                    </w:rPr>
                    <w:t>；</w:t>
                  </w:r>
                  <w:r>
                    <w:rPr>
                      <w:rFonts w:hint="eastAsia" w:ascii="Times New Roman" w:hAnsi="Times New Roman" w:eastAsia="宋体" w:cs="Times New Roman"/>
                      <w:b w:val="0"/>
                      <w:bCs w:val="0"/>
                      <w:color w:val="auto"/>
                      <w:u w:val="single"/>
                    </w:rPr>
                    <w:t>③墙裙HDPE膜的铺设高度≥</w:t>
                  </w:r>
                  <w:r>
                    <w:rPr>
                      <w:rFonts w:hint="eastAsia" w:cs="Times New Roman"/>
                      <w:b w:val="0"/>
                      <w:bCs w:val="0"/>
                      <w:color w:val="auto"/>
                      <w:u w:val="single"/>
                      <w:lang w:val="en-US" w:eastAsia="zh-CN"/>
                    </w:rPr>
                    <w:t>0.5</w:t>
                  </w:r>
                  <w:r>
                    <w:rPr>
                      <w:rFonts w:hint="eastAsia" w:ascii="Times New Roman" w:hAnsi="Times New Roman" w:eastAsia="宋体" w:cs="Times New Roman"/>
                      <w:b w:val="0"/>
                      <w:bCs w:val="0"/>
                      <w:color w:val="auto"/>
                      <w:u w:val="single"/>
                    </w:rPr>
                    <w:t>m，</w:t>
                  </w:r>
                  <w:r>
                    <w:rPr>
                      <w:rFonts w:hint="eastAsia" w:ascii="Times New Roman" w:hAnsi="Times New Roman" w:eastAsia="宋体" w:cs="Times New Roman"/>
                      <w:b w:val="0"/>
                      <w:bCs w:val="0"/>
                      <w:color w:val="auto"/>
                      <w:u w:val="none"/>
                    </w:rPr>
                    <w:t>④HDPE膜焊接处需进行渗透系数检测，符合要求后方可使用。</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64"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4</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统一贮存设施宜采用相同的防渗、防腐工艺（包括防渗、防腐结构或材料），防渗、防腐材料应覆盖所有可能与废物及其渗滤液、渗漏液等接的构筑物表面；采用不同防渗、防腐工艺应分别建设贮存分区。</w:t>
                  </w:r>
                </w:p>
              </w:tc>
              <w:tc>
                <w:tcPr>
                  <w:tcW w:w="318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本项目仅存放飞灰，均采用相同的防渗、防腐工艺。</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89"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5</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贮存设施应采取技术和管理措施防止无关人员进入。</w:t>
                  </w:r>
                </w:p>
              </w:tc>
              <w:tc>
                <w:tcPr>
                  <w:tcW w:w="318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本项目建成运行后由</w:t>
                  </w:r>
                  <w:r>
                    <w:rPr>
                      <w:rFonts w:hint="eastAsia" w:ascii="Times New Roman" w:hAnsi="Times New Roman" w:eastAsia="宋体" w:cs="Times New Roman"/>
                      <w:b w:val="0"/>
                      <w:bCs w:val="0"/>
                      <w:color w:val="auto"/>
                      <w:u w:val="none"/>
                      <w:lang w:val="en-US" w:eastAsia="zh-CN"/>
                    </w:rPr>
                    <w:t>公司运行部门</w:t>
                  </w:r>
                  <w:r>
                    <w:rPr>
                      <w:rFonts w:hint="eastAsia" w:ascii="Times New Roman" w:hAnsi="Times New Roman" w:eastAsia="宋体" w:cs="Times New Roman"/>
                      <w:b w:val="0"/>
                      <w:bCs w:val="0"/>
                      <w:color w:val="auto"/>
                      <w:u w:val="none"/>
                    </w:rPr>
                    <w:t>派专人管理，禁止无关人员进入。</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64"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6</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贮存库内不同贮存分区之间应采取隔离措施。隔离措施可根据危险废物特性采用过道、隔板或隔墙等方式。</w:t>
                  </w:r>
                </w:p>
              </w:tc>
              <w:tc>
                <w:tcPr>
                  <w:tcW w:w="318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本暂存库仅作为鲁山首创环保能源有限公司鲁山县生活垃圾焚烧发电项目的配套设施，不存放其他危险</w:t>
                  </w:r>
                </w:p>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废物。</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855"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7</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w:t>
                  </w:r>
                  <w:r>
                    <w:rPr>
                      <w:rFonts w:hint="eastAsia" w:ascii="Times New Roman" w:hAnsi="Times New Roman" w:eastAsia="宋体" w:cs="Times New Roman"/>
                      <w:b w:val="0"/>
                      <w:bCs w:val="0"/>
                      <w:color w:val="auto"/>
                      <w:highlight w:val="none"/>
                      <w:u w:val="none"/>
                    </w:rPr>
                    <w:t>废</w:t>
                  </w:r>
                  <w:r>
                    <w:rPr>
                      <w:rFonts w:hint="eastAsia" w:cs="Times New Roman"/>
                      <w:b w:val="0"/>
                      <w:bCs w:val="0"/>
                      <w:color w:val="auto"/>
                      <w:highlight w:val="none"/>
                      <w:u w:val="none"/>
                      <w:lang w:val="en-US" w:eastAsia="zh-CN"/>
                    </w:rPr>
                    <w:t>物</w:t>
                  </w:r>
                  <w:r>
                    <w:rPr>
                      <w:rFonts w:hint="eastAsia" w:ascii="Times New Roman" w:hAnsi="Times New Roman" w:eastAsia="宋体" w:cs="Times New Roman"/>
                      <w:b w:val="0"/>
                      <w:bCs w:val="0"/>
                      <w:color w:val="auto"/>
                      <w:u w:val="none"/>
                    </w:rPr>
                    <w:t>的贮存库或贮存分区应设计渗滤液收集设施，收集设施容积应满足渗滤液的收集要求。</w:t>
                  </w:r>
                </w:p>
              </w:tc>
              <w:tc>
                <w:tcPr>
                  <w:tcW w:w="318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飞灰为灰色粉状固体，</w:t>
                  </w:r>
                  <w:r>
                    <w:rPr>
                      <w:rFonts w:hint="eastAsia" w:cs="Times New Roman"/>
                      <w:b w:val="0"/>
                      <w:bCs w:val="0"/>
                      <w:color w:val="auto"/>
                      <w:u w:val="none"/>
                      <w:lang w:val="en-US" w:eastAsia="zh-CN"/>
                    </w:rPr>
                    <w:t>且本项目飞灰为螯合稳定后飞灰，为块状固体，</w:t>
                  </w:r>
                  <w:r>
                    <w:rPr>
                      <w:rFonts w:hint="eastAsia" w:ascii="Times New Roman" w:hAnsi="Times New Roman" w:eastAsia="宋体" w:cs="Times New Roman"/>
                      <w:b w:val="0"/>
                      <w:bCs w:val="0"/>
                      <w:color w:val="auto"/>
                      <w:u w:val="none"/>
                    </w:rPr>
                    <w:t>且密封包装于防水吨袋中，不属于液体危险废物，无渗滤液产生。</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64"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8</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贮存易产生粉尘、VOCs、酸雾、有毒有害大气污染物和刺激性气味的危险废物贮存库，应设置气体收集装置和气体净化设施：气体净化设施排气筒高度应符合</w:t>
                  </w:r>
                  <w:r>
                    <w:rPr>
                      <w:rFonts w:hint="eastAsia" w:ascii="Times New Roman" w:hAnsi="Times New Roman" w:eastAsia="宋体" w:cs="Times New Roman"/>
                      <w:b w:val="0"/>
                      <w:bCs w:val="0"/>
                      <w:color w:val="auto"/>
                      <w:u w:val="none"/>
                      <w:lang w:val="en-US" w:eastAsia="zh-CN"/>
                    </w:rPr>
                    <w:t>《大</w:t>
                  </w:r>
                  <w:r>
                    <w:rPr>
                      <w:rFonts w:hint="eastAsia" w:cs="Times New Roman"/>
                      <w:b w:val="0"/>
                      <w:bCs w:val="0"/>
                      <w:color w:val="auto"/>
                      <w:u w:val="none"/>
                      <w:lang w:val="en-US" w:eastAsia="zh-CN"/>
                    </w:rPr>
                    <w:t>气污染物综合排放标准</w:t>
                  </w:r>
                  <w:r>
                    <w:rPr>
                      <w:rFonts w:hint="eastAsia" w:ascii="Times New Roman" w:hAnsi="Times New Roman" w:eastAsia="宋体" w:cs="Times New Roman"/>
                      <w:b w:val="0"/>
                      <w:bCs w:val="0"/>
                      <w:color w:val="auto"/>
                      <w:u w:val="none"/>
                      <w:lang w:val="en-US" w:eastAsia="zh-CN"/>
                    </w:rPr>
                    <w:t>》</w:t>
                  </w:r>
                  <w:r>
                    <w:rPr>
                      <w:rFonts w:hint="eastAsia" w:ascii="Times New Roman" w:hAnsi="Times New Roman" w:eastAsia="宋体" w:cs="Times New Roman"/>
                      <w:b w:val="0"/>
                      <w:bCs w:val="0"/>
                      <w:color w:val="auto"/>
                      <w:highlight w:val="none"/>
                      <w:u w:val="none"/>
                    </w:rPr>
                    <w:t>GB16297</w:t>
                  </w:r>
                  <w:r>
                    <w:rPr>
                      <w:rFonts w:hint="eastAsia" w:cs="Times New Roman"/>
                      <w:b w:val="0"/>
                      <w:bCs w:val="0"/>
                      <w:color w:val="auto"/>
                      <w:highlight w:val="none"/>
                      <w:u w:val="none"/>
                      <w:lang w:val="en-US" w:eastAsia="zh-CN"/>
                    </w:rPr>
                    <w:t>-1996</w:t>
                  </w:r>
                  <w:r>
                    <w:rPr>
                      <w:rFonts w:hint="eastAsia" w:ascii="Times New Roman" w:hAnsi="Times New Roman" w:eastAsia="宋体" w:cs="Times New Roman"/>
                      <w:b w:val="0"/>
                      <w:bCs w:val="0"/>
                      <w:color w:val="auto"/>
                      <w:u w:val="none"/>
                    </w:rPr>
                    <w:t>要求。</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本项目产生少量</w:t>
                  </w:r>
                  <w:r>
                    <w:rPr>
                      <w:rFonts w:hint="eastAsia" w:cs="Times New Roman"/>
                      <w:b w:val="0"/>
                      <w:bCs w:val="0"/>
                      <w:color w:val="auto"/>
                      <w:u w:val="none"/>
                      <w:lang w:val="en-US" w:eastAsia="zh-CN"/>
                    </w:rPr>
                    <w:t>颗粒物</w:t>
                  </w:r>
                  <w:r>
                    <w:rPr>
                      <w:rFonts w:hint="eastAsia" w:ascii="Times New Roman" w:hAnsi="Times New Roman" w:eastAsia="宋体" w:cs="Times New Roman"/>
                      <w:b w:val="0"/>
                      <w:bCs w:val="0"/>
                      <w:color w:val="auto"/>
                      <w:u w:val="none"/>
                      <w:lang w:val="en-US" w:eastAsia="zh-CN"/>
                    </w:rPr>
                    <w:t>和</w:t>
                  </w:r>
                  <w:r>
                    <w:rPr>
                      <w:rFonts w:hint="eastAsia" w:ascii="Times New Roman" w:hAnsi="Times New Roman" w:eastAsia="宋体" w:cs="Times New Roman"/>
                      <w:b w:val="0"/>
                      <w:bCs w:val="0"/>
                      <w:color w:val="auto"/>
                      <w:u w:val="none"/>
                    </w:rPr>
                    <w:t>氨气，</w:t>
                  </w:r>
                  <w:r>
                    <w:rPr>
                      <w:rFonts w:hint="eastAsia" w:cs="Times New Roman"/>
                      <w:b w:val="0"/>
                      <w:bCs w:val="0"/>
                      <w:color w:val="auto"/>
                      <w:u w:val="none"/>
                      <w:lang w:val="en-US" w:eastAsia="zh-CN"/>
                    </w:rPr>
                    <w:t>少量颗粒物拟采用喷干雾装置进行降低，氨气拟采用在</w:t>
                  </w:r>
                  <w:r>
                    <w:rPr>
                      <w:rFonts w:hint="eastAsia" w:ascii="Times New Roman" w:hAnsi="Times New Roman" w:eastAsia="宋体" w:cs="Times New Roman"/>
                      <w:b w:val="0"/>
                      <w:bCs w:val="0"/>
                      <w:color w:val="auto"/>
                      <w:u w:val="none"/>
                    </w:rPr>
                    <w:t>暂存库内设抽风装置，新建</w:t>
                  </w:r>
                  <w:r>
                    <w:rPr>
                      <w:rFonts w:hint="eastAsia" w:ascii="Times New Roman" w:hAnsi="Times New Roman" w:eastAsia="宋体" w:cs="Times New Roman"/>
                      <w:b w:val="0"/>
                      <w:bCs w:val="0"/>
                      <w:color w:val="auto"/>
                      <w:u w:val="none"/>
                      <w:lang w:val="en-US" w:eastAsia="zh-CN"/>
                    </w:rPr>
                    <w:t>水</w:t>
                  </w:r>
                  <w:r>
                    <w:rPr>
                      <w:rFonts w:hint="eastAsia" w:ascii="Times New Roman" w:hAnsi="Times New Roman" w:eastAsia="宋体" w:cs="Times New Roman"/>
                      <w:b w:val="0"/>
                      <w:bCs w:val="0"/>
                      <w:color w:val="auto"/>
                      <w:u w:val="none"/>
                    </w:rPr>
                    <w:t>喷淋塔和15m排气筒</w:t>
                  </w:r>
                  <w:r>
                    <w:rPr>
                      <w:rFonts w:hint="eastAsia" w:cs="Times New Roman"/>
                      <w:b w:val="0"/>
                      <w:bCs w:val="0"/>
                      <w:color w:val="auto"/>
                      <w:u w:val="none"/>
                      <w:lang w:val="en-US" w:eastAsia="zh-CN"/>
                    </w:rPr>
                    <w:t>处理</w:t>
                  </w:r>
                  <w:r>
                    <w:rPr>
                      <w:rFonts w:hint="eastAsia" w:ascii="Times New Roman" w:hAnsi="Times New Roman" w:eastAsia="宋体" w:cs="Times New Roman"/>
                      <w:b w:val="0"/>
                      <w:bCs w:val="0"/>
                      <w:color w:val="auto"/>
                      <w:u w:val="none"/>
                    </w:rPr>
                    <w:t>。</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37"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1</w:t>
                  </w:r>
                  <w:r>
                    <w:rPr>
                      <w:rFonts w:hint="eastAsia" w:ascii="Times New Roman" w:hAnsi="Times New Roman" w:eastAsia="宋体" w:cs="Times New Roman"/>
                      <w:b w:val="0"/>
                      <w:bCs w:val="0"/>
                      <w:color w:val="auto"/>
                      <w:u w:val="none"/>
                    </w:rPr>
                    <w:t>9</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容器和包装物材质、内衬应与盛装的危险废物相容。</w:t>
                  </w:r>
                </w:p>
              </w:tc>
              <w:tc>
                <w:tcPr>
                  <w:tcW w:w="318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飞灰为干灰，灰色粉状固体，</w:t>
                  </w:r>
                  <w:r>
                    <w:rPr>
                      <w:rFonts w:hint="eastAsia" w:cs="Times New Roman"/>
                      <w:b w:val="0"/>
                      <w:bCs w:val="0"/>
                      <w:color w:val="auto"/>
                      <w:u w:val="none"/>
                      <w:lang w:val="en-US" w:eastAsia="zh-CN"/>
                    </w:rPr>
                    <w:t>本项目飞灰为螯合稳定后飞灰，为块状固体，</w:t>
                  </w:r>
                  <w:r>
                    <w:rPr>
                      <w:rFonts w:hint="eastAsia" w:ascii="Times New Roman" w:hAnsi="Times New Roman" w:eastAsia="宋体" w:cs="Times New Roman"/>
                      <w:b w:val="0"/>
                      <w:bCs w:val="0"/>
                      <w:color w:val="auto"/>
                      <w:u w:val="none"/>
                    </w:rPr>
                    <w:t>且密封包装于防水吨袋中。</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2</w:t>
                  </w:r>
                  <w:r>
                    <w:rPr>
                      <w:rFonts w:hint="eastAsia" w:ascii="Times New Roman" w:hAnsi="Times New Roman" w:eastAsia="宋体" w:cs="Times New Roman"/>
                      <w:b w:val="0"/>
                      <w:bCs w:val="0"/>
                      <w:color w:val="auto"/>
                      <w:u w:val="none"/>
                    </w:rPr>
                    <w:t>0</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针对不同类别、形态、物理化学性质的危险废物，其容器和包装物应满足相应的防渗、防漏、防腐和强度等要求。</w:t>
                  </w:r>
                </w:p>
              </w:tc>
              <w:tc>
                <w:tcPr>
                  <w:tcW w:w="318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暂存库仅暂存生活垃圾焚烧飞灰，无其他危险废物。</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37"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rPr>
                  </w:pPr>
                  <w:r>
                    <w:rPr>
                      <w:rFonts w:hint="eastAsia" w:cs="Times New Roman"/>
                      <w:b w:val="0"/>
                      <w:bCs w:val="0"/>
                      <w:color w:val="auto"/>
                      <w:u w:val="none"/>
                      <w:lang w:val="en-US" w:eastAsia="zh-CN"/>
                    </w:rPr>
                    <w:t>2</w:t>
                  </w:r>
                  <w:r>
                    <w:rPr>
                      <w:rFonts w:hint="eastAsia" w:ascii="Times New Roman" w:hAnsi="Times New Roman" w:eastAsia="宋体" w:cs="Times New Roman"/>
                      <w:b w:val="0"/>
                      <w:bCs w:val="0"/>
                      <w:color w:val="auto"/>
                      <w:u w:val="none"/>
                    </w:rPr>
                    <w:t>1</w:t>
                  </w:r>
                </w:p>
              </w:tc>
              <w:tc>
                <w:tcPr>
                  <w:tcW w:w="407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硬质容器和包装物及支护结构堆叠码放时不应有明显变形，无破损泄漏。</w:t>
                  </w:r>
                </w:p>
              </w:tc>
              <w:tc>
                <w:tcPr>
                  <w:tcW w:w="3188" w:type="dxa"/>
                  <w:vAlign w:val="top"/>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飞灰存放在吨袋内，不属于硬质容器。</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default" w:ascii="Times New Roman" w:hAnsi="Times New Roman" w:eastAsia="宋体" w:cs="Times New Roman"/>
                      <w:b w:val="0"/>
                      <w:bCs w:val="0"/>
                      <w:color w:val="auto"/>
                      <w:u w:val="none"/>
                      <w:lang w:val="en-US" w:eastAsia="zh-CN"/>
                    </w:rPr>
                  </w:pPr>
                  <w:r>
                    <w:rPr>
                      <w:rFonts w:hint="eastAsia" w:cs="Times New Roman"/>
                      <w:b w:val="0"/>
                      <w:bCs w:val="0"/>
                      <w:color w:val="auto"/>
                      <w:u w:val="none"/>
                      <w:lang w:val="en-US" w:eastAsia="zh-CN"/>
                    </w:rPr>
                    <w:t>22</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柔性容器和包装物堆叠码放时应封口严密，无破损泄漏。</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飞灰存放在吨袋内，封口严密，</w:t>
                  </w:r>
                  <w:r>
                    <w:rPr>
                      <w:rFonts w:hint="eastAsia" w:ascii="Times New Roman" w:hAnsi="Times New Roman" w:eastAsia="宋体" w:cs="Times New Roman"/>
                      <w:b w:val="0"/>
                      <w:bCs w:val="0"/>
                      <w:color w:val="auto"/>
                      <w:u w:val="none"/>
                      <w:lang w:val="en-US" w:eastAsia="zh-CN"/>
                    </w:rPr>
                    <w:t>由</w:t>
                  </w:r>
                  <w:r>
                    <w:rPr>
                      <w:rFonts w:hint="eastAsia" w:ascii="Times New Roman" w:hAnsi="Times New Roman" w:eastAsia="宋体" w:cs="Times New Roman"/>
                      <w:b w:val="0"/>
                      <w:bCs w:val="0"/>
                      <w:color w:val="auto"/>
                      <w:u w:val="none"/>
                    </w:rPr>
                    <w:t>专人进行管理和巡查，对于包装吨袋破损及时发现并迅速清理。</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0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lang w:eastAsia="zh-CN"/>
                    </w:rPr>
                  </w:pPr>
                  <w:r>
                    <w:rPr>
                      <w:rFonts w:hint="eastAsia" w:cs="Times New Roman"/>
                      <w:b w:val="0"/>
                      <w:bCs w:val="0"/>
                      <w:color w:val="auto"/>
                      <w:u w:val="none"/>
                      <w:lang w:val="en-US" w:eastAsia="zh-CN"/>
                    </w:rPr>
                    <w:t>23</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使用容器盛装液态、半固态危险废物时，容器内部应留有适当的空间，以适应因温度变化等可能引发的收缩和膨胀，防</w:t>
                  </w:r>
                  <w:r>
                    <w:rPr>
                      <w:rFonts w:hint="eastAsia" w:ascii="Times New Roman" w:hAnsi="Times New Roman" w:eastAsia="宋体" w:cs="Times New Roman"/>
                      <w:b w:val="0"/>
                      <w:bCs w:val="0"/>
                      <w:color w:val="auto"/>
                      <w:u w:val="none"/>
                      <w:lang w:val="en-US" w:eastAsia="zh-CN"/>
                    </w:rPr>
                    <w:t>止</w:t>
                  </w:r>
                  <w:r>
                    <w:rPr>
                      <w:rFonts w:hint="eastAsia" w:ascii="Times New Roman" w:hAnsi="Times New Roman" w:eastAsia="宋体" w:cs="Times New Roman"/>
                      <w:b w:val="0"/>
                      <w:bCs w:val="0"/>
                      <w:color w:val="auto"/>
                      <w:u w:val="none"/>
                    </w:rPr>
                    <w:t>其导致容器渗漏或永久变形。</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飞灰为干灰，灰色粉状固体，</w:t>
                  </w:r>
                  <w:r>
                    <w:rPr>
                      <w:rFonts w:hint="eastAsia" w:cs="Times New Roman"/>
                      <w:b w:val="0"/>
                      <w:bCs w:val="0"/>
                      <w:color w:val="auto"/>
                      <w:u w:val="none"/>
                      <w:lang w:val="en-US" w:eastAsia="zh-CN"/>
                    </w:rPr>
                    <w:t>本项目飞灰为螯合稳定后飞灰，为块状固体，</w:t>
                  </w:r>
                  <w:r>
                    <w:rPr>
                      <w:rFonts w:hint="eastAsia" w:ascii="Times New Roman" w:hAnsi="Times New Roman" w:eastAsia="宋体" w:cs="Times New Roman"/>
                      <w:b w:val="0"/>
                      <w:bCs w:val="0"/>
                      <w:color w:val="auto"/>
                      <w:u w:val="none"/>
                    </w:rPr>
                    <w:t>且密封包装于防水吨袋中，不属于液体、半固体危险废物。</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11" w:hRule="atLeast"/>
                <w:jc w:val="center"/>
              </w:trPr>
              <w:tc>
                <w:tcPr>
                  <w:tcW w:w="281" w:type="dxa"/>
                  <w:vAlign w:val="center"/>
                </w:tcPr>
                <w:p>
                  <w:pPr>
                    <w:keepNext/>
                    <w:keepLines/>
                    <w:jc w:val="center"/>
                    <w:rPr>
                      <w:rFonts w:hint="eastAsia" w:ascii="Times New Roman" w:hAnsi="Times New Roman" w:eastAsia="宋体" w:cs="Times New Roman"/>
                      <w:b w:val="0"/>
                      <w:bCs w:val="0"/>
                      <w:color w:val="auto"/>
                      <w:u w:val="none"/>
                      <w:lang w:eastAsia="zh-CN"/>
                    </w:rPr>
                  </w:pPr>
                  <w:r>
                    <w:rPr>
                      <w:rFonts w:hint="eastAsia" w:cs="Times New Roman"/>
                      <w:b w:val="0"/>
                      <w:bCs w:val="0"/>
                      <w:color w:val="auto"/>
                      <w:u w:val="none"/>
                      <w:lang w:val="en-US" w:eastAsia="zh-CN"/>
                    </w:rPr>
                    <w:t>24</w:t>
                  </w:r>
                </w:p>
              </w:tc>
              <w:tc>
                <w:tcPr>
                  <w:tcW w:w="407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容器和包装物外表面应保持清洁。</w:t>
                  </w:r>
                </w:p>
              </w:tc>
              <w:tc>
                <w:tcPr>
                  <w:tcW w:w="3188"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飞灰存放在吨袋内，封口严密，</w:t>
                  </w:r>
                  <w:r>
                    <w:rPr>
                      <w:rFonts w:hint="eastAsia" w:ascii="Times New Roman" w:hAnsi="Times New Roman" w:eastAsia="宋体" w:cs="Times New Roman"/>
                      <w:b w:val="0"/>
                      <w:bCs w:val="0"/>
                      <w:color w:val="auto"/>
                      <w:u w:val="none"/>
                      <w:lang w:val="en-US" w:eastAsia="zh-CN"/>
                    </w:rPr>
                    <w:t>由</w:t>
                  </w:r>
                  <w:r>
                    <w:rPr>
                      <w:rFonts w:hint="eastAsia" w:ascii="Times New Roman" w:hAnsi="Times New Roman" w:eastAsia="宋体" w:cs="Times New Roman"/>
                      <w:b w:val="0"/>
                      <w:bCs w:val="0"/>
                      <w:color w:val="auto"/>
                      <w:u w:val="none"/>
                    </w:rPr>
                    <w:t>专人进行管理和巡查，确保包装物外表面保持清洁。</w:t>
                  </w:r>
                </w:p>
              </w:tc>
              <w:tc>
                <w:tcPr>
                  <w:tcW w:w="57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lang w:val="en-US" w:eastAsia="zh-CN"/>
                    </w:rPr>
                    <w:t>相符</w:t>
                  </w:r>
                </w:p>
              </w:tc>
            </w:tr>
          </w:tbl>
          <w:p>
            <w:pPr>
              <w:spacing w:before="120" w:beforeLines="50" w:after="120" w:afterLines="50" w:line="360" w:lineRule="auto"/>
              <w:ind w:firstLine="482" w:firstLineChars="200"/>
              <w:outlineLvl w:val="0"/>
              <w:rPr>
                <w:rFonts w:hint="eastAsia" w:cs="Times New Roman"/>
                <w:b/>
                <w:bCs/>
                <w:color w:val="auto"/>
                <w:kern w:val="0"/>
                <w:sz w:val="24"/>
                <w:szCs w:val="20"/>
                <w:u w:val="none"/>
                <w:lang w:val="en-US" w:eastAsia="zh-CN" w:bidi="ar-SA"/>
              </w:rPr>
            </w:pPr>
            <w:r>
              <w:rPr>
                <w:rFonts w:hint="eastAsia" w:ascii="Times New Roman" w:hAnsi="Times New Roman" w:eastAsia="宋体" w:cs="Times New Roman"/>
                <w:b/>
                <w:bCs/>
                <w:color w:val="auto"/>
                <w:kern w:val="0"/>
                <w:sz w:val="24"/>
                <w:szCs w:val="20"/>
                <w:u w:val="none"/>
                <w:lang w:val="en-US" w:eastAsia="zh-CN" w:bidi="ar-SA"/>
              </w:rPr>
              <w:t>8</w:t>
            </w:r>
            <w:r>
              <w:rPr>
                <w:rFonts w:hint="eastAsia" w:cs="Times New Roman"/>
                <w:b/>
                <w:bCs/>
                <w:color w:val="auto"/>
                <w:kern w:val="0"/>
                <w:sz w:val="24"/>
                <w:szCs w:val="20"/>
                <w:u w:val="none"/>
                <w:lang w:val="en-US" w:eastAsia="zh-CN" w:bidi="ar-SA"/>
              </w:rPr>
              <w:t>本项目与</w:t>
            </w:r>
            <w:r>
              <w:rPr>
                <w:rFonts w:hint="eastAsia" w:ascii="Times New Roman" w:hAnsi="Times New Roman" w:eastAsia="宋体" w:cs="Times New Roman"/>
                <w:b/>
                <w:bCs/>
                <w:color w:val="auto"/>
                <w:kern w:val="0"/>
                <w:sz w:val="24"/>
                <w:szCs w:val="20"/>
                <w:u w:val="none"/>
                <w:lang w:val="en-US" w:eastAsia="zh-CN" w:bidi="ar-SA"/>
              </w:rPr>
              <w:t>《危险废物识别标志设置技术规范》(</w:t>
            </w:r>
            <w:r>
              <w:rPr>
                <w:rFonts w:hint="eastAsia" w:cs="Times New Roman"/>
                <w:b/>
                <w:bCs/>
                <w:color w:val="auto"/>
                <w:kern w:val="0"/>
                <w:sz w:val="24"/>
                <w:szCs w:val="20"/>
                <w:highlight w:val="none"/>
                <w:u w:val="none"/>
                <w:lang w:val="en-US" w:eastAsia="zh-CN" w:bidi="ar-SA"/>
              </w:rPr>
              <w:t>HJ</w:t>
            </w:r>
            <w:r>
              <w:rPr>
                <w:rFonts w:hint="eastAsia" w:ascii="Times New Roman" w:hAnsi="Times New Roman" w:eastAsia="宋体" w:cs="Times New Roman"/>
                <w:b/>
                <w:bCs/>
                <w:color w:val="auto"/>
                <w:kern w:val="0"/>
                <w:sz w:val="24"/>
                <w:szCs w:val="20"/>
                <w:u w:val="none"/>
                <w:lang w:val="en-US" w:eastAsia="zh-CN" w:bidi="ar-SA"/>
              </w:rPr>
              <w:t>1276-2022)的有关规定相符</w:t>
            </w:r>
            <w:r>
              <w:rPr>
                <w:rFonts w:hint="eastAsia" w:cs="Times New Roman"/>
                <w:b/>
                <w:bCs/>
                <w:color w:val="auto"/>
                <w:kern w:val="0"/>
                <w:sz w:val="24"/>
                <w:szCs w:val="20"/>
                <w:u w:val="none"/>
                <w:lang w:val="en-US" w:eastAsia="zh-CN" w:bidi="ar-SA"/>
              </w:rPr>
              <w:t>性分析</w:t>
            </w:r>
          </w:p>
          <w:p>
            <w:pPr>
              <w:pStyle w:val="7"/>
              <w:numPr>
                <w:ilvl w:val="0"/>
                <w:numId w:val="0"/>
              </w:numPr>
              <w:spacing w:line="240" w:lineRule="auto"/>
              <w:jc w:val="center"/>
              <w:rPr>
                <w:rFonts w:hint="default" w:ascii="Times New Roman" w:hAnsi="Times New Roman" w:eastAsia="黑体" w:cs="Times New Roman"/>
                <w:b w:val="0"/>
                <w:color w:val="auto"/>
                <w:kern w:val="0"/>
                <w:sz w:val="24"/>
                <w:szCs w:val="24"/>
                <w:u w:val="none"/>
                <w:lang w:val="en-US" w:eastAsia="zh-CN" w:bidi="ar-SA"/>
              </w:rPr>
            </w:pPr>
            <w:r>
              <w:rPr>
                <w:rFonts w:hint="eastAsia" w:ascii="Times New Roman" w:hAnsi="Times New Roman" w:eastAsia="黑体" w:cs="Times New Roman"/>
                <w:b w:val="0"/>
                <w:color w:val="auto"/>
                <w:kern w:val="0"/>
                <w:sz w:val="24"/>
                <w:szCs w:val="24"/>
                <w:u w:val="none"/>
                <w:lang w:val="en-US" w:eastAsia="zh-CN" w:bidi="ar-SA"/>
              </w:rPr>
              <w:t xml:space="preserve">表7 </w:t>
            </w:r>
            <w:r>
              <w:rPr>
                <w:rFonts w:hint="eastAsia" w:eastAsia="黑体" w:cs="Times New Roman"/>
                <w:b w:val="0"/>
                <w:color w:val="auto"/>
                <w:kern w:val="0"/>
                <w:sz w:val="24"/>
                <w:szCs w:val="24"/>
                <w:u w:val="none"/>
                <w:lang w:val="en-US" w:eastAsia="zh-CN" w:bidi="ar-SA"/>
              </w:rPr>
              <w:t xml:space="preserve">  </w:t>
            </w:r>
            <w:r>
              <w:rPr>
                <w:rFonts w:hint="eastAsia" w:ascii="Times New Roman" w:hAnsi="Times New Roman" w:eastAsia="黑体" w:cs="Times New Roman"/>
                <w:b w:val="0"/>
                <w:color w:val="auto"/>
                <w:kern w:val="0"/>
                <w:sz w:val="24"/>
                <w:szCs w:val="24"/>
                <w:u w:val="none"/>
                <w:lang w:val="en-US" w:eastAsia="zh-CN" w:bidi="ar-SA"/>
              </w:rPr>
              <w:t>本项目建设内容与《危险废物识别标志设置技术规范》(GB1276-2022)要求相符性分析一览表</w:t>
            </w:r>
          </w:p>
          <w:tbl>
            <w:tblPr>
              <w:tblStyle w:val="29"/>
              <w:tblW w:w="80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3191"/>
              <w:gridCol w:w="2929"/>
              <w:gridCol w:w="1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序号</w:t>
                  </w:r>
                </w:p>
              </w:tc>
              <w:tc>
                <w:tcPr>
                  <w:tcW w:w="319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《危险废物识别标志设置技术规范》(GB1276-2022)要求</w:t>
                  </w:r>
                </w:p>
              </w:tc>
              <w:tc>
                <w:tcPr>
                  <w:tcW w:w="2929"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本项目飞灰暂存库</w:t>
                  </w:r>
                  <w:r>
                    <w:rPr>
                      <w:rFonts w:hint="eastAsia" w:ascii="Times New Roman" w:hAnsi="Times New Roman" w:eastAsia="宋体" w:cs="Times New Roman"/>
                      <w:b w:val="0"/>
                      <w:bCs w:val="0"/>
                      <w:color w:val="auto"/>
                      <w:u w:val="none"/>
                    </w:rPr>
                    <w:t>建设要求</w:t>
                  </w:r>
                </w:p>
              </w:tc>
              <w:tc>
                <w:tcPr>
                  <w:tcW w:w="1081" w:type="dxa"/>
                  <w:vAlign w:val="center"/>
                </w:tcPr>
                <w:p>
                  <w:pPr>
                    <w:keepNext/>
                    <w:keepLines/>
                    <w:jc w:val="center"/>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是否</w:t>
                  </w:r>
                </w:p>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1</w:t>
                  </w:r>
                </w:p>
              </w:tc>
              <w:tc>
                <w:tcPr>
                  <w:tcW w:w="319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危险废物标签应以醒目的字样标注“危险废物”</w:t>
                  </w:r>
                </w:p>
              </w:tc>
              <w:tc>
                <w:tcPr>
                  <w:tcW w:w="2929"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本项目飞灰标签拟以</w:t>
                  </w:r>
                  <w:r>
                    <w:rPr>
                      <w:rFonts w:hint="eastAsia" w:ascii="Times New Roman" w:hAnsi="Times New Roman" w:eastAsia="宋体" w:cs="Times New Roman"/>
                      <w:b w:val="0"/>
                      <w:bCs w:val="0"/>
                      <w:color w:val="auto"/>
                      <w:u w:val="none"/>
                    </w:rPr>
                    <w:t>醒目的字样标注“危险废物”</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2</w:t>
                  </w:r>
                </w:p>
              </w:tc>
              <w:tc>
                <w:tcPr>
                  <w:tcW w:w="3191"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危险废物标签应包含废物名称、废物类别、废物代码、废物形态、危险特性、主要成分、有害成分、注意事项、产生/收集单位名称、联系人、联系方式、产生日期、废物重量和备注。</w:t>
                  </w:r>
                </w:p>
              </w:tc>
              <w:tc>
                <w:tcPr>
                  <w:tcW w:w="2929"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危险废物标签包含废物名称、废物类别、废物代码、废物形态、危险特性、主要成分、有害成分、注意事项、产生/收集单位名称、联系人、联系方式、产生日期、废物重量和备注</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3</w:t>
                  </w:r>
                </w:p>
              </w:tc>
              <w:tc>
                <w:tcPr>
                  <w:tcW w:w="3191"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危险废物标签宜设置危险废物数字识别码和二维码。</w:t>
                  </w:r>
                </w:p>
              </w:tc>
              <w:tc>
                <w:tcPr>
                  <w:tcW w:w="2929"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危险废物标签设置危险废物数字识别码和二维码</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4</w:t>
                  </w:r>
                </w:p>
              </w:tc>
              <w:tc>
                <w:tcPr>
                  <w:tcW w:w="3191"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危险废物标签用地设置位置应明显可见且易读，不应被容器、包装物自身的任何部分或其他标签遮挡。</w:t>
                  </w:r>
                </w:p>
              </w:tc>
              <w:tc>
                <w:tcPr>
                  <w:tcW w:w="2929"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危险废物标签用地设置位置明显可见且易读，不应被容器、包装物自身的任何部分或其他标签遮挡</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5</w:t>
                  </w:r>
                </w:p>
              </w:tc>
              <w:tc>
                <w:tcPr>
                  <w:tcW w:w="319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危险废物标签的固定可采用印刷、粘贴、</w:t>
                  </w:r>
                  <w:r>
                    <w:rPr>
                      <w:rFonts w:hint="eastAsia" w:ascii="Times New Roman" w:hAnsi="Times New Roman" w:eastAsia="宋体" w:cs="Times New Roman"/>
                      <w:b w:val="0"/>
                      <w:bCs w:val="0"/>
                      <w:color w:val="auto"/>
                      <w:highlight w:val="none"/>
                      <w:u w:val="none"/>
                    </w:rPr>
                    <w:t>栓</w:t>
                  </w:r>
                  <w:r>
                    <w:rPr>
                      <w:rFonts w:hint="eastAsia" w:ascii="Times New Roman" w:hAnsi="Times New Roman" w:eastAsia="宋体" w:cs="Times New Roman"/>
                      <w:b w:val="0"/>
                      <w:bCs w:val="0"/>
                      <w:color w:val="auto"/>
                      <w:u w:val="none"/>
                    </w:rPr>
                    <w:t>挂、钉附等方式，标签的固定应保证在贮存、转移、期间不易脱落和损坏。</w:t>
                  </w:r>
                </w:p>
              </w:tc>
              <w:tc>
                <w:tcPr>
                  <w:tcW w:w="2929"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本项目</w:t>
                  </w:r>
                  <w:r>
                    <w:rPr>
                      <w:rFonts w:hint="eastAsia" w:ascii="Times New Roman" w:hAnsi="Times New Roman" w:eastAsia="宋体" w:cs="Times New Roman"/>
                      <w:b w:val="0"/>
                      <w:bCs w:val="0"/>
                      <w:color w:val="auto"/>
                      <w:u w:val="none"/>
                    </w:rPr>
                    <w:t>危险废物标签的固定采用粘贴、钉附方式，标签的固定保证在贮存、转移、期间不易脱落和损坏</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6</w:t>
                  </w:r>
                </w:p>
              </w:tc>
              <w:tc>
                <w:tcPr>
                  <w:tcW w:w="3191"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危险废物贮存、利用、处置设施标志应包括三角形警告性图形标志和文字性辅助标志。</w:t>
                  </w:r>
                </w:p>
              </w:tc>
              <w:tc>
                <w:tcPr>
                  <w:tcW w:w="2929"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本项目</w:t>
                  </w:r>
                  <w:r>
                    <w:rPr>
                      <w:rFonts w:hint="eastAsia" w:ascii="Times New Roman" w:hAnsi="Times New Roman" w:eastAsia="宋体" w:cs="Times New Roman"/>
                      <w:b w:val="0"/>
                      <w:bCs w:val="0"/>
                      <w:color w:val="auto"/>
                      <w:u w:val="none"/>
                    </w:rPr>
                    <w:t>危险废物贮存、利用、处置设施标志包括三角形警告性图形标志和文字性辅助标志。</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7</w:t>
                  </w:r>
                </w:p>
              </w:tc>
              <w:tc>
                <w:tcPr>
                  <w:tcW w:w="319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危险废物贮存、利用、处置设施标志应以醒目的文字标注危险废物设施的类型。</w:t>
                  </w:r>
                </w:p>
              </w:tc>
              <w:tc>
                <w:tcPr>
                  <w:tcW w:w="2929"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危险废物贮存、利用、处置设施标志以醒目的文字标注危险废物设施的类型。</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8</w:t>
                  </w:r>
                </w:p>
              </w:tc>
              <w:tc>
                <w:tcPr>
                  <w:tcW w:w="3191"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危险废物贮存、利用、处置设施标志还应包括危险废物设施所属的单位名称、设施编码、负责人及联系方式</w:t>
                  </w:r>
                </w:p>
              </w:tc>
              <w:tc>
                <w:tcPr>
                  <w:tcW w:w="2929"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危险废物贮存、利用、处置设施标志还包括危险废物设施所属的单位名称、设施编码、负责人及联系方式</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9</w:t>
                  </w:r>
                </w:p>
              </w:tc>
              <w:tc>
                <w:tcPr>
                  <w:tcW w:w="3191"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危险废物贮存、利用、处置设施标志宜设置二维码，对设施使用情况进行信息化管理</w:t>
                  </w:r>
                </w:p>
              </w:tc>
              <w:tc>
                <w:tcPr>
                  <w:tcW w:w="2929" w:type="dxa"/>
                  <w:vAlign w:val="top"/>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rPr>
                    <w:t>危险废物贮存、利用、处置设施标志设置二维码，对设施使用情况进行信息化管理</w:t>
                  </w:r>
                </w:p>
              </w:tc>
              <w:tc>
                <w:tcPr>
                  <w:tcW w:w="1081" w:type="dxa"/>
                  <w:vAlign w:val="center"/>
                </w:tcPr>
                <w:p>
                  <w:pPr>
                    <w:keepNext/>
                    <w:keepLines/>
                    <w:jc w:val="center"/>
                    <w:rPr>
                      <w:rFonts w:hint="eastAsia"/>
                      <w:b w:val="0"/>
                      <w:bCs w:val="0"/>
                      <w:color w:val="auto"/>
                      <w:sz w:val="24"/>
                      <w:u w:val="none"/>
                      <w:vertAlign w:val="baseline"/>
                      <w:lang w:val="en-US" w:eastAsia="zh-CN"/>
                    </w:rPr>
                  </w:pPr>
                  <w:r>
                    <w:rPr>
                      <w:rFonts w:hint="eastAsia" w:ascii="Times New Roman" w:hAnsi="Times New Roman" w:eastAsia="宋体" w:cs="Times New Roman"/>
                      <w:b w:val="0"/>
                      <w:bCs w:val="0"/>
                      <w:color w:val="auto"/>
                      <w:u w:val="none"/>
                      <w:lang w:val="en-US" w:eastAsia="zh-CN"/>
                    </w:rPr>
                    <w:t>相符</w:t>
                  </w:r>
                </w:p>
              </w:tc>
            </w:tr>
          </w:tbl>
          <w:p>
            <w:pPr>
              <w:spacing w:line="360" w:lineRule="auto"/>
              <w:ind w:firstLine="480" w:firstLineChars="200"/>
              <w:jc w:val="left"/>
              <w:rPr>
                <w:rFonts w:hint="eastAsia"/>
                <w:b w:val="0"/>
                <w:bCs w:val="0"/>
                <w:color w:val="auto"/>
                <w:sz w:val="24"/>
                <w:u w:val="none"/>
                <w:lang w:val="en-US" w:eastAsia="zh-CN"/>
              </w:rPr>
            </w:pPr>
          </w:p>
        </w:tc>
      </w:tr>
    </w:tbl>
    <w:p>
      <w:pPr>
        <w:spacing w:before="120" w:beforeLines="50" w:after="120" w:afterLines="50"/>
        <w:outlineLvl w:val="0"/>
        <w:rPr>
          <w:rFonts w:hint="eastAsia" w:ascii="Times New Roman" w:hAnsi="Times New Roman" w:eastAsia="黑体" w:cs="Times New Roman"/>
          <w:b/>
          <w:bCs/>
          <w:color w:val="auto"/>
          <w:sz w:val="30"/>
          <w:szCs w:val="30"/>
          <w:lang w:val="en-US" w:eastAsia="zh-CN"/>
        </w:rPr>
        <w:sectPr>
          <w:footerReference r:id="rId11"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p>
    <w:p>
      <w:pPr>
        <w:pStyle w:val="14"/>
        <w:spacing w:after="0" w:line="480" w:lineRule="exact"/>
        <w:ind w:left="0" w:leftChars="0" w:firstLine="482" w:firstLineChars="200"/>
        <w:rPr>
          <w:b w:val="0"/>
          <w:bCs w:val="0"/>
          <w:color w:val="auto"/>
          <w:u w:val="none"/>
          <w:lang w:val="en-US" w:eastAsia="zh-CN"/>
        </w:rPr>
      </w:pPr>
      <w:r>
        <w:rPr>
          <w:rFonts w:hint="eastAsia"/>
          <w:b/>
          <w:bCs/>
          <w:color w:val="auto"/>
          <w:u w:val="none"/>
          <w:lang w:val="en-US" w:eastAsia="zh-CN"/>
        </w:rPr>
        <w:t>9</w:t>
      </w:r>
      <w:r>
        <w:rPr>
          <w:b/>
          <w:bCs/>
          <w:color w:val="auto"/>
          <w:u w:val="none"/>
          <w:lang w:val="en-US" w:eastAsia="zh-CN"/>
        </w:rPr>
        <w:t>与《河南省重污染天气通用行业应急减排措施制定技术指南》（2021年修订版）要求符合性分析</w:t>
      </w:r>
    </w:p>
    <w:p>
      <w:pPr>
        <w:spacing w:line="480" w:lineRule="exact"/>
        <w:ind w:firstLine="480" w:firstLineChars="200"/>
        <w:rPr>
          <w:rFonts w:hint="eastAsia" w:ascii="Times New Roman" w:hAnsi="Times New Roman" w:eastAsia="宋体" w:cs="Times New Roman"/>
          <w:color w:val="auto"/>
          <w:kern w:val="0"/>
          <w:sz w:val="24"/>
          <w:szCs w:val="24"/>
          <w:u w:val="none"/>
          <w:lang w:val="en-US" w:eastAsia="zh-CN" w:bidi="ar-SA"/>
        </w:rPr>
      </w:pPr>
      <w:r>
        <w:rPr>
          <w:rFonts w:hint="eastAsia" w:ascii="Times New Roman" w:hAnsi="Times New Roman" w:eastAsia="宋体" w:cs="Times New Roman"/>
          <w:color w:val="auto"/>
          <w:kern w:val="0"/>
          <w:sz w:val="24"/>
          <w:szCs w:val="24"/>
          <w:u w:val="none"/>
          <w:lang w:val="en-US" w:eastAsia="zh-CN" w:bidi="ar-SA"/>
        </w:rPr>
        <w:t>本项目不属于国家39个重点行业和省级12个重点行业，通用行业基本要求是指未纳入国家和省级重点行业涉气企业应满足的基本要求，包括涉PM和涉VOCs（未涉锅炉/炉窑）排放企业，规定了企业各类物料装卸、储存、转移、输送、包装和工艺过程污染控制要求，以及其他控制要求。本项目只涉及PM，分析如下：</w:t>
      </w:r>
    </w:p>
    <w:p>
      <w:pPr>
        <w:pStyle w:val="14"/>
        <w:spacing w:after="0" w:line="480" w:lineRule="exact"/>
        <w:ind w:left="0" w:leftChars="0"/>
        <w:jc w:val="center"/>
        <w:rPr>
          <w:rFonts w:hint="eastAsia" w:ascii="Times New Roman" w:hAnsi="Times New Roman" w:eastAsia="黑体" w:cs="Times New Roman"/>
          <w:b w:val="0"/>
          <w:color w:val="auto"/>
          <w:kern w:val="0"/>
          <w:sz w:val="24"/>
          <w:szCs w:val="24"/>
          <w:u w:val="none"/>
          <w:lang w:val="en-US" w:eastAsia="zh-CN" w:bidi="ar-SA"/>
        </w:rPr>
      </w:pPr>
      <w:r>
        <w:rPr>
          <w:rFonts w:hint="eastAsia" w:ascii="Times New Roman" w:hAnsi="Times New Roman" w:eastAsia="黑体" w:cs="Times New Roman"/>
          <w:b w:val="0"/>
          <w:color w:val="auto"/>
          <w:kern w:val="0"/>
          <w:sz w:val="24"/>
          <w:szCs w:val="24"/>
          <w:u w:val="none"/>
          <w:lang w:val="en-US" w:eastAsia="zh-CN" w:bidi="ar-SA"/>
        </w:rPr>
        <w:t>表</w:t>
      </w:r>
      <w:r>
        <w:rPr>
          <w:rFonts w:hint="eastAsia" w:eastAsia="黑体" w:cs="Times New Roman"/>
          <w:b w:val="0"/>
          <w:color w:val="auto"/>
          <w:kern w:val="0"/>
          <w:sz w:val="24"/>
          <w:szCs w:val="24"/>
          <w:u w:val="none"/>
          <w:lang w:val="en-US" w:eastAsia="zh-CN" w:bidi="ar-SA"/>
        </w:rPr>
        <w:t>8</w:t>
      </w:r>
      <w:r>
        <w:rPr>
          <w:rFonts w:hint="eastAsia" w:ascii="Times New Roman" w:hAnsi="Times New Roman" w:eastAsia="黑体" w:cs="Times New Roman"/>
          <w:b w:val="0"/>
          <w:color w:val="auto"/>
          <w:kern w:val="0"/>
          <w:sz w:val="24"/>
          <w:szCs w:val="24"/>
          <w:u w:val="none"/>
          <w:lang w:val="en-US" w:eastAsia="zh-CN" w:bidi="ar-SA"/>
        </w:rPr>
        <w:t xml:space="preserve">  本项目与“涉PM企业基本要求”符合性分析</w:t>
      </w:r>
    </w:p>
    <w:tbl>
      <w:tblPr>
        <w:tblStyle w:val="28"/>
        <w:tblW w:w="13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38"/>
        <w:gridCol w:w="8029"/>
        <w:gridCol w:w="3555"/>
        <w:gridCol w:w="1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411" w:type="pct"/>
            <w:noWrap w:val="0"/>
            <w:vAlign w:val="center"/>
          </w:tcPr>
          <w:p>
            <w:pPr>
              <w:keepNext/>
              <w:keepLines/>
              <w:jc w:val="center"/>
              <w:rPr>
                <w:b w:val="0"/>
                <w:bCs w:val="0"/>
                <w:color w:val="auto"/>
                <w:szCs w:val="21"/>
                <w:u w:val="none"/>
              </w:rPr>
            </w:pPr>
            <w:r>
              <w:rPr>
                <w:b w:val="0"/>
                <w:bCs w:val="0"/>
                <w:color w:val="auto"/>
                <w:szCs w:val="21"/>
                <w:u w:val="none"/>
              </w:rPr>
              <w:t>序号</w:t>
            </w:r>
          </w:p>
        </w:tc>
        <w:tc>
          <w:tcPr>
            <w:tcW w:w="2905" w:type="pct"/>
            <w:noWrap w:val="0"/>
            <w:vAlign w:val="center"/>
          </w:tcPr>
          <w:p>
            <w:pPr>
              <w:keepNext/>
              <w:keepLines/>
              <w:jc w:val="center"/>
              <w:rPr>
                <w:b w:val="0"/>
                <w:bCs w:val="0"/>
                <w:color w:val="auto"/>
                <w:szCs w:val="21"/>
                <w:u w:val="none"/>
              </w:rPr>
            </w:pPr>
            <w:r>
              <w:rPr>
                <w:rFonts w:hint="eastAsia"/>
                <w:b w:val="0"/>
                <w:bCs w:val="0"/>
                <w:color w:val="auto"/>
                <w:szCs w:val="21"/>
                <w:u w:val="none"/>
              </w:rPr>
              <w:t>要求</w:t>
            </w:r>
          </w:p>
        </w:tc>
        <w:tc>
          <w:tcPr>
            <w:tcW w:w="1286" w:type="pct"/>
            <w:noWrap w:val="0"/>
            <w:vAlign w:val="center"/>
          </w:tcPr>
          <w:p>
            <w:pPr>
              <w:keepNext/>
              <w:keepLines/>
              <w:jc w:val="center"/>
              <w:rPr>
                <w:b w:val="0"/>
                <w:bCs w:val="0"/>
                <w:color w:val="auto"/>
                <w:szCs w:val="21"/>
                <w:u w:val="none"/>
              </w:rPr>
            </w:pPr>
            <w:r>
              <w:rPr>
                <w:b w:val="0"/>
                <w:bCs w:val="0"/>
                <w:color w:val="auto"/>
                <w:szCs w:val="21"/>
                <w:u w:val="none"/>
              </w:rPr>
              <w:t>本项目</w:t>
            </w:r>
          </w:p>
        </w:tc>
        <w:tc>
          <w:tcPr>
            <w:tcW w:w="396" w:type="pct"/>
            <w:noWrap w:val="0"/>
            <w:vAlign w:val="center"/>
          </w:tcPr>
          <w:p>
            <w:pPr>
              <w:keepNext/>
              <w:keepLines/>
              <w:jc w:val="center"/>
              <w:rPr>
                <w:rFonts w:hint="eastAsia"/>
                <w:b w:val="0"/>
                <w:bCs w:val="0"/>
                <w:color w:val="auto"/>
                <w:szCs w:val="21"/>
                <w:u w:val="none"/>
              </w:rPr>
            </w:pPr>
            <w:r>
              <w:rPr>
                <w:rFonts w:hint="eastAsia"/>
                <w:b w:val="0"/>
                <w:bCs w:val="0"/>
                <w:color w:val="auto"/>
                <w:szCs w:val="21"/>
                <w:u w:val="non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8" w:hRule="atLeast"/>
          <w:jc w:val="center"/>
        </w:trPr>
        <w:tc>
          <w:tcPr>
            <w:tcW w:w="411" w:type="pct"/>
            <w:noWrap w:val="0"/>
            <w:vAlign w:val="center"/>
          </w:tcPr>
          <w:p>
            <w:pPr>
              <w:keepNext/>
              <w:keepLines/>
              <w:autoSpaceDE w:val="0"/>
              <w:autoSpaceDN w:val="0"/>
              <w:jc w:val="center"/>
              <w:rPr>
                <w:b w:val="0"/>
                <w:bCs w:val="0"/>
                <w:color w:val="auto"/>
                <w:szCs w:val="21"/>
                <w:u w:val="none"/>
              </w:rPr>
            </w:pPr>
            <w:r>
              <w:rPr>
                <w:b w:val="0"/>
                <w:bCs w:val="0"/>
                <w:color w:val="auto"/>
                <w:szCs w:val="21"/>
                <w:u w:val="none"/>
              </w:rPr>
              <w:t>1</w:t>
            </w:r>
            <w:r>
              <w:rPr>
                <w:rFonts w:hint="eastAsia"/>
                <w:b w:val="0"/>
                <w:bCs w:val="0"/>
                <w:color w:val="auto"/>
                <w:szCs w:val="21"/>
                <w:u w:val="none"/>
              </w:rPr>
              <w:t>、物料装卸</w:t>
            </w:r>
          </w:p>
        </w:tc>
        <w:tc>
          <w:tcPr>
            <w:tcW w:w="2905" w:type="pct"/>
            <w:noWrap w:val="0"/>
            <w:vAlign w:val="center"/>
          </w:tcPr>
          <w:p>
            <w:pPr>
              <w:keepNext/>
              <w:keepLines/>
              <w:jc w:val="center"/>
              <w:rPr>
                <w:rFonts w:hint="eastAsia"/>
                <w:b w:val="0"/>
                <w:bCs w:val="0"/>
                <w:color w:val="auto"/>
                <w:u w:val="none"/>
              </w:rPr>
            </w:pPr>
            <w:r>
              <w:rPr>
                <w:rFonts w:hint="eastAsia"/>
                <w:b w:val="0"/>
                <w:bCs w:val="0"/>
                <w:color w:val="auto"/>
                <w:u w:val="none"/>
              </w:rPr>
              <w:t>车辆运输的物料应采取封闭措施。粉状、粒状、块状散装物料在封闭料场内装卸，装卸过程中产尘点应设置集气除尘装置，料堆应采取有效抑尘措施。不易产尘的袋装物料宜在料棚中装卸，如需露天装卸应采取防止破袋及粉尘外逸措施。</w:t>
            </w:r>
          </w:p>
        </w:tc>
        <w:tc>
          <w:tcPr>
            <w:tcW w:w="1286" w:type="pct"/>
            <w:noWrap w:val="0"/>
            <w:vAlign w:val="center"/>
          </w:tcPr>
          <w:p>
            <w:pPr>
              <w:keepNext/>
              <w:keepLines/>
              <w:jc w:val="center"/>
              <w:rPr>
                <w:rFonts w:hint="default" w:eastAsia="宋体"/>
                <w:b w:val="0"/>
                <w:bCs w:val="0"/>
                <w:color w:val="auto"/>
                <w:szCs w:val="21"/>
                <w:u w:val="none"/>
                <w:lang w:val="en-US" w:eastAsia="zh-CN"/>
              </w:rPr>
            </w:pPr>
            <w:r>
              <w:rPr>
                <w:rFonts w:hint="eastAsia"/>
                <w:b w:val="0"/>
                <w:bCs w:val="0"/>
                <w:color w:val="auto"/>
                <w:u w:val="none"/>
                <w:lang w:val="en-US" w:eastAsia="zh-CN"/>
              </w:rPr>
              <w:t>本项目</w:t>
            </w:r>
            <w:r>
              <w:rPr>
                <w:rFonts w:hint="eastAsia"/>
                <w:b w:val="0"/>
                <w:bCs w:val="0"/>
                <w:color w:val="auto"/>
                <w:u w:val="none"/>
              </w:rPr>
              <w:t>车辆运输的物料采取封闭措施</w:t>
            </w:r>
            <w:r>
              <w:rPr>
                <w:rFonts w:hint="eastAsia"/>
                <w:b w:val="0"/>
                <w:bCs w:val="0"/>
                <w:color w:val="auto"/>
                <w:u w:val="none"/>
                <w:lang w:eastAsia="zh-CN"/>
              </w:rPr>
              <w:t>，</w:t>
            </w:r>
            <w:r>
              <w:rPr>
                <w:rFonts w:hint="eastAsia"/>
                <w:b w:val="0"/>
                <w:bCs w:val="0"/>
                <w:color w:val="auto"/>
                <w:u w:val="none"/>
                <w:lang w:val="en-US" w:eastAsia="zh-CN"/>
              </w:rPr>
              <w:t>本项目飞灰储存拟采取喷干雾抑尘措施，本项目飞灰属于</w:t>
            </w:r>
            <w:r>
              <w:rPr>
                <w:rFonts w:hint="eastAsia"/>
                <w:b w:val="0"/>
                <w:bCs w:val="0"/>
                <w:color w:val="auto"/>
                <w:u w:val="none"/>
              </w:rPr>
              <w:t>不易产尘的袋装物</w:t>
            </w:r>
            <w:r>
              <w:rPr>
                <w:rFonts w:hint="eastAsia"/>
                <w:b w:val="0"/>
                <w:bCs w:val="0"/>
                <w:color w:val="auto"/>
                <w:u w:val="none"/>
                <w:lang w:eastAsia="zh-CN"/>
              </w:rPr>
              <w:t>，</w:t>
            </w:r>
            <w:r>
              <w:rPr>
                <w:rFonts w:hint="eastAsia"/>
                <w:b w:val="0"/>
                <w:bCs w:val="0"/>
                <w:color w:val="auto"/>
                <w:u w:val="none"/>
                <w:lang w:val="en-US" w:eastAsia="zh-CN"/>
              </w:rPr>
              <w:t>且</w:t>
            </w:r>
            <w:r>
              <w:rPr>
                <w:rFonts w:hint="eastAsia"/>
                <w:b w:val="0"/>
                <w:bCs w:val="0"/>
                <w:color w:val="auto"/>
                <w:u w:val="none"/>
              </w:rPr>
              <w:t>在料棚中装卸</w:t>
            </w:r>
          </w:p>
        </w:tc>
        <w:tc>
          <w:tcPr>
            <w:tcW w:w="396" w:type="pct"/>
            <w:noWrap w:val="0"/>
            <w:vAlign w:val="center"/>
          </w:tcPr>
          <w:p>
            <w:pPr>
              <w:keepNext/>
              <w:keepLines/>
              <w:jc w:val="center"/>
              <w:rPr>
                <w:b w:val="0"/>
                <w:bCs w:val="0"/>
                <w:color w:val="auto"/>
                <w:szCs w:val="21"/>
                <w:u w:val="none"/>
              </w:rPr>
            </w:pPr>
            <w:r>
              <w:rPr>
                <w:b w:val="0"/>
                <w:bCs w:val="0"/>
                <w:color w:val="auto"/>
                <w:szCs w:val="21"/>
                <w:u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37" w:hRule="atLeast"/>
          <w:jc w:val="center"/>
        </w:trPr>
        <w:tc>
          <w:tcPr>
            <w:tcW w:w="411" w:type="pct"/>
            <w:vMerge w:val="restart"/>
            <w:noWrap w:val="0"/>
            <w:vAlign w:val="center"/>
          </w:tcPr>
          <w:p>
            <w:pPr>
              <w:keepNext/>
              <w:keepLines/>
              <w:autoSpaceDE w:val="0"/>
              <w:autoSpaceDN w:val="0"/>
              <w:jc w:val="center"/>
              <w:rPr>
                <w:b w:val="0"/>
                <w:bCs w:val="0"/>
                <w:color w:val="auto"/>
                <w:szCs w:val="21"/>
                <w:u w:val="none"/>
              </w:rPr>
            </w:pPr>
            <w:r>
              <w:rPr>
                <w:b w:val="0"/>
                <w:bCs w:val="0"/>
                <w:color w:val="auto"/>
                <w:szCs w:val="21"/>
                <w:u w:val="none"/>
              </w:rPr>
              <w:t>2</w:t>
            </w:r>
            <w:r>
              <w:rPr>
                <w:rFonts w:hint="eastAsia"/>
                <w:b w:val="0"/>
                <w:bCs w:val="0"/>
                <w:color w:val="auto"/>
                <w:szCs w:val="21"/>
                <w:u w:val="none"/>
              </w:rPr>
              <w:t>、物料储存</w:t>
            </w:r>
          </w:p>
        </w:tc>
        <w:tc>
          <w:tcPr>
            <w:tcW w:w="2905" w:type="pct"/>
            <w:noWrap w:val="0"/>
            <w:vAlign w:val="center"/>
          </w:tcPr>
          <w:p>
            <w:pPr>
              <w:keepNext/>
              <w:keepLines/>
              <w:jc w:val="center"/>
              <w:rPr>
                <w:rFonts w:hint="eastAsia"/>
                <w:b w:val="0"/>
                <w:bCs w:val="0"/>
                <w:color w:val="auto"/>
                <w:u w:val="none"/>
              </w:rPr>
            </w:pPr>
            <w:r>
              <w:rPr>
                <w:rFonts w:hint="eastAsia"/>
                <w:b w:val="0"/>
                <w:bCs w:val="0"/>
                <w:color w:val="auto"/>
                <w:u w:val="none"/>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tc>
        <w:tc>
          <w:tcPr>
            <w:tcW w:w="1286" w:type="pct"/>
            <w:noWrap w:val="0"/>
            <w:vAlign w:val="center"/>
          </w:tcPr>
          <w:p>
            <w:pPr>
              <w:keepNext/>
              <w:keepLines/>
              <w:jc w:val="center"/>
              <w:rPr>
                <w:rFonts w:hint="default" w:eastAsia="宋体"/>
                <w:b w:val="0"/>
                <w:bCs w:val="0"/>
                <w:color w:val="auto"/>
                <w:szCs w:val="21"/>
                <w:u w:val="none"/>
                <w:lang w:val="en-US" w:eastAsia="zh-CN"/>
              </w:rPr>
            </w:pPr>
            <w:r>
              <w:rPr>
                <w:rFonts w:hint="eastAsia" w:eastAsia="宋体"/>
                <w:b w:val="0"/>
                <w:bCs w:val="0"/>
                <w:color w:val="auto"/>
                <w:szCs w:val="21"/>
                <w:u w:val="none"/>
                <w:lang w:val="en-US" w:eastAsia="zh-CN"/>
              </w:rPr>
              <w:t>/</w:t>
            </w:r>
          </w:p>
        </w:tc>
        <w:tc>
          <w:tcPr>
            <w:tcW w:w="396" w:type="pct"/>
            <w:noWrap w:val="0"/>
            <w:vAlign w:val="center"/>
          </w:tcPr>
          <w:p>
            <w:pPr>
              <w:keepNext/>
              <w:keepLines/>
              <w:jc w:val="center"/>
              <w:rPr>
                <w:b w:val="0"/>
                <w:bCs w:val="0"/>
                <w:color w:val="auto"/>
                <w:szCs w:val="21"/>
                <w:u w:val="none"/>
              </w:rPr>
            </w:pPr>
            <w:r>
              <w:rPr>
                <w:b w:val="0"/>
                <w:bCs w:val="0"/>
                <w:color w:val="auto"/>
                <w:szCs w:val="21"/>
                <w:u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37" w:hRule="atLeast"/>
          <w:jc w:val="center"/>
        </w:trPr>
        <w:tc>
          <w:tcPr>
            <w:tcW w:w="411" w:type="pct"/>
            <w:vMerge w:val="continue"/>
            <w:noWrap w:val="0"/>
            <w:vAlign w:val="center"/>
          </w:tcPr>
          <w:p>
            <w:pPr>
              <w:keepNext/>
              <w:keepLines/>
              <w:autoSpaceDE w:val="0"/>
              <w:autoSpaceDN w:val="0"/>
              <w:jc w:val="center"/>
              <w:rPr>
                <w:b w:val="0"/>
                <w:bCs w:val="0"/>
                <w:color w:val="auto"/>
                <w:szCs w:val="21"/>
                <w:u w:val="none"/>
              </w:rPr>
            </w:pPr>
          </w:p>
        </w:tc>
        <w:tc>
          <w:tcPr>
            <w:tcW w:w="2905" w:type="pct"/>
            <w:noWrap w:val="0"/>
            <w:vAlign w:val="center"/>
          </w:tcPr>
          <w:p>
            <w:pPr>
              <w:keepNext/>
              <w:keepLines/>
              <w:jc w:val="center"/>
              <w:rPr>
                <w:rFonts w:hint="eastAsia"/>
                <w:b w:val="0"/>
                <w:bCs w:val="0"/>
                <w:color w:val="auto"/>
                <w:u w:val="none"/>
              </w:rPr>
            </w:pPr>
            <w:r>
              <w:rPr>
                <w:rFonts w:hint="eastAsia"/>
                <w:b w:val="0"/>
                <w:bCs w:val="0"/>
                <w:color w:val="auto"/>
                <w:u w:val="none"/>
              </w:rPr>
              <w:t>危险废物。应有符合规范要求的危险废物储存间，危险废物储存间门口应张贴标准规范的危险废物标识和危废信息板，建立台账并挂于危废间内，危险废物的记录和货单保存3年以上。危废间内禁止存放除危险废物和应急工具外的其他物品。</w:t>
            </w:r>
          </w:p>
        </w:tc>
        <w:tc>
          <w:tcPr>
            <w:tcW w:w="1286" w:type="pct"/>
            <w:noWrap w:val="0"/>
            <w:vAlign w:val="center"/>
          </w:tcPr>
          <w:p>
            <w:pPr>
              <w:keepNext/>
              <w:keepLines/>
              <w:jc w:val="center"/>
              <w:rPr>
                <w:b w:val="0"/>
                <w:bCs w:val="0"/>
                <w:color w:val="auto"/>
                <w:szCs w:val="21"/>
                <w:u w:val="none"/>
              </w:rPr>
            </w:pPr>
            <w:r>
              <w:rPr>
                <w:rFonts w:hint="eastAsia"/>
                <w:b w:val="0"/>
                <w:bCs w:val="0"/>
                <w:color w:val="auto"/>
                <w:szCs w:val="21"/>
                <w:u w:val="none"/>
              </w:rPr>
              <w:t>本项目设置规范危险废物暂存间</w:t>
            </w:r>
            <w:r>
              <w:rPr>
                <w:rFonts w:hint="eastAsia"/>
                <w:b w:val="0"/>
                <w:bCs w:val="0"/>
                <w:color w:val="auto"/>
                <w:szCs w:val="21"/>
                <w:u w:val="none"/>
                <w:lang w:eastAsia="zh-CN"/>
              </w:rPr>
              <w:t>（</w:t>
            </w:r>
            <w:r>
              <w:rPr>
                <w:rFonts w:hint="eastAsia"/>
                <w:b w:val="0"/>
                <w:bCs w:val="0"/>
                <w:color w:val="auto"/>
                <w:szCs w:val="21"/>
                <w:u w:val="none"/>
                <w:lang w:val="en-US" w:eastAsia="zh-CN"/>
              </w:rPr>
              <w:t>飞灰库</w:t>
            </w:r>
            <w:r>
              <w:rPr>
                <w:rFonts w:hint="eastAsia"/>
                <w:b w:val="0"/>
                <w:bCs w:val="0"/>
                <w:color w:val="auto"/>
                <w:szCs w:val="21"/>
                <w:u w:val="none"/>
                <w:lang w:eastAsia="zh-CN"/>
              </w:rPr>
              <w:t>）</w:t>
            </w:r>
            <w:r>
              <w:rPr>
                <w:rFonts w:hint="eastAsia"/>
                <w:b w:val="0"/>
                <w:bCs w:val="0"/>
                <w:color w:val="auto"/>
                <w:szCs w:val="21"/>
                <w:u w:val="none"/>
              </w:rPr>
              <w:t>，危险废物储存间门口张贴标准规范的危险废物标识和危废信息板，建立台账并挂于危废间内，危险废物的记录和货单保存</w:t>
            </w:r>
            <w:r>
              <w:rPr>
                <w:rFonts w:hint="eastAsia"/>
                <w:b w:val="0"/>
                <w:bCs w:val="0"/>
                <w:color w:val="auto"/>
                <w:szCs w:val="21"/>
                <w:u w:val="none"/>
                <w:lang w:val="en-US" w:eastAsia="zh-CN"/>
              </w:rPr>
              <w:t>5</w:t>
            </w:r>
            <w:r>
              <w:rPr>
                <w:rFonts w:hint="eastAsia"/>
                <w:b w:val="0"/>
                <w:bCs w:val="0"/>
                <w:color w:val="auto"/>
                <w:szCs w:val="21"/>
                <w:u w:val="none"/>
              </w:rPr>
              <w:t>年以上。危废间内仅存放危险废物和应急工具</w:t>
            </w:r>
          </w:p>
        </w:tc>
        <w:tc>
          <w:tcPr>
            <w:tcW w:w="396" w:type="pct"/>
            <w:noWrap w:val="0"/>
            <w:vAlign w:val="center"/>
          </w:tcPr>
          <w:p>
            <w:pPr>
              <w:keepNext/>
              <w:keepLines/>
              <w:jc w:val="center"/>
              <w:rPr>
                <w:rFonts w:hint="eastAsia"/>
                <w:b w:val="0"/>
                <w:bCs w:val="0"/>
                <w:color w:val="auto"/>
                <w:szCs w:val="21"/>
                <w:u w:val="none"/>
              </w:rPr>
            </w:pPr>
            <w:r>
              <w:rPr>
                <w:rFonts w:hint="eastAsia"/>
                <w:b w:val="0"/>
                <w:bCs w:val="0"/>
                <w:color w:val="auto"/>
                <w:szCs w:val="21"/>
                <w:u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4" w:hRule="atLeast"/>
          <w:jc w:val="center"/>
        </w:trPr>
        <w:tc>
          <w:tcPr>
            <w:tcW w:w="411" w:type="pct"/>
            <w:noWrap w:val="0"/>
            <w:vAlign w:val="center"/>
          </w:tcPr>
          <w:p>
            <w:pPr>
              <w:keepNext/>
              <w:keepLines/>
              <w:autoSpaceDE w:val="0"/>
              <w:autoSpaceDN w:val="0"/>
              <w:jc w:val="center"/>
              <w:rPr>
                <w:b w:val="0"/>
                <w:bCs w:val="0"/>
                <w:color w:val="auto"/>
                <w:szCs w:val="21"/>
                <w:u w:val="none"/>
              </w:rPr>
            </w:pPr>
            <w:r>
              <w:rPr>
                <w:rFonts w:hint="eastAsia"/>
                <w:b w:val="0"/>
                <w:bCs w:val="0"/>
                <w:color w:val="auto"/>
                <w:szCs w:val="21"/>
                <w:u w:val="none"/>
              </w:rPr>
              <w:t>3、物料转移和运输</w:t>
            </w:r>
          </w:p>
        </w:tc>
        <w:tc>
          <w:tcPr>
            <w:tcW w:w="2905" w:type="pct"/>
            <w:noWrap w:val="0"/>
            <w:vAlign w:val="center"/>
          </w:tcPr>
          <w:p>
            <w:pPr>
              <w:keepNext/>
              <w:keepLines/>
              <w:jc w:val="center"/>
              <w:rPr>
                <w:rFonts w:hint="eastAsia"/>
                <w:b w:val="0"/>
                <w:bCs w:val="0"/>
                <w:color w:val="auto"/>
                <w:szCs w:val="21"/>
                <w:u w:val="none"/>
              </w:rPr>
            </w:pPr>
            <w:r>
              <w:rPr>
                <w:rFonts w:hint="eastAsia"/>
                <w:b w:val="0"/>
                <w:bCs w:val="0"/>
                <w:color w:val="auto"/>
                <w:szCs w:val="21"/>
                <w:u w:val="none"/>
              </w:rPr>
              <w:t>粉状、粒状等易产尘物料厂内转移、输送过程应采用气力输送、密闭输送，块状和粘湿粉状物料采用封闭输送；无法封闭的产尘点（物料转载、下料口等）应采取集气除尘措施，或有效抑尘措施。</w:t>
            </w:r>
          </w:p>
        </w:tc>
        <w:tc>
          <w:tcPr>
            <w:tcW w:w="1286" w:type="pct"/>
            <w:noWrap w:val="0"/>
            <w:vAlign w:val="center"/>
          </w:tcPr>
          <w:p>
            <w:pPr>
              <w:keepNext/>
              <w:keepLines/>
              <w:jc w:val="center"/>
              <w:rPr>
                <w:rFonts w:hint="default"/>
                <w:b w:val="0"/>
                <w:bCs w:val="0"/>
                <w:color w:val="auto"/>
                <w:szCs w:val="21"/>
                <w:u w:val="none"/>
                <w:lang w:val="en-US" w:eastAsia="zh-CN"/>
              </w:rPr>
            </w:pPr>
            <w:r>
              <w:rPr>
                <w:rFonts w:hint="eastAsia"/>
                <w:b w:val="0"/>
                <w:bCs w:val="0"/>
                <w:color w:val="auto"/>
                <w:szCs w:val="21"/>
                <w:u w:val="none"/>
                <w:lang w:val="en-US" w:eastAsia="zh-CN"/>
              </w:rPr>
              <w:t>本项目储存飞灰为密闭防水袋装物料，不属于粉状、粒状物料，运输时采取板车运输，飞灰袋在板车上码放整齐</w:t>
            </w:r>
          </w:p>
        </w:tc>
        <w:tc>
          <w:tcPr>
            <w:tcW w:w="396" w:type="pct"/>
            <w:noWrap w:val="0"/>
            <w:vAlign w:val="center"/>
          </w:tcPr>
          <w:p>
            <w:pPr>
              <w:keepNext/>
              <w:keepLines/>
              <w:jc w:val="center"/>
              <w:rPr>
                <w:b w:val="0"/>
                <w:bCs w:val="0"/>
                <w:color w:val="auto"/>
                <w:szCs w:val="21"/>
                <w:u w:val="none"/>
              </w:rPr>
            </w:pPr>
            <w:r>
              <w:rPr>
                <w:rFonts w:hint="eastAsia"/>
                <w:b w:val="0"/>
                <w:bCs w:val="0"/>
                <w:color w:val="auto"/>
                <w:szCs w:val="21"/>
                <w:u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8" w:hRule="atLeast"/>
          <w:jc w:val="center"/>
        </w:trPr>
        <w:tc>
          <w:tcPr>
            <w:tcW w:w="411" w:type="pct"/>
            <w:noWrap w:val="0"/>
            <w:vAlign w:val="center"/>
          </w:tcPr>
          <w:p>
            <w:pPr>
              <w:keepNext/>
              <w:keepLines/>
              <w:autoSpaceDE w:val="0"/>
              <w:autoSpaceDN w:val="0"/>
              <w:jc w:val="center"/>
              <w:rPr>
                <w:b w:val="0"/>
                <w:bCs w:val="0"/>
                <w:color w:val="auto"/>
                <w:szCs w:val="21"/>
                <w:u w:val="none"/>
              </w:rPr>
            </w:pPr>
            <w:r>
              <w:rPr>
                <w:rFonts w:hint="eastAsia"/>
                <w:b w:val="0"/>
                <w:bCs w:val="0"/>
                <w:color w:val="auto"/>
                <w:szCs w:val="21"/>
                <w:u w:val="none"/>
              </w:rPr>
              <w:t>4、成品包装</w:t>
            </w:r>
          </w:p>
        </w:tc>
        <w:tc>
          <w:tcPr>
            <w:tcW w:w="2905" w:type="pct"/>
            <w:noWrap w:val="0"/>
            <w:vAlign w:val="center"/>
          </w:tcPr>
          <w:p>
            <w:pPr>
              <w:keepNext/>
              <w:keepLines/>
              <w:jc w:val="center"/>
              <w:rPr>
                <w:b w:val="0"/>
                <w:bCs w:val="0"/>
                <w:color w:val="auto"/>
                <w:kern w:val="0"/>
                <w:szCs w:val="21"/>
                <w:u w:val="none"/>
              </w:rPr>
            </w:pPr>
            <w:r>
              <w:rPr>
                <w:rFonts w:hint="eastAsia"/>
                <w:b w:val="0"/>
                <w:bCs w:val="0"/>
                <w:color w:val="auto"/>
                <w:kern w:val="0"/>
                <w:szCs w:val="21"/>
                <w:u w:val="none"/>
              </w:rPr>
              <w:t>卸料口应完全封闭，如不能封闭应采取局部集气除尘措施。卸料口地面应及时清扫，地面无明显积尘。</w:t>
            </w:r>
          </w:p>
        </w:tc>
        <w:tc>
          <w:tcPr>
            <w:tcW w:w="1286" w:type="pct"/>
            <w:noWrap w:val="0"/>
            <w:vAlign w:val="center"/>
          </w:tcPr>
          <w:p>
            <w:pPr>
              <w:keepNext/>
              <w:keepLines/>
              <w:jc w:val="center"/>
              <w:rPr>
                <w:rFonts w:hint="default" w:eastAsia="宋体"/>
                <w:b w:val="0"/>
                <w:bCs w:val="0"/>
                <w:color w:val="auto"/>
                <w:szCs w:val="21"/>
                <w:u w:val="none"/>
                <w:lang w:val="en-US" w:eastAsia="zh-CN"/>
              </w:rPr>
            </w:pPr>
            <w:r>
              <w:rPr>
                <w:rFonts w:hint="eastAsia"/>
                <w:b w:val="0"/>
                <w:bCs w:val="0"/>
                <w:color w:val="auto"/>
                <w:szCs w:val="21"/>
                <w:u w:val="none"/>
              </w:rPr>
              <w:t>本项目</w:t>
            </w:r>
            <w:r>
              <w:rPr>
                <w:rFonts w:hint="eastAsia"/>
                <w:b w:val="0"/>
                <w:bCs w:val="0"/>
                <w:color w:val="auto"/>
                <w:szCs w:val="21"/>
                <w:u w:val="none"/>
                <w:lang w:val="en-US" w:eastAsia="zh-CN"/>
              </w:rPr>
              <w:t>不涉及成品包装</w:t>
            </w:r>
          </w:p>
        </w:tc>
        <w:tc>
          <w:tcPr>
            <w:tcW w:w="396" w:type="pct"/>
            <w:noWrap w:val="0"/>
            <w:vAlign w:val="center"/>
          </w:tcPr>
          <w:p>
            <w:pPr>
              <w:keepNext/>
              <w:keepLines/>
              <w:jc w:val="center"/>
              <w:rPr>
                <w:b w:val="0"/>
                <w:bCs w:val="0"/>
                <w:color w:val="auto"/>
                <w:szCs w:val="21"/>
                <w:u w:val="none"/>
              </w:rPr>
            </w:pPr>
            <w:r>
              <w:rPr>
                <w:rFonts w:hint="eastAsia"/>
                <w:b w:val="0"/>
                <w:bCs w:val="0"/>
                <w:color w:val="auto"/>
                <w:szCs w:val="21"/>
                <w:u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8" w:hRule="atLeast"/>
          <w:jc w:val="center"/>
        </w:trPr>
        <w:tc>
          <w:tcPr>
            <w:tcW w:w="411" w:type="pct"/>
            <w:noWrap w:val="0"/>
            <w:vAlign w:val="center"/>
          </w:tcPr>
          <w:p>
            <w:pPr>
              <w:keepNext/>
              <w:keepLines/>
              <w:autoSpaceDE w:val="0"/>
              <w:autoSpaceDN w:val="0"/>
              <w:jc w:val="center"/>
              <w:rPr>
                <w:b w:val="0"/>
                <w:bCs w:val="0"/>
                <w:color w:val="auto"/>
                <w:szCs w:val="21"/>
                <w:u w:val="none"/>
              </w:rPr>
            </w:pPr>
            <w:r>
              <w:rPr>
                <w:rFonts w:hint="eastAsia"/>
                <w:b w:val="0"/>
                <w:bCs w:val="0"/>
                <w:color w:val="auto"/>
                <w:szCs w:val="21"/>
                <w:u w:val="none"/>
              </w:rPr>
              <w:t>5、工艺过程</w:t>
            </w:r>
          </w:p>
        </w:tc>
        <w:tc>
          <w:tcPr>
            <w:tcW w:w="2905" w:type="pct"/>
            <w:noWrap w:val="0"/>
            <w:vAlign w:val="center"/>
          </w:tcPr>
          <w:p>
            <w:pPr>
              <w:keepNext/>
              <w:keepLines/>
              <w:jc w:val="center"/>
              <w:rPr>
                <w:b w:val="0"/>
                <w:bCs w:val="0"/>
                <w:color w:val="auto"/>
                <w:kern w:val="0"/>
                <w:szCs w:val="21"/>
                <w:u w:val="none"/>
              </w:rPr>
            </w:pPr>
            <w:r>
              <w:rPr>
                <w:rFonts w:hint="eastAsia"/>
                <w:b w:val="0"/>
                <w:bCs w:val="0"/>
                <w:color w:val="auto"/>
                <w:kern w:val="0"/>
                <w:szCs w:val="21"/>
                <w:u w:val="none"/>
              </w:rPr>
              <w:t>各种物料破碎、筛分、配料、混料等过程应在封闭厂房内进行，并采取局部收尘/抑尘措施。破碎筛分设备在进、出料口和配料混料过程等产尘点应设置集气除尘设施。各生产工序的车间地面干净，无积料、积灰现象。生产车间不得有可见烟粉尘外逸。</w:t>
            </w:r>
          </w:p>
        </w:tc>
        <w:tc>
          <w:tcPr>
            <w:tcW w:w="1286" w:type="pct"/>
            <w:noWrap w:val="0"/>
            <w:vAlign w:val="center"/>
          </w:tcPr>
          <w:p>
            <w:pPr>
              <w:keepNext/>
              <w:keepLines/>
              <w:jc w:val="center"/>
              <w:rPr>
                <w:rFonts w:hint="default" w:eastAsia="宋体"/>
                <w:b w:val="0"/>
                <w:bCs w:val="0"/>
                <w:color w:val="auto"/>
                <w:szCs w:val="21"/>
                <w:u w:val="none"/>
                <w:lang w:val="en-US" w:eastAsia="zh-CN"/>
              </w:rPr>
            </w:pPr>
            <w:r>
              <w:rPr>
                <w:rFonts w:hint="eastAsia"/>
                <w:b w:val="0"/>
                <w:bCs w:val="0"/>
                <w:color w:val="auto"/>
                <w:szCs w:val="21"/>
                <w:u w:val="none"/>
                <w:lang w:val="en-US" w:eastAsia="zh-CN"/>
              </w:rPr>
              <w:t>/</w:t>
            </w:r>
          </w:p>
        </w:tc>
        <w:tc>
          <w:tcPr>
            <w:tcW w:w="396" w:type="pct"/>
            <w:noWrap w:val="0"/>
            <w:vAlign w:val="center"/>
          </w:tcPr>
          <w:p>
            <w:pPr>
              <w:keepNext/>
              <w:keepLines/>
              <w:jc w:val="center"/>
              <w:rPr>
                <w:b w:val="0"/>
                <w:bCs w:val="0"/>
                <w:color w:val="auto"/>
                <w:szCs w:val="21"/>
                <w:u w:val="none"/>
              </w:rPr>
            </w:pPr>
            <w:r>
              <w:rPr>
                <w:rFonts w:hint="eastAsia"/>
                <w:b w:val="0"/>
                <w:bCs w:val="0"/>
                <w:color w:val="auto"/>
                <w:szCs w:val="21"/>
                <w:u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5" w:hRule="atLeast"/>
          <w:jc w:val="center"/>
        </w:trPr>
        <w:tc>
          <w:tcPr>
            <w:tcW w:w="411" w:type="pct"/>
            <w:noWrap w:val="0"/>
            <w:vAlign w:val="center"/>
          </w:tcPr>
          <w:p>
            <w:pPr>
              <w:keepNext/>
              <w:keepLines/>
              <w:autoSpaceDE w:val="0"/>
              <w:autoSpaceDN w:val="0"/>
              <w:jc w:val="center"/>
              <w:rPr>
                <w:b w:val="0"/>
                <w:bCs w:val="0"/>
                <w:color w:val="auto"/>
                <w:szCs w:val="21"/>
                <w:u w:val="none"/>
              </w:rPr>
            </w:pPr>
            <w:r>
              <w:rPr>
                <w:rFonts w:hint="eastAsia"/>
                <w:b w:val="0"/>
                <w:bCs w:val="0"/>
                <w:color w:val="auto"/>
                <w:szCs w:val="21"/>
                <w:u w:val="none"/>
              </w:rPr>
              <w:t>6、环境管理</w:t>
            </w:r>
          </w:p>
        </w:tc>
        <w:tc>
          <w:tcPr>
            <w:tcW w:w="2905" w:type="pct"/>
            <w:noWrap w:val="0"/>
            <w:vAlign w:val="center"/>
          </w:tcPr>
          <w:p>
            <w:pPr>
              <w:keepNext/>
              <w:keepLines/>
              <w:jc w:val="center"/>
              <w:rPr>
                <w:b w:val="0"/>
                <w:bCs w:val="0"/>
                <w:color w:val="auto"/>
                <w:u w:val="none"/>
              </w:rPr>
            </w:pPr>
            <w:r>
              <w:rPr>
                <w:rFonts w:hint="eastAsia"/>
                <w:b w:val="0"/>
                <w:bCs w:val="0"/>
                <w:color w:val="auto"/>
                <w:kern w:val="0"/>
                <w:szCs w:val="21"/>
                <w:u w:val="none"/>
              </w:rPr>
              <w:t>（1）环保档案资料齐全：①环评批复文件和竣工验</w:t>
            </w:r>
            <w:r>
              <w:rPr>
                <w:b w:val="0"/>
                <w:bCs w:val="0"/>
                <w:color w:val="auto"/>
                <w:u w:val="none"/>
              </w:rPr>
              <w:t>收/现状评估文件；②废气治理设施运行管</w:t>
            </w:r>
            <w:r>
              <w:rPr>
                <w:rFonts w:hint="eastAsia"/>
                <w:b w:val="0"/>
                <w:bCs w:val="0"/>
                <w:color w:val="auto"/>
                <w:u w:val="none"/>
              </w:rPr>
              <w:t>理</w:t>
            </w:r>
            <w:r>
              <w:rPr>
                <w:b w:val="0"/>
                <w:bCs w:val="0"/>
                <w:color w:val="auto"/>
                <w:u w:val="none"/>
              </w:rPr>
              <w:t>规程；③一年内废气监测报告；④国家版排污许可证，并按要求开展自行监测和信息披露有规范的排气筒监测平台和污口标识。</w:t>
            </w:r>
          </w:p>
          <w:p>
            <w:pPr>
              <w:keepNext/>
              <w:keepLines/>
              <w:jc w:val="center"/>
              <w:rPr>
                <w:b w:val="0"/>
                <w:bCs w:val="0"/>
                <w:color w:val="auto"/>
                <w:u w:val="none"/>
              </w:rPr>
            </w:pPr>
            <w:r>
              <w:rPr>
                <w:b w:val="0"/>
                <w:bCs w:val="0"/>
                <w:color w:val="auto"/>
                <w:u w:val="none"/>
              </w:rPr>
              <w:t>（2）台账记录信息完整</w:t>
            </w:r>
          </w:p>
          <w:p>
            <w:pPr>
              <w:keepNext/>
              <w:keepLines/>
              <w:jc w:val="center"/>
              <w:rPr>
                <w:b w:val="0"/>
                <w:bCs w:val="0"/>
                <w:color w:val="auto"/>
                <w:u w:val="none"/>
              </w:rPr>
            </w:pPr>
            <w:r>
              <w:rPr>
                <w:b w:val="0"/>
                <w:bCs w:val="0"/>
                <w:color w:val="auto"/>
                <w:u w:val="none"/>
              </w:rPr>
              <w:t>①生产设施运行管理信息（生产时间、运行负荷、产品产量等）；②废气污染治理设施运行管理信息（除尘滤料、活性炭等更换量和时间）；③监测记录信息（主要污染排放口废气排放记录（手工监测和在线监测）等）；④主要原辅材料、燃料消耗记录（A、B级企业必需）；⑤电消耗记录（已安装用电监管设备的A、B级企业必需）。</w:t>
            </w:r>
          </w:p>
          <w:p>
            <w:pPr>
              <w:keepNext/>
              <w:keepLines/>
              <w:jc w:val="center"/>
              <w:rPr>
                <w:b w:val="0"/>
                <w:bCs w:val="0"/>
                <w:color w:val="auto"/>
                <w:kern w:val="0"/>
                <w:szCs w:val="21"/>
                <w:u w:val="none"/>
              </w:rPr>
            </w:pPr>
            <w:r>
              <w:rPr>
                <w:b w:val="0"/>
                <w:bCs w:val="0"/>
                <w:color w:val="auto"/>
                <w:u w:val="none"/>
              </w:rPr>
              <w:t>（3）人员配置合理配备专/兼职环保人员，并具备相应的环境管理能力（学历、培训、从业经验等）</w:t>
            </w:r>
          </w:p>
        </w:tc>
        <w:tc>
          <w:tcPr>
            <w:tcW w:w="1286" w:type="pct"/>
            <w:noWrap w:val="0"/>
            <w:vAlign w:val="center"/>
          </w:tcPr>
          <w:p>
            <w:pPr>
              <w:keepNext/>
              <w:keepLines/>
              <w:jc w:val="center"/>
              <w:rPr>
                <w:b w:val="0"/>
                <w:bCs w:val="0"/>
                <w:color w:val="auto"/>
                <w:szCs w:val="21"/>
                <w:u w:val="none"/>
              </w:rPr>
            </w:pPr>
            <w:r>
              <w:rPr>
                <w:rFonts w:hint="eastAsia"/>
                <w:b w:val="0"/>
                <w:bCs w:val="0"/>
                <w:color w:val="auto"/>
                <w:szCs w:val="21"/>
                <w:highlight w:val="none"/>
                <w:u w:val="none"/>
              </w:rPr>
              <w:t>项目建设前严格按照环保要求，</w:t>
            </w:r>
            <w:r>
              <w:rPr>
                <w:rFonts w:hint="eastAsia"/>
                <w:b w:val="0"/>
                <w:bCs w:val="0"/>
                <w:color w:val="auto"/>
                <w:szCs w:val="21"/>
                <w:u w:val="none"/>
              </w:rPr>
              <w:t>进行环境影响评价，建成后及时</w:t>
            </w:r>
            <w:r>
              <w:rPr>
                <w:rFonts w:hint="eastAsia"/>
                <w:b w:val="0"/>
                <w:bCs w:val="0"/>
                <w:color w:val="auto"/>
                <w:szCs w:val="21"/>
                <w:highlight w:val="none"/>
                <w:u w:val="none"/>
              </w:rPr>
              <w:t>进行排污许可证</w:t>
            </w:r>
            <w:r>
              <w:rPr>
                <w:rFonts w:hint="eastAsia"/>
                <w:b w:val="0"/>
                <w:bCs w:val="0"/>
                <w:color w:val="auto"/>
                <w:szCs w:val="21"/>
                <w:highlight w:val="none"/>
                <w:u w:val="none"/>
                <w:lang w:val="en-US" w:eastAsia="zh-CN"/>
              </w:rPr>
              <w:t>变更</w:t>
            </w:r>
            <w:r>
              <w:rPr>
                <w:rFonts w:hint="eastAsia"/>
                <w:b w:val="0"/>
                <w:bCs w:val="0"/>
                <w:color w:val="auto"/>
                <w:szCs w:val="21"/>
                <w:highlight w:val="none"/>
                <w:u w:val="none"/>
              </w:rPr>
              <w:t>申请，正式投产</w:t>
            </w:r>
            <w:r>
              <w:rPr>
                <w:rFonts w:hint="eastAsia"/>
                <w:b w:val="0"/>
                <w:bCs w:val="0"/>
                <w:color w:val="auto"/>
                <w:szCs w:val="21"/>
                <w:highlight w:val="none"/>
                <w:u w:val="none"/>
                <w:lang w:val="en-US" w:eastAsia="zh-CN"/>
              </w:rPr>
              <w:t>前</w:t>
            </w:r>
            <w:r>
              <w:rPr>
                <w:rFonts w:hint="eastAsia"/>
                <w:b w:val="0"/>
                <w:bCs w:val="0"/>
                <w:color w:val="auto"/>
                <w:szCs w:val="21"/>
                <w:highlight w:val="none"/>
                <w:u w:val="none"/>
              </w:rPr>
              <w:t>进行</w:t>
            </w:r>
            <w:r>
              <w:rPr>
                <w:rFonts w:hint="eastAsia"/>
                <w:b w:val="0"/>
                <w:bCs w:val="0"/>
                <w:color w:val="auto"/>
                <w:szCs w:val="21"/>
                <w:highlight w:val="none"/>
                <w:u w:val="none"/>
                <w:lang w:val="en-US" w:eastAsia="zh-CN"/>
              </w:rPr>
              <w:t>环保验收</w:t>
            </w:r>
            <w:r>
              <w:rPr>
                <w:rFonts w:hint="eastAsia"/>
                <w:b w:val="0"/>
                <w:bCs w:val="0"/>
                <w:color w:val="auto"/>
                <w:szCs w:val="21"/>
                <w:highlight w:val="none"/>
                <w:u w:val="none"/>
              </w:rPr>
              <w:t>，</w:t>
            </w:r>
            <w:r>
              <w:rPr>
                <w:rFonts w:hint="eastAsia"/>
                <w:b w:val="0"/>
                <w:bCs w:val="0"/>
                <w:color w:val="auto"/>
                <w:szCs w:val="21"/>
                <w:u w:val="none"/>
              </w:rPr>
              <w:t>并按照</w:t>
            </w:r>
            <w:r>
              <w:rPr>
                <w:b w:val="0"/>
                <w:bCs w:val="0"/>
                <w:color w:val="auto"/>
                <w:szCs w:val="21"/>
                <w:u w:val="none"/>
              </w:rPr>
              <w:t>《排污许可证申请与核发技术规范 总则》(HJ942-2018)</w:t>
            </w:r>
            <w:r>
              <w:rPr>
                <w:rFonts w:hint="eastAsia"/>
                <w:b w:val="0"/>
                <w:bCs w:val="0"/>
                <w:color w:val="auto"/>
                <w:szCs w:val="21"/>
                <w:u w:val="none"/>
              </w:rPr>
              <w:t>要求开展自行监测；</w:t>
            </w:r>
            <w:r>
              <w:rPr>
                <w:rFonts w:hint="eastAsia"/>
                <w:b w:val="0"/>
                <w:bCs w:val="0"/>
                <w:color w:val="auto"/>
                <w:kern w:val="0"/>
                <w:szCs w:val="21"/>
                <w:u w:val="none"/>
                <w:lang w:bidi="ar"/>
              </w:rPr>
              <w:t>严格遵循台账记录相关要求，建立台账；并配备专职的环保人员</w:t>
            </w:r>
          </w:p>
        </w:tc>
        <w:tc>
          <w:tcPr>
            <w:tcW w:w="396" w:type="pct"/>
            <w:noWrap w:val="0"/>
            <w:vAlign w:val="center"/>
          </w:tcPr>
          <w:p>
            <w:pPr>
              <w:keepNext/>
              <w:keepLines/>
              <w:jc w:val="center"/>
              <w:rPr>
                <w:rFonts w:hint="eastAsia"/>
                <w:b w:val="0"/>
                <w:bCs w:val="0"/>
                <w:color w:val="auto"/>
                <w:szCs w:val="21"/>
                <w:u w:val="none"/>
              </w:rPr>
            </w:pPr>
            <w:r>
              <w:rPr>
                <w:rFonts w:hint="eastAsia"/>
                <w:b w:val="0"/>
                <w:bCs w:val="0"/>
                <w:color w:val="auto"/>
                <w:szCs w:val="21"/>
                <w:u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10" w:hRule="atLeast"/>
          <w:jc w:val="center"/>
        </w:trPr>
        <w:tc>
          <w:tcPr>
            <w:tcW w:w="411" w:type="pct"/>
            <w:noWrap w:val="0"/>
            <w:vAlign w:val="center"/>
          </w:tcPr>
          <w:p>
            <w:pPr>
              <w:keepNext/>
              <w:keepLines/>
              <w:autoSpaceDE w:val="0"/>
              <w:autoSpaceDN w:val="0"/>
              <w:jc w:val="center"/>
              <w:rPr>
                <w:b w:val="0"/>
                <w:bCs w:val="0"/>
                <w:color w:val="auto"/>
                <w:szCs w:val="21"/>
                <w:u w:val="none"/>
              </w:rPr>
            </w:pPr>
            <w:r>
              <w:rPr>
                <w:rFonts w:hint="eastAsia"/>
                <w:b w:val="0"/>
                <w:bCs w:val="0"/>
                <w:color w:val="auto"/>
                <w:szCs w:val="21"/>
                <w:u w:val="none"/>
              </w:rPr>
              <w:t>7、其他要求</w:t>
            </w:r>
          </w:p>
        </w:tc>
        <w:tc>
          <w:tcPr>
            <w:tcW w:w="2905" w:type="pct"/>
            <w:noWrap w:val="0"/>
            <w:vAlign w:val="center"/>
          </w:tcPr>
          <w:p>
            <w:pPr>
              <w:keepNext/>
              <w:keepLines/>
              <w:jc w:val="center"/>
              <w:rPr>
                <w:b w:val="0"/>
                <w:bCs w:val="0"/>
                <w:color w:val="auto"/>
                <w:u w:val="none"/>
              </w:rPr>
            </w:pPr>
            <w:r>
              <w:rPr>
                <w:b w:val="0"/>
                <w:bCs w:val="0"/>
                <w:color w:val="auto"/>
                <w:u w:val="none"/>
              </w:rPr>
              <w:t>（1）生产工艺和装备</w:t>
            </w:r>
          </w:p>
          <w:p>
            <w:pPr>
              <w:keepNext/>
              <w:keepLines/>
              <w:jc w:val="center"/>
              <w:rPr>
                <w:b w:val="0"/>
                <w:bCs w:val="0"/>
                <w:color w:val="auto"/>
                <w:u w:val="none"/>
              </w:rPr>
            </w:pPr>
            <w:r>
              <w:rPr>
                <w:b w:val="0"/>
                <w:bCs w:val="0"/>
                <w:color w:val="auto"/>
                <w:u w:val="none"/>
              </w:rPr>
              <w:t>不属于《产业结构调整指导目录（2019年版）》淘汰类，不属于省级和市级政府部门明确列入已经限期淘汰类项目。</w:t>
            </w:r>
          </w:p>
          <w:p>
            <w:pPr>
              <w:keepNext/>
              <w:keepLines/>
              <w:numPr>
                <w:ilvl w:val="0"/>
                <w:numId w:val="5"/>
              </w:numPr>
              <w:jc w:val="center"/>
              <w:rPr>
                <w:b w:val="0"/>
                <w:bCs w:val="0"/>
                <w:color w:val="auto"/>
                <w:u w:val="none"/>
              </w:rPr>
            </w:pPr>
            <w:r>
              <w:rPr>
                <w:b w:val="0"/>
                <w:bCs w:val="0"/>
                <w:color w:val="auto"/>
                <w:u w:val="none"/>
              </w:rPr>
              <w:t>污染治理副产物</w:t>
            </w:r>
          </w:p>
          <w:p>
            <w:pPr>
              <w:keepNext/>
              <w:keepLines/>
              <w:jc w:val="center"/>
              <w:rPr>
                <w:b w:val="0"/>
                <w:bCs w:val="0"/>
                <w:color w:val="auto"/>
                <w:u w:val="none"/>
              </w:rPr>
            </w:pPr>
            <w:r>
              <w:rPr>
                <w:b w:val="0"/>
                <w:bCs w:val="0"/>
                <w:color w:val="auto"/>
                <w:u w:val="none"/>
              </w:rPr>
              <w:t>除尘器应设置密闭灰仓并及时卸灰，除尘灰应通过气力输送、罐车、袋子等封闭方式卸灰，不得直接卸落到地面。除尘灰如果转运应采用气力输送、封闭传送带方式，如果直接外运应采用罐车或袋装后运输，并在装车过程中采取抑尘措施，除尘灰在厂区内应密闭/封闭储存；脱硫石膏和脱硫废渣等固体废物在转运过程中应采取抑尘措施并应封闭储存。</w:t>
            </w:r>
          </w:p>
          <w:p>
            <w:pPr>
              <w:keepNext/>
              <w:keepLines/>
              <w:numPr>
                <w:ilvl w:val="0"/>
                <w:numId w:val="5"/>
              </w:numPr>
              <w:jc w:val="center"/>
              <w:rPr>
                <w:b w:val="0"/>
                <w:bCs w:val="0"/>
                <w:color w:val="auto"/>
                <w:u w:val="none"/>
              </w:rPr>
            </w:pPr>
            <w:r>
              <w:rPr>
                <w:b w:val="0"/>
                <w:bCs w:val="0"/>
                <w:color w:val="auto"/>
                <w:u w:val="none"/>
              </w:rPr>
              <w:t>用电量/视频监管</w:t>
            </w:r>
          </w:p>
          <w:p>
            <w:pPr>
              <w:keepNext/>
              <w:keepLines/>
              <w:jc w:val="center"/>
              <w:rPr>
                <w:b w:val="0"/>
                <w:bCs w:val="0"/>
                <w:color w:val="auto"/>
                <w:u w:val="none"/>
              </w:rPr>
            </w:pPr>
            <w:r>
              <w:rPr>
                <w:b w:val="0"/>
                <w:bCs w:val="0"/>
                <w:color w:val="auto"/>
                <w:u w:val="none"/>
              </w:rPr>
              <w:t>按照《河南省涉气排污单位污染治理设施用电监管技术指南（试行）》要求安装用电监管设备（有自动在线监控系统的企业除外），用电监管数据直接上传至省、市生态环境部门的污染治理设施用电监管平台服务器；未安装自动在线监控和用电量监管拟申报A、B级企业，应在主要生产设备（投料口、卸料口等位置）安装视频监控设施，相关数据保存三个月以上。</w:t>
            </w:r>
          </w:p>
          <w:p>
            <w:pPr>
              <w:keepNext/>
              <w:keepLines/>
              <w:numPr>
                <w:ilvl w:val="0"/>
                <w:numId w:val="5"/>
              </w:numPr>
              <w:jc w:val="center"/>
              <w:rPr>
                <w:b w:val="0"/>
                <w:bCs w:val="0"/>
                <w:color w:val="auto"/>
                <w:u w:val="none"/>
              </w:rPr>
            </w:pPr>
            <w:r>
              <w:rPr>
                <w:b w:val="0"/>
                <w:bCs w:val="0"/>
                <w:color w:val="auto"/>
                <w:u w:val="none"/>
              </w:rPr>
              <w:t>厂容厂貌</w:t>
            </w:r>
          </w:p>
          <w:p>
            <w:pPr>
              <w:keepNext/>
              <w:keepLines/>
              <w:jc w:val="center"/>
              <w:rPr>
                <w:b w:val="0"/>
                <w:bCs w:val="0"/>
                <w:color w:val="auto"/>
                <w:u w:val="none"/>
              </w:rPr>
            </w:pPr>
            <w:r>
              <w:rPr>
                <w:b w:val="0"/>
                <w:bCs w:val="0"/>
                <w:color w:val="auto"/>
                <w:u w:val="none"/>
              </w:rPr>
              <w:t>厂区内道路、原辅材料和燃料堆场等路面应硬化。厂区内道路采取定期清扫、洒水等措施，保持清洁，路面无明显可见积尘。其他未利用地优先绿化，或进行硬化，无成片裸露土地。</w:t>
            </w:r>
          </w:p>
        </w:tc>
        <w:tc>
          <w:tcPr>
            <w:tcW w:w="1286" w:type="pct"/>
            <w:noWrap w:val="0"/>
            <w:vAlign w:val="center"/>
          </w:tcPr>
          <w:p>
            <w:pPr>
              <w:keepNext/>
              <w:keepLines/>
              <w:jc w:val="center"/>
              <w:rPr>
                <w:b w:val="0"/>
                <w:bCs w:val="0"/>
                <w:color w:val="auto"/>
                <w:szCs w:val="21"/>
                <w:u w:val="none"/>
              </w:rPr>
            </w:pPr>
          </w:p>
          <w:p>
            <w:pPr>
              <w:keepNext/>
              <w:keepLines/>
              <w:jc w:val="both"/>
              <w:rPr>
                <w:b w:val="0"/>
                <w:bCs w:val="0"/>
                <w:color w:val="auto"/>
                <w:u w:val="none"/>
              </w:rPr>
            </w:pPr>
            <w:r>
              <w:rPr>
                <w:rFonts w:hint="eastAsia"/>
                <w:color w:val="auto"/>
                <w:lang w:val="en-US" w:eastAsia="zh-CN"/>
              </w:rPr>
              <w:t>（1）</w:t>
            </w:r>
            <w:r>
              <w:rPr>
                <w:b w:val="0"/>
                <w:bCs w:val="0"/>
                <w:color w:val="auto"/>
                <w:u w:val="none"/>
              </w:rPr>
              <w:t>生产工艺和装备</w:t>
            </w:r>
          </w:p>
          <w:p>
            <w:pPr>
              <w:bidi w:val="0"/>
              <w:rPr>
                <w:rFonts w:hint="eastAsia"/>
                <w:color w:val="auto"/>
                <w:lang w:val="en-US" w:eastAsia="zh-CN"/>
              </w:rPr>
            </w:pPr>
            <w:r>
              <w:rPr>
                <w:b w:val="0"/>
                <w:bCs w:val="0"/>
                <w:color w:val="auto"/>
                <w:u w:val="none"/>
              </w:rPr>
              <w:t>不属于《产业结构调整指导目录（2019年版）》淘汰类，不属于省级和市级政府部门明确列入已经限期淘汰类项目</w:t>
            </w:r>
          </w:p>
          <w:p>
            <w:pPr>
              <w:bidi w:val="0"/>
              <w:rPr>
                <w:rFonts w:hint="eastAsia"/>
                <w:color w:val="auto"/>
                <w:lang w:val="en-US" w:eastAsia="zh-CN"/>
              </w:rPr>
            </w:pPr>
            <w:r>
              <w:rPr>
                <w:rFonts w:hint="eastAsia"/>
                <w:color w:val="auto"/>
                <w:lang w:val="en-US" w:eastAsia="zh-CN"/>
              </w:rPr>
              <w:t>（2）不涉及</w:t>
            </w:r>
          </w:p>
          <w:p>
            <w:pPr>
              <w:bidi w:val="0"/>
              <w:rPr>
                <w:rFonts w:hint="eastAsia"/>
                <w:color w:val="auto"/>
                <w:lang w:val="en-US" w:eastAsia="zh-CN"/>
              </w:rPr>
            </w:pPr>
            <w:r>
              <w:rPr>
                <w:rFonts w:hint="eastAsia"/>
                <w:color w:val="auto"/>
                <w:lang w:val="en-US" w:eastAsia="zh-CN"/>
              </w:rPr>
              <w:t>（3）不涉及</w:t>
            </w:r>
          </w:p>
          <w:p>
            <w:pPr>
              <w:bidi w:val="0"/>
              <w:rPr>
                <w:rFonts w:hint="default"/>
                <w:color w:val="auto"/>
                <w:lang w:val="en-US" w:eastAsia="zh-CN"/>
              </w:rPr>
            </w:pPr>
            <w:r>
              <w:rPr>
                <w:rFonts w:hint="eastAsia"/>
                <w:color w:val="auto"/>
                <w:lang w:val="en-US" w:eastAsia="zh-CN"/>
              </w:rPr>
              <w:t>（4）本项目厂区内道路已硬化。厂区内道路采取定期清扫、洒水等措施，保持清洁，路面无明显可见积尘。其他未利用地优先绿化，或进行硬化，无成片裸露土地</w:t>
            </w:r>
          </w:p>
        </w:tc>
        <w:tc>
          <w:tcPr>
            <w:tcW w:w="396" w:type="pct"/>
            <w:noWrap w:val="0"/>
            <w:vAlign w:val="center"/>
          </w:tcPr>
          <w:p>
            <w:pPr>
              <w:keepNext/>
              <w:keepLines/>
              <w:jc w:val="center"/>
              <w:rPr>
                <w:rFonts w:hint="eastAsia"/>
                <w:b w:val="0"/>
                <w:bCs w:val="0"/>
                <w:color w:val="auto"/>
                <w:szCs w:val="21"/>
                <w:u w:val="none"/>
              </w:rPr>
            </w:pPr>
            <w:r>
              <w:rPr>
                <w:rFonts w:hint="eastAsia"/>
                <w:b w:val="0"/>
                <w:bCs w:val="0"/>
                <w:color w:val="auto"/>
                <w:szCs w:val="21"/>
                <w:u w:val="none"/>
              </w:rPr>
              <w:t>相符</w:t>
            </w:r>
          </w:p>
        </w:tc>
      </w:tr>
    </w:tbl>
    <w:p>
      <w:pPr>
        <w:spacing w:before="120" w:beforeLines="50" w:after="120" w:afterLines="50" w:line="360" w:lineRule="auto"/>
        <w:ind w:firstLine="480" w:firstLineChars="200"/>
        <w:outlineLvl w:val="0"/>
        <w:rPr>
          <w:b w:val="0"/>
          <w:bCs w:val="0"/>
          <w:color w:val="auto"/>
          <w:sz w:val="24"/>
          <w:u w:val="none"/>
        </w:rPr>
      </w:pPr>
      <w:r>
        <w:rPr>
          <w:b w:val="0"/>
          <w:bCs w:val="0"/>
          <w:color w:val="auto"/>
          <w:sz w:val="24"/>
          <w:u w:val="none"/>
        </w:rPr>
        <w:t>综上所述，本项目符合《河南省重污染天气通用行业应急减排措施制定技术指南》（2021年修订版）文件相关要求。</w:t>
      </w:r>
    </w:p>
    <w:p>
      <w:pPr>
        <w:spacing w:before="120" w:beforeLines="50" w:after="120" w:afterLines="50" w:line="360" w:lineRule="auto"/>
        <w:ind w:firstLine="480" w:firstLineChars="200"/>
        <w:outlineLvl w:val="0"/>
        <w:rPr>
          <w:rFonts w:hint="default"/>
          <w:b w:val="0"/>
          <w:bCs w:val="0"/>
          <w:color w:val="auto"/>
          <w:sz w:val="24"/>
          <w:u w:val="none"/>
          <w:lang w:val="en-US" w:eastAsia="zh-CN"/>
        </w:rPr>
        <w:sectPr>
          <w:footerReference r:id="rId12" w:type="default"/>
          <w:pgSz w:w="16838" w:h="11906" w:orient="landscape"/>
          <w:pgMar w:top="1531" w:right="1440" w:bottom="1531" w:left="1440" w:header="851" w:footer="851" w:gutter="0"/>
          <w:pgBorders>
            <w:top w:val="none" w:sz="0" w:space="0"/>
            <w:left w:val="none" w:sz="0" w:space="0"/>
            <w:bottom w:val="none" w:sz="0" w:space="0"/>
            <w:right w:val="none" w:sz="0" w:space="0"/>
          </w:pgBorders>
          <w:lnNumType w:countBy="0" w:restart="continuous"/>
          <w:pgNumType w:fmt="numberInDash"/>
          <w:cols w:space="720" w:num="1"/>
          <w:docGrid w:linePitch="312" w:charSpace="0"/>
        </w:sectPr>
      </w:pPr>
    </w:p>
    <w:tbl>
      <w:tblPr>
        <w:tblStyle w:val="28"/>
        <w:tblW w:w="513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7"/>
        <w:gridCol w:w="856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1" w:hRule="atLeast"/>
          <w:jc w:val="center"/>
        </w:trPr>
        <w:tc>
          <w:tcPr>
            <w:tcW w:w="396" w:type="pct"/>
            <w:noWrap w:val="0"/>
            <w:vAlign w:val="center"/>
          </w:tcPr>
          <w:p>
            <w:pPr>
              <w:pStyle w:val="24"/>
              <w:adjustRightInd w:val="0"/>
              <w:snapToGrid w:val="0"/>
              <w:spacing w:before="0" w:beforeAutospacing="0" w:after="0" w:afterAutospacing="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建设内容</w:t>
            </w:r>
          </w:p>
        </w:tc>
        <w:tc>
          <w:tcPr>
            <w:tcW w:w="4603" w:type="pct"/>
            <w:noWrap w:val="0"/>
            <w:vAlign w:val="top"/>
          </w:tcPr>
          <w:p>
            <w:pPr>
              <w:spacing w:line="520" w:lineRule="exact"/>
              <w:ind w:firstLine="480" w:firstLineChars="200"/>
              <w:rPr>
                <w:rFonts w:hint="default" w:ascii="Times New Roman" w:hAnsi="Times New Roman" w:cs="Times New Roman"/>
                <w:b/>
                <w:color w:val="auto"/>
                <w:sz w:val="24"/>
                <w:lang w:val="en-US"/>
              </w:rPr>
            </w:pP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1263650</wp:posOffset>
                      </wp:positionH>
                      <wp:positionV relativeFrom="paragraph">
                        <wp:posOffset>-259715</wp:posOffset>
                      </wp:positionV>
                      <wp:extent cx="2647950" cy="352425"/>
                      <wp:effectExtent l="0" t="0" r="0" b="9525"/>
                      <wp:wrapNone/>
                      <wp:docPr id="30" name="文本框 30"/>
                      <wp:cNvGraphicFramePr/>
                      <a:graphic xmlns:a="http://schemas.openxmlformats.org/drawingml/2006/main">
                        <a:graphicData uri="http://schemas.microsoft.com/office/word/2010/wordprocessingShape">
                          <wps:wsp>
                            <wps:cNvSpPr txBox="1"/>
                            <wps:spPr>
                              <a:xfrm>
                                <a:off x="2626360" y="579120"/>
                                <a:ext cx="26479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ascii="Times New Roman" w:hAnsi="Times New Roman" w:eastAsia="黑体" w:cs="Times New Roman"/>
                                      <w:b/>
                                      <w:bCs/>
                                      <w:sz w:val="30"/>
                                      <w:szCs w:val="30"/>
                                      <w:lang w:val="en-US" w:eastAsia="zh-CN"/>
                                    </w:rPr>
                                    <w:t>二、</w:t>
                                  </w:r>
                                  <w:r>
                                    <w:rPr>
                                      <w:rFonts w:ascii="Times New Roman" w:hAnsi="Times New Roman" w:eastAsia="黑体" w:cs="Times New Roman"/>
                                      <w:b/>
                                      <w:bCs/>
                                      <w:sz w:val="30"/>
                                      <w:szCs w:val="30"/>
                                    </w:rPr>
                                    <w:t>建设项目工程分析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5pt;margin-top:-20.45pt;height:27.75pt;width:208.5pt;z-index:251665408;mso-width-relative:page;mso-height-relative:page;" filled="f" stroked="f" coordsize="21600,21600" o:gfxdata="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nQpFNoAAAAKAQAADwAAAAAAAAABACAA&#10;AAAiAAAAZHJzL2Rvd25yZXYueG1sUEsBAhQAFAAAAAgAh07iQEoNpkNEAgAAcwQAAA4AAAAAAAAA&#10;AQAgAAAAKQEAAGRycy9lMm9Eb2MueG1sUEsFBgAAAAAGAAYAWQEAAN8FAAAAAA==&#10;">
                      <v:fill on="f" focussize="0,0"/>
                      <v:stroke on="f" weight="0.5pt"/>
                      <v:imagedata o:title=""/>
                      <o:lock v:ext="edit" aspectratio="f"/>
                      <v:textbox>
                        <w:txbxContent>
                          <w:p>
                            <w:pPr>
                              <w:jc w:val="center"/>
                            </w:pPr>
                            <w:r>
                              <w:rPr>
                                <w:rFonts w:hint="eastAsia" w:ascii="Times New Roman" w:hAnsi="Times New Roman" w:eastAsia="黑体" w:cs="Times New Roman"/>
                                <w:b/>
                                <w:bCs/>
                                <w:sz w:val="30"/>
                                <w:szCs w:val="30"/>
                                <w:lang w:val="en-US" w:eastAsia="zh-CN"/>
                              </w:rPr>
                              <w:t>二、</w:t>
                            </w:r>
                            <w:r>
                              <w:rPr>
                                <w:rFonts w:ascii="Times New Roman" w:hAnsi="Times New Roman" w:eastAsia="黑体" w:cs="Times New Roman"/>
                                <w:b/>
                                <w:bCs/>
                                <w:sz w:val="30"/>
                                <w:szCs w:val="30"/>
                              </w:rPr>
                              <w:t>建设项目工程分析</w:t>
                            </w:r>
                          </w:p>
                        </w:txbxContent>
                      </v:textbox>
                    </v:shape>
                  </w:pict>
                </mc:Fallback>
              </mc:AlternateContent>
            </w:r>
            <w:r>
              <w:rPr>
                <w:rFonts w:hint="eastAsia" w:cs="Times New Roman"/>
                <w:b/>
                <w:color w:val="auto"/>
                <w:sz w:val="24"/>
                <w:lang w:val="en-US" w:eastAsia="zh-CN"/>
              </w:rPr>
              <w:t>1项目由来</w:t>
            </w:r>
          </w:p>
          <w:p>
            <w:pPr>
              <w:spacing w:line="52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2017年5月，鲁山县住房和城乡建设局与北京首创环境投资有限公司签订《鲁山县生活垃圾焚烧发电项目特许经营协议》，特许经营协议第20.2条第二款约定：由甲方指定鲁山县垃圾填埋场或其他合理场所负责下列工作，项目公司承担运费至甲方指定的场所（不超过25公里），且不承担填埋处理费用：（1）接纳经处理达标的飞灰（2）接纳经处理达标后的炉渣。因鲁山县垃圾填埋场库容不足的客观原因，厂内产生、暂存的飞灰不具备转移条件，飞灰不得不贮存于厂内的飞灰养护车间，飞灰养护间只能存储2个月产生的螯合后飞灰，由于养护间库容不足，因此本项目租用鲁山首创生物质能源有限公司现有生物质料棚进行改造，扩建成为本项目飞灰暂存库，新建飞灰填埋厂事项正在推进中，具备使用条件</w:t>
            </w:r>
            <w:r>
              <w:rPr>
                <w:rFonts w:hint="eastAsia" w:cs="Times New Roman"/>
                <w:color w:val="auto"/>
                <w:sz w:val="24"/>
                <w:szCs w:val="24"/>
                <w:lang w:val="en-US" w:eastAsia="zh-CN"/>
              </w:rPr>
              <w:t>约</w:t>
            </w:r>
            <w:r>
              <w:rPr>
                <w:rFonts w:hint="eastAsia" w:ascii="Times New Roman" w:hAnsi="Times New Roman" w:eastAsia="宋体" w:cs="Times New Roman"/>
                <w:color w:val="auto"/>
                <w:sz w:val="24"/>
                <w:szCs w:val="24"/>
                <w:lang w:val="en-US" w:eastAsia="zh-CN"/>
              </w:rPr>
              <w:t>需一年时间。</w:t>
            </w:r>
          </w:p>
          <w:p>
            <w:pPr>
              <w:spacing w:line="520" w:lineRule="exact"/>
              <w:ind w:firstLine="482" w:firstLineChars="200"/>
              <w:rPr>
                <w:rFonts w:hint="default" w:ascii="Times New Roman" w:hAnsi="Times New Roman" w:eastAsia="宋体" w:cs="Times New Roman"/>
                <w:b/>
                <w:color w:val="auto"/>
                <w:sz w:val="24"/>
                <w:lang w:val="en-US" w:eastAsia="zh-CN"/>
              </w:rPr>
            </w:pPr>
            <w:r>
              <w:rPr>
                <w:rFonts w:hint="eastAsia" w:ascii="Times New Roman" w:hAnsi="Times New Roman" w:eastAsia="宋体" w:cs="Times New Roman"/>
                <w:b/>
                <w:color w:val="auto"/>
                <w:sz w:val="24"/>
                <w:lang w:val="en-US" w:eastAsia="zh-CN"/>
              </w:rPr>
              <w:t>2鲁山首创环保能源有限公司与鲁山首创生物质能源有限公司关系</w:t>
            </w:r>
          </w:p>
          <w:p>
            <w:pPr>
              <w:spacing w:line="520" w:lineRule="exact"/>
              <w:ind w:firstLine="480" w:firstLineChars="200"/>
              <w:rPr>
                <w:rFonts w:hint="default" w:ascii="Times New Roman" w:hAnsi="Times New Roman" w:eastAsia="宋体" w:cs="Times New Roman"/>
                <w:color w:val="auto"/>
                <w:sz w:val="24"/>
                <w:szCs w:val="24"/>
                <w:lang w:val="en-US" w:eastAsia="zh-CN"/>
              </w:rPr>
            </w:pPr>
            <w:r>
              <w:rPr>
                <w:rFonts w:hint="eastAsia" w:cs="Times New Roman"/>
                <w:color w:val="auto"/>
                <w:sz w:val="24"/>
                <w:szCs w:val="24"/>
                <w:highlight w:val="none"/>
                <w:shd w:val="clear"/>
                <w:lang w:val="en-US" w:eastAsia="zh-CN"/>
              </w:rPr>
              <w:t>鲁山</w:t>
            </w:r>
            <w:r>
              <w:rPr>
                <w:rFonts w:hint="eastAsia" w:cs="Times New Roman"/>
                <w:color w:val="auto"/>
                <w:sz w:val="24"/>
                <w:szCs w:val="24"/>
                <w:lang w:val="en-US" w:eastAsia="zh-CN"/>
              </w:rPr>
              <w:t>首创环保能源有限公司与</w:t>
            </w:r>
            <w:r>
              <w:rPr>
                <w:rFonts w:hint="eastAsia" w:ascii="Times New Roman" w:hAnsi="Times New Roman" w:eastAsia="宋体" w:cs="Times New Roman"/>
                <w:color w:val="auto"/>
                <w:sz w:val="24"/>
                <w:szCs w:val="24"/>
                <w:lang w:val="en-US" w:eastAsia="zh-CN"/>
              </w:rPr>
              <w:t>鲁山首创生物质能源有限公司共同隶属于北京首创环境投资有限公司，其中鲁山县生活垃圾焚烧发电项目、鲁山县生物质热电联产项目分别隶属于鲁山首创环保能源有限公司、鲁山首创生物质能源有限公司，以上两项目紧邻，且鲁山县生物质热电联产项目与鲁山县生活垃圾焚烧发电项目存在部分基础设施依托关系。</w:t>
            </w:r>
          </w:p>
          <w:p>
            <w:pPr>
              <w:spacing w:line="520" w:lineRule="exact"/>
              <w:ind w:firstLine="482" w:firstLineChars="200"/>
              <w:rPr>
                <w:rFonts w:ascii="Times New Roman" w:hAnsi="Times New Roman" w:cs="Times New Roman"/>
                <w:b/>
                <w:color w:val="auto"/>
                <w:sz w:val="24"/>
              </w:rPr>
            </w:pPr>
            <w:r>
              <w:rPr>
                <w:rFonts w:hint="eastAsia" w:cs="Times New Roman"/>
                <w:b/>
                <w:color w:val="auto"/>
                <w:sz w:val="24"/>
                <w:lang w:val="en-US" w:eastAsia="zh-CN"/>
              </w:rPr>
              <w:t>3</w:t>
            </w:r>
            <w:r>
              <w:rPr>
                <w:rFonts w:hint="eastAsia" w:ascii="Times New Roman" w:hAnsi="Times New Roman" w:cs="Times New Roman"/>
                <w:b/>
                <w:color w:val="auto"/>
                <w:sz w:val="24"/>
              </w:rPr>
              <w:t>厂址</w:t>
            </w:r>
            <w:r>
              <w:rPr>
                <w:rFonts w:ascii="Times New Roman" w:hAnsi="Times New Roman" w:cs="Times New Roman"/>
                <w:b/>
                <w:color w:val="auto"/>
                <w:sz w:val="24"/>
              </w:rPr>
              <w:t>概况</w:t>
            </w:r>
          </w:p>
          <w:p>
            <w:pPr>
              <w:spacing w:line="520" w:lineRule="exact"/>
              <w:ind w:firstLine="480" w:firstLineChars="200"/>
              <w:rPr>
                <w:rFonts w:ascii="Times New Roman" w:hAnsi="Times New Roman" w:cs="Times New Roman"/>
                <w:color w:val="auto"/>
                <w:sz w:val="24"/>
                <w:lang w:val="zh-CN"/>
              </w:rPr>
            </w:pPr>
            <w:r>
              <w:rPr>
                <w:rFonts w:hint="eastAsia" w:cs="Times New Roman"/>
                <w:color w:val="auto"/>
                <w:sz w:val="24"/>
                <w:szCs w:val="24"/>
                <w:highlight w:val="none"/>
                <w:shd w:val="clear"/>
                <w:lang w:val="en-US" w:eastAsia="zh-CN"/>
              </w:rPr>
              <w:t>鲁山</w:t>
            </w:r>
            <w:r>
              <w:rPr>
                <w:rFonts w:hint="eastAsia" w:cs="Times New Roman"/>
                <w:color w:val="auto"/>
                <w:sz w:val="24"/>
                <w:szCs w:val="24"/>
                <w:lang w:val="en-US" w:eastAsia="zh-CN"/>
              </w:rPr>
              <w:t>首创环保能源有限公司飞灰库扩建项目</w:t>
            </w:r>
            <w:r>
              <w:rPr>
                <w:rFonts w:hint="eastAsia" w:ascii="Times New Roman" w:hAnsi="Times New Roman" w:eastAsia="宋体" w:cs="Times New Roman"/>
                <w:color w:val="auto"/>
                <w:sz w:val="24"/>
                <w:lang w:val="zh-CN" w:eastAsia="zh-CN"/>
              </w:rPr>
              <w:t>位</w:t>
            </w:r>
            <w:r>
              <w:rPr>
                <w:rFonts w:hint="eastAsia" w:cs="Times New Roman"/>
                <w:color w:val="auto"/>
                <w:sz w:val="24"/>
                <w:szCs w:val="24"/>
                <w:lang w:val="zh-CN" w:eastAsia="zh-CN"/>
              </w:rPr>
              <w:t>于</w:t>
            </w:r>
            <w:r>
              <w:rPr>
                <w:rFonts w:hint="eastAsia" w:cs="Times New Roman"/>
                <w:color w:val="auto"/>
                <w:sz w:val="24"/>
                <w:szCs w:val="24"/>
                <w:lang w:val="en-US" w:eastAsia="zh-CN"/>
              </w:rPr>
              <w:t>平顶山市鲁山县张良镇姚吴程村四组</w:t>
            </w:r>
            <w:r>
              <w:rPr>
                <w:rFonts w:hint="eastAsia" w:cs="Times New Roman"/>
                <w:color w:val="auto"/>
                <w:sz w:val="24"/>
                <w:szCs w:val="24"/>
                <w:lang w:val="zh-CN" w:eastAsia="zh-CN"/>
              </w:rPr>
              <w:t>（地理位置图见附图一）</w:t>
            </w:r>
            <w:r>
              <w:rPr>
                <w:rFonts w:hint="eastAsia" w:ascii="Times New Roman" w:hAnsi="Times New Roman" w:cs="Times New Roman"/>
                <w:color w:val="auto"/>
                <w:kern w:val="0"/>
                <w:sz w:val="24"/>
                <w:szCs w:val="24"/>
                <w:lang w:val="zh-CN"/>
              </w:rPr>
              <w:t>。</w:t>
            </w:r>
            <w:r>
              <w:rPr>
                <w:rFonts w:hint="eastAsia" w:ascii="Times New Roman" w:hAnsi="Times New Roman" w:eastAsia="宋体" w:cs="Times New Roman"/>
                <w:color w:val="auto"/>
                <w:kern w:val="0"/>
                <w:sz w:val="24"/>
                <w:szCs w:val="24"/>
                <w:highlight w:val="none"/>
                <w:lang w:val="zh-CN" w:eastAsia="zh-CN"/>
              </w:rPr>
              <w:t>占地面积</w:t>
            </w:r>
            <w:r>
              <w:rPr>
                <w:rFonts w:hint="eastAsia" w:ascii="Times New Roman" w:hAnsi="Times New Roman" w:cs="Times New Roman"/>
                <w:color w:val="auto"/>
                <w:kern w:val="0"/>
                <w:sz w:val="24"/>
                <w:szCs w:val="24"/>
                <w:highlight w:val="none"/>
                <w:lang w:val="en-US" w:eastAsia="zh-CN"/>
              </w:rPr>
              <w:t>约</w:t>
            </w:r>
            <w:r>
              <w:rPr>
                <w:rFonts w:hint="eastAsia" w:cs="Times New Roman"/>
                <w:color w:val="auto"/>
                <w:kern w:val="0"/>
                <w:sz w:val="24"/>
                <w:szCs w:val="24"/>
                <w:highlight w:val="none"/>
                <w:lang w:val="en-US" w:eastAsia="zh-CN"/>
              </w:rPr>
              <w:t>4200</w:t>
            </w:r>
            <w:r>
              <w:rPr>
                <w:rFonts w:hint="eastAsia" w:ascii="Times New Roman" w:hAnsi="Times New Roman" w:cs="Times New Roman"/>
                <w:color w:val="auto"/>
                <w:kern w:val="0"/>
                <w:sz w:val="24"/>
                <w:szCs w:val="24"/>
                <w:highlight w:val="none"/>
                <w:lang w:val="zh-CN"/>
              </w:rPr>
              <w:t>平方米</w:t>
            </w:r>
            <w:r>
              <w:rPr>
                <w:rFonts w:hint="eastAsia" w:ascii="Times New Roman" w:hAnsi="Times New Roman" w:cs="Times New Roman"/>
                <w:color w:val="auto"/>
                <w:sz w:val="24"/>
                <w:szCs w:val="24"/>
                <w:lang w:eastAsia="zh-CN"/>
              </w:rPr>
              <w:t>，</w:t>
            </w:r>
            <w:r>
              <w:rPr>
                <w:rFonts w:ascii="Times New Roman" w:hAnsi="Times New Roman" w:cs="Times New Roman"/>
                <w:color w:val="auto"/>
                <w:sz w:val="24"/>
              </w:rPr>
              <w:t>根据现场踏勘，</w:t>
            </w:r>
            <w:r>
              <w:rPr>
                <w:rFonts w:hint="eastAsia" w:ascii="Times New Roman" w:hAnsi="Times New Roman" w:cs="Times New Roman"/>
                <w:color w:val="auto"/>
                <w:sz w:val="24"/>
                <w:lang w:eastAsia="zh-CN"/>
              </w:rPr>
              <w:t>本项目</w:t>
            </w:r>
            <w:r>
              <w:rPr>
                <w:rFonts w:hint="eastAsia" w:ascii="Times New Roman" w:hAnsi="Times New Roman" w:cs="Times New Roman"/>
                <w:color w:val="auto"/>
                <w:sz w:val="24"/>
                <w:lang w:val="en-US" w:eastAsia="zh-CN"/>
              </w:rPr>
              <w:t>北侧为</w:t>
            </w:r>
            <w:r>
              <w:rPr>
                <w:rFonts w:hint="eastAsia" w:ascii="Times New Roman" w:hAnsi="Times New Roman" w:eastAsia="宋体" w:cs="Times New Roman"/>
                <w:color w:val="auto"/>
                <w:sz w:val="24"/>
                <w:szCs w:val="24"/>
                <w:lang w:val="en-US" w:eastAsia="zh-CN"/>
              </w:rPr>
              <w:t>鲁山首创生物质能源有限公司</w:t>
            </w:r>
            <w:r>
              <w:rPr>
                <w:rFonts w:hint="eastAsia" w:cs="Times New Roman"/>
                <w:color w:val="auto"/>
                <w:sz w:val="24"/>
                <w:lang w:val="en-US" w:eastAsia="zh-CN"/>
              </w:rPr>
              <w:t>生物质料棚</w:t>
            </w:r>
            <w:r>
              <w:rPr>
                <w:rFonts w:hint="eastAsia" w:ascii="Times New Roman" w:hAnsi="Times New Roman" w:cs="Times New Roman"/>
                <w:color w:val="auto"/>
                <w:sz w:val="24"/>
                <w:lang w:val="en-US" w:eastAsia="zh-CN"/>
              </w:rPr>
              <w:t>、南侧为</w:t>
            </w:r>
            <w:r>
              <w:rPr>
                <w:rFonts w:hint="eastAsia" w:cs="Times New Roman"/>
                <w:color w:val="auto"/>
                <w:sz w:val="24"/>
                <w:lang w:val="en-US" w:eastAsia="zh-CN"/>
              </w:rPr>
              <w:t>空地及厂内道路</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西</w:t>
            </w:r>
            <w:r>
              <w:rPr>
                <w:rFonts w:hint="eastAsia" w:ascii="Times New Roman" w:hAnsi="Times New Roman" w:cs="Times New Roman"/>
                <w:color w:val="auto"/>
                <w:sz w:val="24"/>
                <w:lang w:val="en-US" w:eastAsia="zh-CN"/>
              </w:rPr>
              <w:t>侧为</w:t>
            </w:r>
            <w:r>
              <w:rPr>
                <w:rFonts w:hint="eastAsia" w:cs="Times New Roman"/>
                <w:color w:val="auto"/>
                <w:sz w:val="24"/>
                <w:lang w:val="en-US" w:eastAsia="zh-CN"/>
              </w:rPr>
              <w:t>空地</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东侧</w:t>
            </w:r>
            <w:r>
              <w:rPr>
                <w:rFonts w:hint="eastAsia" w:ascii="Times New Roman" w:hAnsi="Times New Roman" w:cs="Times New Roman"/>
                <w:color w:val="auto"/>
                <w:sz w:val="24"/>
                <w:lang w:val="en-US" w:eastAsia="zh-CN"/>
              </w:rPr>
              <w:t>为</w:t>
            </w:r>
            <w:r>
              <w:rPr>
                <w:rFonts w:hint="eastAsia" w:cs="Times New Roman"/>
                <w:color w:val="auto"/>
                <w:sz w:val="24"/>
                <w:lang w:val="en-US" w:eastAsia="zh-CN"/>
              </w:rPr>
              <w:t>厂内道路</w:t>
            </w:r>
            <w:r>
              <w:rPr>
                <w:rFonts w:hint="eastAsia" w:ascii="Times New Roman" w:hAnsi="Times New Roman" w:cs="Times New Roman"/>
                <w:color w:val="auto"/>
                <w:sz w:val="24"/>
                <w:lang w:eastAsia="zh-CN"/>
              </w:rPr>
              <w:t>，</w:t>
            </w:r>
            <w:r>
              <w:rPr>
                <w:rFonts w:hint="eastAsia" w:cs="Times New Roman"/>
                <w:color w:val="auto"/>
                <w:sz w:val="24"/>
                <w:lang w:val="en-US" w:eastAsia="zh-CN"/>
              </w:rPr>
              <w:t>距离项目最近的敏感点为项目地南侧434m处的侯家岭村</w:t>
            </w:r>
            <w:r>
              <w:rPr>
                <w:rFonts w:hint="eastAsia" w:ascii="Times New Roman" w:hAnsi="Times New Roman" w:cs="Times New Roman"/>
                <w:color w:val="auto"/>
                <w:sz w:val="24"/>
                <w:highlight w:val="none"/>
                <w:lang w:val="zh-CN"/>
              </w:rPr>
              <w:t>。</w:t>
            </w:r>
            <w:r>
              <w:rPr>
                <w:rFonts w:ascii="Times New Roman" w:hAnsi="Times New Roman" w:cs="Times New Roman"/>
                <w:color w:val="auto"/>
                <w:sz w:val="24"/>
                <w:lang w:val="zh-CN"/>
              </w:rPr>
              <w:t>项目周边环境详见附图二。</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481" w:leftChars="229" w:firstLine="0" w:firstLineChars="0"/>
              <w:textAlignment w:val="auto"/>
              <w:rPr>
                <w:rFonts w:ascii="Times New Roman" w:hAnsi="Times New Roman" w:cs="Times New Roman"/>
                <w:b/>
                <w:color w:val="auto"/>
                <w:sz w:val="24"/>
              </w:rPr>
            </w:pPr>
            <w:r>
              <w:rPr>
                <w:rFonts w:hint="eastAsia" w:cs="Times New Roman"/>
                <w:b/>
                <w:color w:val="auto"/>
                <w:sz w:val="24"/>
                <w:lang w:val="en-US" w:eastAsia="zh-CN"/>
              </w:rPr>
              <w:t>4</w:t>
            </w:r>
            <w:r>
              <w:rPr>
                <w:rFonts w:ascii="Times New Roman" w:hAnsi="Times New Roman" w:cs="Times New Roman"/>
                <w:b/>
                <w:color w:val="auto"/>
                <w:sz w:val="24"/>
              </w:rPr>
              <w:t>项目产品方案</w:t>
            </w:r>
          </w:p>
          <w:p>
            <w:pPr>
              <w:spacing w:line="520" w:lineRule="exact"/>
              <w:ind w:firstLine="482" w:firstLineChars="20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4.1产品方案</w:t>
            </w:r>
          </w:p>
          <w:p>
            <w:pPr>
              <w:spacing w:line="520" w:lineRule="exact"/>
              <w:ind w:firstLine="480" w:firstLineChars="200"/>
              <w:rPr>
                <w:rFonts w:hint="eastAsia" w:ascii="Times New Roman" w:hAnsi="Times New Roman" w:eastAsia="宋体" w:cs="Times New Roman"/>
                <w:color w:val="auto"/>
                <w:sz w:val="24"/>
                <w:lang w:eastAsia="zh-CN"/>
              </w:rPr>
            </w:pPr>
            <w:r>
              <w:rPr>
                <w:rFonts w:ascii="Times New Roman" w:hAnsi="Times New Roman" w:eastAsia="宋体" w:cs="Times New Roman"/>
                <w:color w:val="auto"/>
                <w:sz w:val="24"/>
              </w:rPr>
              <w:t>项目具体生产规模</w:t>
            </w:r>
            <w:r>
              <w:rPr>
                <w:rFonts w:ascii="Times New Roman" w:hAnsi="Times New Roman" w:cs="Times New Roman"/>
                <w:color w:val="auto"/>
                <w:sz w:val="24"/>
              </w:rPr>
              <w:t>及产品方案</w:t>
            </w:r>
            <w:r>
              <w:rPr>
                <w:rFonts w:hint="eastAsia" w:cs="Times New Roman"/>
                <w:color w:val="auto"/>
                <w:sz w:val="24"/>
                <w:lang w:val="en-US" w:eastAsia="zh-CN"/>
              </w:rPr>
              <w:t>如下</w:t>
            </w:r>
            <w:r>
              <w:rPr>
                <w:rFonts w:hint="eastAsia" w:cs="Times New Roman"/>
                <w:color w:val="auto"/>
                <w:sz w:val="24"/>
                <w:lang w:eastAsia="zh-CN"/>
              </w:rPr>
              <w:t>：</w:t>
            </w:r>
          </w:p>
          <w:p>
            <w:pPr>
              <w:pStyle w:val="7"/>
              <w:numPr>
                <w:ilvl w:val="0"/>
                <w:numId w:val="0"/>
              </w:numPr>
              <w:spacing w:line="240" w:lineRule="auto"/>
              <w:ind w:leftChars="200"/>
              <w:jc w:val="center"/>
              <w:rPr>
                <w:rFonts w:hint="eastAsia" w:ascii="Times New Roman" w:hAnsi="Times New Roman" w:eastAsia="黑体" w:cs="Times New Roman"/>
                <w:b w:val="0"/>
                <w:color w:val="auto"/>
                <w:kern w:val="2"/>
                <w:sz w:val="24"/>
                <w:szCs w:val="24"/>
                <w:lang w:val="en-US" w:eastAsia="zh-CN" w:bidi="ar-SA"/>
              </w:rPr>
            </w:pPr>
            <w:r>
              <w:rPr>
                <w:rFonts w:hint="eastAsia" w:ascii="Times New Roman" w:hAnsi="Times New Roman" w:eastAsia="黑体" w:cs="Times New Roman"/>
                <w:b w:val="0"/>
                <w:color w:val="auto"/>
                <w:kern w:val="2"/>
                <w:sz w:val="24"/>
                <w:szCs w:val="24"/>
                <w:lang w:val="en-US" w:eastAsia="zh-CN" w:bidi="ar-SA"/>
              </w:rPr>
              <w:t>表</w:t>
            </w:r>
            <w:r>
              <w:rPr>
                <w:rFonts w:hint="eastAsia" w:eastAsia="黑体" w:cs="Times New Roman"/>
                <w:b w:val="0"/>
                <w:color w:val="auto"/>
                <w:kern w:val="2"/>
                <w:sz w:val="24"/>
                <w:szCs w:val="24"/>
                <w:lang w:val="en-US" w:eastAsia="zh-CN" w:bidi="ar-SA"/>
              </w:rPr>
              <w:t>9</w:t>
            </w:r>
            <w:r>
              <w:rPr>
                <w:rFonts w:hint="eastAsia" w:ascii="Times New Roman" w:hAnsi="Times New Roman" w:eastAsia="黑体" w:cs="Times New Roman"/>
                <w:b w:val="0"/>
                <w:color w:val="auto"/>
                <w:kern w:val="2"/>
                <w:sz w:val="24"/>
                <w:szCs w:val="24"/>
                <w:lang w:val="en-US" w:eastAsia="zh-CN" w:bidi="ar-SA"/>
              </w:rPr>
              <w:t xml:space="preserve"> </w:t>
            </w:r>
            <w:r>
              <w:rPr>
                <w:rFonts w:hint="eastAsia" w:eastAsia="黑体" w:cs="Times New Roman"/>
                <w:b w:val="0"/>
                <w:color w:val="auto"/>
                <w:kern w:val="2"/>
                <w:sz w:val="24"/>
                <w:szCs w:val="24"/>
                <w:lang w:val="en-US" w:eastAsia="zh-CN" w:bidi="ar-SA"/>
              </w:rPr>
              <w:t xml:space="preserve">     </w:t>
            </w:r>
            <w:r>
              <w:rPr>
                <w:rFonts w:hint="eastAsia" w:ascii="Times New Roman" w:hAnsi="Times New Roman" w:eastAsia="黑体" w:cs="Times New Roman"/>
                <w:b w:val="0"/>
                <w:color w:val="auto"/>
                <w:kern w:val="2"/>
                <w:sz w:val="24"/>
                <w:szCs w:val="24"/>
                <w:lang w:val="en-US" w:eastAsia="zh-CN" w:bidi="ar-SA"/>
              </w:rPr>
              <w:t>本项目生产规模及产品方案</w:t>
            </w:r>
          </w:p>
          <w:tbl>
            <w:tblPr>
              <w:tblStyle w:val="28"/>
              <w:tblW w:w="8438" w:type="dxa"/>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58"/>
              <w:gridCol w:w="1091"/>
              <w:gridCol w:w="1691"/>
              <w:gridCol w:w="1746"/>
              <w:gridCol w:w="1256"/>
              <w:gridCol w:w="1896"/>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6" w:hRule="atLeast"/>
              </w:trPr>
              <w:tc>
                <w:tcPr>
                  <w:tcW w:w="449" w:type="pct"/>
                  <w:vMerge w:val="restart"/>
                  <w:tcBorders>
                    <w:top w:val="single" w:color="auto" w:sz="4" w:space="0"/>
                    <w:left w:val="single" w:color="auto" w:sz="0" w:space="0"/>
                    <w:bottom w:val="single" w:color="auto" w:sz="4" w:space="0"/>
                    <w:right w:val="single" w:color="auto" w:sz="4" w:space="0"/>
                  </w:tcBorders>
                  <w:noWrap w:val="0"/>
                  <w:vAlign w:val="center"/>
                </w:tcPr>
                <w:p>
                  <w:pPr>
                    <w:spacing w:line="276" w:lineRule="auto"/>
                    <w:jc w:val="center"/>
                    <w:rPr>
                      <w:rFonts w:ascii="Times New Roman" w:hAnsi="Times New Roman" w:cs="Times New Roman"/>
                      <w:color w:val="auto"/>
                      <w:szCs w:val="21"/>
                    </w:rPr>
                  </w:pPr>
                  <w:r>
                    <w:rPr>
                      <w:rFonts w:hint="eastAsia" w:ascii="Times New Roman" w:hAnsi="Times New Roman" w:cs="Times New Roman"/>
                      <w:color w:val="auto"/>
                      <w:szCs w:val="21"/>
                    </w:rPr>
                    <w:t>序号</w:t>
                  </w:r>
                </w:p>
              </w:tc>
              <w:tc>
                <w:tcPr>
                  <w:tcW w:w="646" w:type="pct"/>
                  <w:vMerge w:val="restart"/>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rPr>
                    <w:t>产品</w:t>
                  </w:r>
                  <w:r>
                    <w:rPr>
                      <w:rFonts w:hint="eastAsia" w:cs="Times New Roman"/>
                      <w:color w:val="auto"/>
                      <w:szCs w:val="21"/>
                      <w:lang w:val="en-US" w:eastAsia="zh-CN"/>
                    </w:rPr>
                    <w:t>名称</w:t>
                  </w:r>
                </w:p>
              </w:tc>
              <w:tc>
                <w:tcPr>
                  <w:tcW w:w="2780" w:type="pct"/>
                  <w:gridSpan w:val="3"/>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eastAsia" w:cs="Times New Roman"/>
                      <w:color w:val="auto"/>
                      <w:szCs w:val="21"/>
                      <w:lang w:val="en-US" w:eastAsia="zh-CN"/>
                    </w:rPr>
                  </w:pPr>
                  <w:r>
                    <w:rPr>
                      <w:rFonts w:hint="eastAsia" w:ascii="Times New Roman" w:hAnsi="Times New Roman" w:cs="Times New Roman"/>
                      <w:color w:val="auto"/>
                      <w:szCs w:val="21"/>
                      <w:lang w:val="en-US" w:eastAsia="zh-CN"/>
                    </w:rPr>
                    <w:t>产量</w:t>
                  </w:r>
                </w:p>
              </w:tc>
              <w:tc>
                <w:tcPr>
                  <w:tcW w:w="1123" w:type="pct"/>
                  <w:vMerge w:val="restart"/>
                  <w:tcBorders>
                    <w:top w:val="single" w:color="auto" w:sz="4" w:space="0"/>
                    <w:left w:val="single" w:color="auto" w:sz="4" w:space="0"/>
                    <w:right w:val="single" w:color="auto" w:sz="4" w:space="0"/>
                  </w:tcBorders>
                  <w:noWrap w:val="0"/>
                  <w:vAlign w:val="center"/>
                </w:tcPr>
                <w:p>
                  <w:pPr>
                    <w:spacing w:line="276" w:lineRule="auto"/>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4" w:hRule="atLeast"/>
              </w:trPr>
              <w:tc>
                <w:tcPr>
                  <w:tcW w:w="449"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color w:val="auto"/>
                    </w:rPr>
                  </w:pPr>
                </w:p>
              </w:tc>
              <w:tc>
                <w:tcPr>
                  <w:tcW w:w="646"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color w:val="auto"/>
                    </w:rPr>
                  </w:pPr>
                </w:p>
              </w:tc>
              <w:tc>
                <w:tcPr>
                  <w:tcW w:w="1002" w:type="pct"/>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eastAsia" w:eastAsia="宋体"/>
                      <w:color w:val="auto"/>
                      <w:lang w:val="en-US" w:eastAsia="zh-CN"/>
                    </w:rPr>
                  </w:pPr>
                  <w:r>
                    <w:rPr>
                      <w:rFonts w:hint="eastAsia"/>
                      <w:color w:val="auto"/>
                      <w:lang w:val="en-US" w:eastAsia="zh-CN"/>
                    </w:rPr>
                    <w:t>现有工程</w:t>
                  </w:r>
                </w:p>
              </w:tc>
              <w:tc>
                <w:tcPr>
                  <w:tcW w:w="1034" w:type="pct"/>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default" w:eastAsia="宋体"/>
                      <w:color w:val="auto"/>
                      <w:lang w:val="en-US" w:eastAsia="zh-CN"/>
                    </w:rPr>
                  </w:pPr>
                  <w:r>
                    <w:rPr>
                      <w:rFonts w:hint="eastAsia"/>
                      <w:color w:val="auto"/>
                      <w:lang w:val="en-US" w:eastAsia="zh-CN"/>
                    </w:rPr>
                    <w:t>本次扩建</w:t>
                  </w:r>
                </w:p>
              </w:tc>
              <w:tc>
                <w:tcPr>
                  <w:tcW w:w="744" w:type="pct"/>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default" w:eastAsia="宋体"/>
                      <w:color w:val="auto"/>
                      <w:lang w:val="en-US" w:eastAsia="zh-CN"/>
                    </w:rPr>
                  </w:pPr>
                  <w:r>
                    <w:rPr>
                      <w:rFonts w:hint="eastAsia"/>
                      <w:color w:val="auto"/>
                      <w:lang w:val="en-US" w:eastAsia="zh-CN"/>
                    </w:rPr>
                    <w:t>扩建后全厂</w:t>
                  </w:r>
                </w:p>
              </w:tc>
              <w:tc>
                <w:tcPr>
                  <w:tcW w:w="1123" w:type="pct"/>
                  <w:vMerge w:val="continue"/>
                  <w:tcBorders>
                    <w:left w:val="single" w:color="auto" w:sz="4" w:space="0"/>
                    <w:bottom w:val="single" w:color="auto" w:sz="4" w:space="0"/>
                    <w:right w:val="single" w:color="auto" w:sz="4" w:space="0"/>
                  </w:tcBorders>
                  <w:noWrap w:val="0"/>
                  <w:vAlign w:val="center"/>
                </w:tcPr>
                <w:p>
                  <w:pPr>
                    <w:spacing w:line="276" w:lineRule="auto"/>
                    <w:jc w:val="center"/>
                    <w:rPr>
                      <w:rFonts w:hint="eastAsia"/>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64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jc w:val="center"/>
                    <w:rPr>
                      <w:rFonts w:hint="default" w:ascii="Times New Roman" w:hAnsi="Times New Roman" w:eastAsia="宋体" w:cs="Times New Roman"/>
                      <w:color w:val="auto"/>
                      <w:szCs w:val="21"/>
                      <w:lang w:val="en-US" w:eastAsia="zh-CN"/>
                    </w:rPr>
                  </w:pPr>
                  <w:r>
                    <w:rPr>
                      <w:rFonts w:hint="eastAsia"/>
                      <w:bCs/>
                      <w:color w:val="auto"/>
                      <w:szCs w:val="28"/>
                      <w:lang w:val="en-US" w:eastAsia="zh-CN"/>
                    </w:rPr>
                    <w:t>飞灰暂存</w:t>
                  </w:r>
                </w:p>
              </w:tc>
              <w:tc>
                <w:tcPr>
                  <w:tcW w:w="100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暂存飞灰1500吨</w:t>
                  </w:r>
                </w:p>
              </w:tc>
              <w:tc>
                <w:tcPr>
                  <w:tcW w:w="103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暂存飞灰8000吨</w:t>
                  </w:r>
                </w:p>
              </w:tc>
              <w:tc>
                <w:tcPr>
                  <w:tcW w:w="74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暂存飞灰9500吨</w:t>
                  </w:r>
                </w:p>
              </w:tc>
              <w:tc>
                <w:tcPr>
                  <w:tcW w:w="1123"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eastAsia="宋体"/>
                      <w:bCs/>
                      <w:color w:val="auto"/>
                      <w:szCs w:val="28"/>
                      <w:lang w:val="en-US" w:eastAsia="zh-CN"/>
                    </w:rPr>
                  </w:pPr>
                  <w:r>
                    <w:rPr>
                      <w:rFonts w:hint="eastAsia"/>
                      <w:bCs/>
                      <w:color w:val="auto"/>
                      <w:szCs w:val="28"/>
                      <w:lang w:val="en-US" w:eastAsia="zh-CN"/>
                    </w:rPr>
                    <w:t>飞灰包装于密封吨袋中，吨袋尺寸为l.2m*l.2m*l.2m，单袋飞灰质量约为1.38t，在飞灰库内分层、分区摆放</w:t>
                  </w: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cs="Times New Roman"/>
                <w:b/>
                <w:color w:val="auto"/>
                <w:sz w:val="24"/>
                <w:highlight w:val="none"/>
                <w:lang w:val="en-US" w:eastAsia="zh-CN"/>
              </w:rPr>
            </w:pPr>
            <w:r>
              <w:rPr>
                <w:rFonts w:hint="eastAsia" w:cs="Times New Roman"/>
                <w:b/>
                <w:color w:val="auto"/>
                <w:sz w:val="24"/>
                <w:highlight w:val="none"/>
                <w:lang w:val="en-US" w:eastAsia="zh-CN"/>
              </w:rPr>
              <w:t>4.2飞灰成分及来源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C00000"/>
                <w:sz w:val="24"/>
                <w:szCs w:val="24"/>
                <w:lang w:val="en-US" w:eastAsia="zh-CN"/>
              </w:rPr>
            </w:pPr>
            <w:r>
              <w:rPr>
                <w:color w:val="C00000"/>
                <w:sz w:val="24"/>
                <w:szCs w:val="24"/>
              </w:rPr>
              <w:t>飞灰的</w:t>
            </w:r>
            <w:r>
              <w:rPr>
                <w:rFonts w:hint="eastAsia"/>
                <w:color w:val="C00000"/>
                <w:sz w:val="24"/>
                <w:szCs w:val="24"/>
                <w:lang w:val="en-US" w:eastAsia="zh-CN"/>
              </w:rPr>
              <w:t>成分</w:t>
            </w:r>
            <w:r>
              <w:rPr>
                <w:color w:val="C00000"/>
                <w:sz w:val="24"/>
                <w:szCs w:val="24"/>
              </w:rPr>
              <w:t>受多重因素的影响，其变化范围也较大，主要成分为CaCl</w:t>
            </w:r>
            <w:r>
              <w:rPr>
                <w:color w:val="C00000"/>
                <w:sz w:val="24"/>
                <w:szCs w:val="24"/>
                <w:vertAlign w:val="subscript"/>
              </w:rPr>
              <w:t>2</w:t>
            </w:r>
            <w:r>
              <w:rPr>
                <w:color w:val="C00000"/>
                <w:sz w:val="24"/>
                <w:szCs w:val="24"/>
              </w:rPr>
              <w:t>、CaSO</w:t>
            </w:r>
            <w:r>
              <w:rPr>
                <w:color w:val="C00000"/>
                <w:sz w:val="24"/>
                <w:szCs w:val="24"/>
                <w:vertAlign w:val="subscript"/>
              </w:rPr>
              <w:t>3</w:t>
            </w:r>
            <w:r>
              <w:rPr>
                <w:color w:val="C00000"/>
                <w:sz w:val="24"/>
                <w:szCs w:val="24"/>
              </w:rPr>
              <w:t>、SiO</w:t>
            </w:r>
            <w:r>
              <w:rPr>
                <w:color w:val="C00000"/>
                <w:sz w:val="24"/>
                <w:szCs w:val="24"/>
                <w:vertAlign w:val="subscript"/>
              </w:rPr>
              <w:t>2</w:t>
            </w:r>
            <w:r>
              <w:rPr>
                <w:color w:val="C00000"/>
                <w:sz w:val="24"/>
                <w:szCs w:val="24"/>
              </w:rPr>
              <w:t>、CaO、Al</w:t>
            </w:r>
            <w:r>
              <w:rPr>
                <w:color w:val="C00000"/>
                <w:sz w:val="24"/>
                <w:szCs w:val="24"/>
                <w:vertAlign w:val="subscript"/>
              </w:rPr>
              <w:t>2</w:t>
            </w:r>
            <w:r>
              <w:rPr>
                <w:color w:val="C00000"/>
                <w:sz w:val="24"/>
                <w:szCs w:val="24"/>
              </w:rPr>
              <w:t>O</w:t>
            </w:r>
            <w:r>
              <w:rPr>
                <w:color w:val="C00000"/>
                <w:sz w:val="24"/>
                <w:szCs w:val="24"/>
                <w:vertAlign w:val="subscript"/>
              </w:rPr>
              <w:t>3</w:t>
            </w:r>
            <w:r>
              <w:rPr>
                <w:color w:val="C00000"/>
                <w:sz w:val="24"/>
                <w:szCs w:val="24"/>
              </w:rPr>
              <w:t>、Fe</w:t>
            </w:r>
            <w:r>
              <w:rPr>
                <w:color w:val="C00000"/>
                <w:sz w:val="24"/>
                <w:szCs w:val="24"/>
                <w:vertAlign w:val="subscript"/>
              </w:rPr>
              <w:t>2</w:t>
            </w:r>
            <w:r>
              <w:rPr>
                <w:color w:val="C00000"/>
                <w:sz w:val="24"/>
                <w:szCs w:val="24"/>
              </w:rPr>
              <w:t>O</w:t>
            </w:r>
            <w:r>
              <w:rPr>
                <w:color w:val="C00000"/>
                <w:sz w:val="24"/>
                <w:szCs w:val="24"/>
                <w:vertAlign w:val="subscript"/>
              </w:rPr>
              <w:t>3</w:t>
            </w:r>
            <w:r>
              <w:rPr>
                <w:color w:val="C00000"/>
                <w:sz w:val="24"/>
                <w:szCs w:val="24"/>
              </w:rPr>
              <w:t>等，另外还有少量的Hg、Pb、Cr、Ge、Mn、Zn、Mg等重金属和微量的二噁英类等有毒有机物。</w:t>
            </w:r>
            <w:r>
              <w:rPr>
                <w:rFonts w:hint="eastAsia" w:ascii="Times New Roman" w:hAnsi="Times New Roman" w:eastAsia="宋体" w:cs="Times New Roman"/>
                <w:color w:val="C00000"/>
                <w:sz w:val="24"/>
                <w:szCs w:val="24"/>
                <w:lang w:val="en-US"/>
              </w:rPr>
              <w:t>本</w:t>
            </w:r>
            <w:r>
              <w:rPr>
                <w:rFonts w:ascii="Times New Roman" w:hAnsi="Times New Roman" w:eastAsia="宋体" w:cs="Times New Roman"/>
                <w:color w:val="C00000"/>
                <w:sz w:val="24"/>
                <w:szCs w:val="24"/>
                <w:lang w:val="en-US"/>
              </w:rPr>
              <w:t>项目的飞灰</w:t>
            </w:r>
            <w:r>
              <w:rPr>
                <w:rFonts w:hint="eastAsia" w:ascii="Times New Roman" w:hAnsi="Times New Roman" w:eastAsia="宋体" w:cs="Times New Roman"/>
                <w:color w:val="C00000"/>
                <w:sz w:val="24"/>
                <w:szCs w:val="24"/>
                <w:lang w:val="en-US" w:eastAsia="zh-CN"/>
              </w:rPr>
              <w:t>是鲁山县生活垃圾焚烧发电项目中对</w:t>
            </w:r>
            <w:r>
              <w:rPr>
                <w:rFonts w:ascii="Times New Roman" w:hAnsi="Times New Roman" w:eastAsia="宋体" w:cs="Times New Roman"/>
                <w:color w:val="C00000"/>
                <w:sz w:val="24"/>
                <w:szCs w:val="24"/>
                <w:lang w:val="en-US"/>
              </w:rPr>
              <w:t>焚烧炉所产生的烟气进行处理，布袋除尘器所收集的中和反应物、某些未完全反应的碱剂及活性炭形成</w:t>
            </w:r>
            <w:r>
              <w:rPr>
                <w:rFonts w:hint="eastAsia" w:ascii="Times New Roman" w:hAnsi="Times New Roman" w:eastAsia="宋体" w:cs="Times New Roman"/>
                <w:color w:val="C00000"/>
                <w:sz w:val="24"/>
                <w:szCs w:val="24"/>
                <w:lang w:val="en-US" w:eastAsia="zh-CN"/>
              </w:rPr>
              <w:t>的，</w:t>
            </w:r>
            <w:r>
              <w:rPr>
                <w:rFonts w:hint="eastAsia" w:cs="Times New Roman"/>
                <w:color w:val="C00000"/>
                <w:sz w:val="24"/>
                <w:szCs w:val="24"/>
                <w:lang w:val="en-US" w:eastAsia="zh-CN"/>
              </w:rPr>
              <w:t>该飞灰经</w:t>
            </w:r>
            <w:r>
              <w:rPr>
                <w:rFonts w:ascii="Times New Roman" w:hAnsi="Times New Roman" w:eastAsia="宋体" w:cs="Times New Roman"/>
                <w:color w:val="C00000"/>
                <w:sz w:val="24"/>
                <w:szCs w:val="24"/>
                <w:lang w:val="en-US"/>
              </w:rPr>
              <w:t>稳定化</w:t>
            </w:r>
            <w:r>
              <w:rPr>
                <w:rFonts w:hint="eastAsia" w:ascii="Times New Roman" w:hAnsi="Times New Roman" w:eastAsia="宋体" w:cs="Times New Roman"/>
                <w:color w:val="C00000"/>
                <w:sz w:val="24"/>
                <w:szCs w:val="24"/>
                <w:lang w:val="en-US" w:eastAsia="zh-CN"/>
              </w:rPr>
              <w:t>处理</w:t>
            </w:r>
            <w:r>
              <w:rPr>
                <w:rFonts w:ascii="Times New Roman" w:hAnsi="Times New Roman" w:eastAsia="宋体" w:cs="Times New Roman"/>
                <w:color w:val="C00000"/>
                <w:sz w:val="24"/>
                <w:szCs w:val="24"/>
                <w:lang w:val="en-US"/>
              </w:rPr>
              <w:t>系统</w:t>
            </w:r>
            <w:r>
              <w:rPr>
                <w:rFonts w:hint="eastAsia" w:cs="Times New Roman"/>
                <w:color w:val="C00000"/>
                <w:sz w:val="24"/>
                <w:szCs w:val="24"/>
                <w:lang w:val="en-US" w:eastAsia="zh-CN"/>
              </w:rPr>
              <w:t>进行处理，</w:t>
            </w:r>
            <w:r>
              <w:rPr>
                <w:rFonts w:hint="eastAsia" w:ascii="Times New Roman" w:hAnsi="Times New Roman" w:eastAsia="宋体" w:cs="Times New Roman"/>
                <w:color w:val="C00000"/>
                <w:sz w:val="24"/>
                <w:szCs w:val="24"/>
                <w:lang w:val="en-US" w:eastAsia="zh-CN"/>
              </w:rPr>
              <w:t>飞灰</w:t>
            </w:r>
            <w:r>
              <w:rPr>
                <w:rFonts w:ascii="Times New Roman" w:hAnsi="Times New Roman" w:eastAsia="宋体" w:cs="Times New Roman"/>
                <w:color w:val="C00000"/>
                <w:sz w:val="24"/>
                <w:szCs w:val="24"/>
                <w:lang w:val="en-US"/>
              </w:rPr>
              <w:t>稳定化</w:t>
            </w:r>
            <w:r>
              <w:rPr>
                <w:rFonts w:hint="eastAsia" w:ascii="Times New Roman" w:hAnsi="Times New Roman" w:eastAsia="宋体" w:cs="Times New Roman"/>
                <w:color w:val="C00000"/>
                <w:sz w:val="24"/>
                <w:szCs w:val="24"/>
                <w:lang w:val="en-US" w:eastAsia="zh-CN"/>
              </w:rPr>
              <w:t>处理</w:t>
            </w:r>
            <w:r>
              <w:rPr>
                <w:rFonts w:ascii="Times New Roman" w:hAnsi="Times New Roman" w:eastAsia="宋体" w:cs="Times New Roman"/>
                <w:color w:val="C00000"/>
                <w:sz w:val="24"/>
                <w:szCs w:val="24"/>
                <w:lang w:val="en-US"/>
              </w:rPr>
              <w:t>系统采用</w:t>
            </w:r>
            <w:r>
              <w:rPr>
                <w:rFonts w:hint="eastAsia" w:ascii="Times New Roman" w:hAnsi="Times New Roman" w:eastAsia="宋体" w:cs="Times New Roman"/>
                <w:color w:val="C00000"/>
                <w:sz w:val="24"/>
                <w:szCs w:val="24"/>
                <w:lang w:val="en-US"/>
              </w:rPr>
              <w:t>“水</w:t>
            </w:r>
            <w:r>
              <w:rPr>
                <w:rFonts w:ascii="Times New Roman" w:hAnsi="Times New Roman" w:eastAsia="宋体" w:cs="Times New Roman"/>
                <w:color w:val="C00000"/>
                <w:sz w:val="24"/>
                <w:szCs w:val="24"/>
                <w:lang w:val="en-US"/>
              </w:rPr>
              <w:t>泥+</w:t>
            </w:r>
            <w:r>
              <w:rPr>
                <w:rFonts w:hint="eastAsia" w:ascii="Times New Roman" w:hAnsi="Times New Roman" w:eastAsia="宋体" w:cs="Times New Roman"/>
                <w:color w:val="C00000"/>
                <w:sz w:val="24"/>
                <w:szCs w:val="24"/>
                <w:lang w:val="en-US"/>
              </w:rPr>
              <w:t>螯合</w:t>
            </w:r>
            <w:r>
              <w:rPr>
                <w:rFonts w:ascii="Times New Roman" w:hAnsi="Times New Roman" w:eastAsia="宋体" w:cs="Times New Roman"/>
                <w:color w:val="C00000"/>
                <w:sz w:val="24"/>
                <w:szCs w:val="24"/>
                <w:lang w:val="en-US"/>
              </w:rPr>
              <w:t>稳定剂</w:t>
            </w:r>
            <w:r>
              <w:rPr>
                <w:rFonts w:hint="eastAsia" w:ascii="Times New Roman" w:hAnsi="Times New Roman" w:eastAsia="宋体" w:cs="Times New Roman"/>
                <w:color w:val="C00000"/>
                <w:sz w:val="24"/>
                <w:szCs w:val="24"/>
                <w:lang w:val="en-US"/>
              </w:rPr>
              <w:t>”</w:t>
            </w:r>
            <w:r>
              <w:rPr>
                <w:rFonts w:ascii="Times New Roman" w:hAnsi="Times New Roman" w:eastAsia="宋体" w:cs="Times New Roman"/>
                <w:color w:val="C00000"/>
                <w:sz w:val="24"/>
                <w:szCs w:val="24"/>
                <w:lang w:val="en-US"/>
              </w:rPr>
              <w:t>稳定化技术工艺</w:t>
            </w:r>
            <w:r>
              <w:rPr>
                <w:rFonts w:hint="eastAsia" w:ascii="Times New Roman" w:hAnsi="Times New Roman" w:eastAsia="宋体" w:cs="Times New Roman"/>
                <w:color w:val="C00000"/>
                <w:sz w:val="24"/>
                <w:szCs w:val="24"/>
                <w:lang w:val="en-US"/>
              </w:rPr>
              <w:t>，</w:t>
            </w:r>
            <w:r>
              <w:rPr>
                <w:rFonts w:ascii="Times New Roman" w:hAnsi="Times New Roman" w:eastAsia="宋体" w:cs="Times New Roman"/>
                <w:color w:val="C00000"/>
                <w:sz w:val="24"/>
                <w:szCs w:val="24"/>
              </w:rPr>
              <w:t>飞灰稳定化达到《生活垃圾填埋场污染控制标准》（GB16889-2008）及《危险废物鉴别标准浸出毒性鉴别》（GB5085.3-2007）要求后</w:t>
            </w:r>
            <w:r>
              <w:rPr>
                <w:rFonts w:hint="eastAsia" w:ascii="Times New Roman" w:hAnsi="Times New Roman" w:eastAsia="宋体" w:cs="Times New Roman"/>
                <w:color w:val="C00000"/>
                <w:sz w:val="24"/>
                <w:szCs w:val="24"/>
                <w:lang w:val="en-US" w:eastAsia="zh-CN"/>
              </w:rPr>
              <w:t>暂存于本项目飞灰库。</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cs="Times New Roman"/>
                <w:b/>
                <w:color w:val="auto"/>
                <w:sz w:val="24"/>
                <w:highlight w:val="none"/>
                <w:lang w:val="en-US" w:eastAsia="zh-CN"/>
              </w:rPr>
            </w:pPr>
            <w:r>
              <w:rPr>
                <w:rFonts w:hint="eastAsia" w:cs="Times New Roman"/>
                <w:b/>
                <w:color w:val="auto"/>
                <w:sz w:val="24"/>
                <w:highlight w:val="none"/>
                <w:lang w:val="en-US" w:eastAsia="zh-CN"/>
              </w:rPr>
              <w:t>4.3螯合后飞灰浸出液成分分析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根据本公司</w:t>
            </w:r>
            <w:r>
              <w:rPr>
                <w:rFonts w:hint="eastAsia" w:cs="Times New Roman"/>
                <w:color w:val="auto"/>
                <w:sz w:val="24"/>
                <w:szCs w:val="24"/>
                <w:lang w:val="en-US" w:eastAsia="zh-CN"/>
              </w:rPr>
              <w:t>飞灰日常检测报告，该报告为</w:t>
            </w:r>
            <w:r>
              <w:rPr>
                <w:rFonts w:hint="eastAsia" w:ascii="Times New Roman" w:hAnsi="Times New Roman" w:eastAsia="宋体" w:cs="Times New Roman"/>
                <w:color w:val="auto"/>
                <w:sz w:val="24"/>
                <w:szCs w:val="24"/>
                <w:lang w:val="en-US" w:eastAsia="zh-CN"/>
              </w:rPr>
              <w:t>委托河南中天高科检测技术服务有限公司</w:t>
            </w:r>
            <w:r>
              <w:rPr>
                <w:rFonts w:hint="eastAsia" w:cs="Times New Roman"/>
                <w:color w:val="auto"/>
                <w:sz w:val="24"/>
                <w:szCs w:val="24"/>
                <w:lang w:val="en-US" w:eastAsia="zh-CN"/>
              </w:rPr>
              <w:t>对螯合后的飞灰浸出毒性检测结果（</w:t>
            </w:r>
            <w:r>
              <w:rPr>
                <w:rFonts w:hint="eastAsia" w:cs="Times New Roman"/>
                <w:color w:val="auto"/>
                <w:sz w:val="24"/>
                <w:szCs w:val="24"/>
                <w:highlight w:val="none"/>
                <w:lang w:val="en-US" w:eastAsia="zh-CN"/>
              </w:rPr>
              <w:t>见附件16</w:t>
            </w:r>
            <w:r>
              <w:rPr>
                <w:rFonts w:hint="eastAsia" w:cs="Times New Roman"/>
                <w:color w:val="auto"/>
                <w:sz w:val="24"/>
                <w:szCs w:val="24"/>
                <w:lang w:val="en-US" w:eastAsia="zh-CN"/>
              </w:rPr>
              <w:t>）如下：</w:t>
            </w:r>
          </w:p>
          <w:p>
            <w:pPr>
              <w:pStyle w:val="7"/>
              <w:numPr>
                <w:ilvl w:val="0"/>
                <w:numId w:val="0"/>
              </w:numPr>
              <w:spacing w:line="240" w:lineRule="auto"/>
              <w:ind w:leftChars="200"/>
              <w:jc w:val="center"/>
              <w:rPr>
                <w:rFonts w:hint="default" w:ascii="Times New Roman" w:hAnsi="Times New Roman" w:eastAsia="黑体" w:cs="Times New Roman"/>
                <w:b w:val="0"/>
                <w:color w:val="auto"/>
                <w:kern w:val="2"/>
                <w:sz w:val="24"/>
                <w:szCs w:val="24"/>
                <w:lang w:val="en-US" w:eastAsia="zh-CN" w:bidi="ar-SA"/>
              </w:rPr>
            </w:pPr>
            <w:r>
              <w:rPr>
                <w:rFonts w:hint="eastAsia" w:ascii="Times New Roman" w:hAnsi="Times New Roman" w:eastAsia="黑体" w:cs="Times New Roman"/>
                <w:b w:val="0"/>
                <w:color w:val="auto"/>
                <w:kern w:val="2"/>
                <w:sz w:val="24"/>
                <w:szCs w:val="24"/>
                <w:lang w:val="en-US" w:eastAsia="zh-CN" w:bidi="ar-SA"/>
              </w:rPr>
              <w:t>表</w:t>
            </w:r>
            <w:r>
              <w:rPr>
                <w:rFonts w:hint="eastAsia" w:eastAsia="黑体" w:cs="Times New Roman"/>
                <w:b w:val="0"/>
                <w:color w:val="auto"/>
                <w:kern w:val="2"/>
                <w:sz w:val="24"/>
                <w:szCs w:val="24"/>
                <w:lang w:val="en-US" w:eastAsia="zh-CN" w:bidi="ar-SA"/>
              </w:rPr>
              <w:t>10</w:t>
            </w:r>
            <w:r>
              <w:rPr>
                <w:rFonts w:hint="eastAsia" w:ascii="Times New Roman" w:hAnsi="Times New Roman" w:eastAsia="黑体" w:cs="Times New Roman"/>
                <w:b w:val="0"/>
                <w:color w:val="auto"/>
                <w:kern w:val="2"/>
                <w:sz w:val="24"/>
                <w:szCs w:val="24"/>
                <w:lang w:val="en-US" w:eastAsia="zh-CN" w:bidi="ar-SA"/>
              </w:rPr>
              <w:t xml:space="preserve"> </w:t>
            </w:r>
            <w:r>
              <w:rPr>
                <w:rFonts w:hint="eastAsia" w:eastAsia="黑体" w:cs="Times New Roman"/>
                <w:b w:val="0"/>
                <w:color w:val="auto"/>
                <w:kern w:val="2"/>
                <w:sz w:val="24"/>
                <w:szCs w:val="24"/>
                <w:lang w:val="en-US" w:eastAsia="zh-CN" w:bidi="ar-SA"/>
              </w:rPr>
              <w:t xml:space="preserve">     </w:t>
            </w:r>
            <w:r>
              <w:rPr>
                <w:rFonts w:hint="eastAsia" w:ascii="Times New Roman" w:hAnsi="Times New Roman" w:eastAsia="黑体" w:cs="Times New Roman"/>
                <w:b w:val="0"/>
                <w:color w:val="auto"/>
                <w:kern w:val="2"/>
                <w:sz w:val="24"/>
                <w:szCs w:val="24"/>
                <w:lang w:val="en-US" w:eastAsia="zh-CN" w:bidi="ar-SA"/>
              </w:rPr>
              <w:t>本项目</w:t>
            </w:r>
            <w:r>
              <w:rPr>
                <w:rFonts w:hint="eastAsia" w:eastAsia="黑体" w:cs="Times New Roman"/>
                <w:b w:val="0"/>
                <w:color w:val="auto"/>
                <w:kern w:val="2"/>
                <w:sz w:val="24"/>
                <w:szCs w:val="24"/>
                <w:lang w:val="en-US" w:eastAsia="zh-CN" w:bidi="ar-SA"/>
              </w:rPr>
              <w:t>飞灰浸出检测结果一览表</w:t>
            </w:r>
          </w:p>
          <w:tbl>
            <w:tblPr>
              <w:tblStyle w:val="29"/>
              <w:tblW w:w="83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2959"/>
              <w:gridCol w:w="4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10" w:type="dxa"/>
                  <w:gridSpan w:val="2"/>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cs="Times New Roman"/>
                      <w:b/>
                      <w:color w:val="auto"/>
                      <w:sz w:val="24"/>
                      <w:highlight w:val="none"/>
                      <w:vertAlign w:val="baseline"/>
                      <w:lang w:val="en-US" w:eastAsia="zh-CN"/>
                    </w:rPr>
                  </w:pPr>
                  <w:r>
                    <w:rPr>
                      <w:rFonts w:hint="eastAsia" w:ascii="Times New Roman" w:hAnsi="Times New Roman" w:cs="Times New Roman"/>
                      <w:color w:val="auto"/>
                      <w:szCs w:val="21"/>
                      <w:lang w:val="en-US" w:eastAsia="zh-CN"/>
                    </w:rPr>
                    <w:t>检测点位</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cs="Times New Roman"/>
                      <w:b/>
                      <w:color w:val="auto"/>
                      <w:sz w:val="24"/>
                      <w:highlight w:val="none"/>
                      <w:vertAlign w:val="baseline"/>
                      <w:lang w:val="en-US" w:eastAsia="zh-CN"/>
                    </w:rPr>
                  </w:pPr>
                  <w:r>
                    <w:rPr>
                      <w:rFonts w:hint="eastAsia" w:ascii="Times New Roman" w:hAnsi="Times New Roman" w:cs="Times New Roman"/>
                      <w:color w:val="auto"/>
                      <w:szCs w:val="21"/>
                      <w:lang w:val="en-US" w:eastAsia="zh-CN"/>
                    </w:rPr>
                    <w:t>螯合后混炼机飞灰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4110" w:type="dxa"/>
                  <w:gridSpan w:val="2"/>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采样时间</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2023.10.13  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4110" w:type="dxa"/>
                  <w:gridSpan w:val="2"/>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样品状态</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灰色、粉末状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151" w:type="dxa"/>
                  <w:vMerge w:val="restart"/>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检测因子</w:t>
                  </w: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汞（</w:t>
                  </w:r>
                  <w:r>
                    <w:rPr>
                      <w:rFonts w:hint="eastAsia" w:ascii="微软雅黑" w:hAnsi="微软雅黑" w:eastAsia="微软雅黑" w:cs="微软雅黑"/>
                      <w:color w:val="auto"/>
                      <w:szCs w:val="21"/>
                      <w:lang w:val="en-US" w:eastAsia="zh-CN"/>
                    </w:rPr>
                    <w:t>μ</w:t>
                  </w:r>
                  <w:r>
                    <w:rPr>
                      <w:rFonts w:hint="eastAsia" w:ascii="Times New Roman" w:hAnsi="Times New Roman" w:cs="Times New Roman"/>
                      <w:color w:val="auto"/>
                      <w:szCs w:val="21"/>
                      <w:lang w:val="en-US" w:eastAsia="zh-CN"/>
                    </w:rPr>
                    <w:t>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硒（mg/L）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铜（mg/L）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锌（mg/L）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铅（mg/L）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镉（mg/L）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镍（mg/L）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铍（mg/L）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9.74</w:t>
                  </w:r>
                  <w:r>
                    <w:rPr>
                      <w:rFonts w:hint="default" w:ascii="Arial" w:hAnsi="Arial" w:cs="Arial"/>
                      <w:color w:val="auto"/>
                      <w:szCs w:val="21"/>
                      <w:lang w:val="en-US" w:eastAsia="zh-CN"/>
                    </w:rPr>
                    <w:t>×</w:t>
                  </w:r>
                  <w:r>
                    <w:rPr>
                      <w:rFonts w:hint="eastAsia" w:ascii="Arial" w:hAnsi="Arial" w:cs="Arial"/>
                      <w:color w:val="auto"/>
                      <w:szCs w:val="21"/>
                      <w:lang w:val="en-US" w:eastAsia="zh-CN"/>
                    </w:rPr>
                    <w:t>10</w:t>
                  </w:r>
                  <w:r>
                    <w:rPr>
                      <w:rFonts w:hint="eastAsia" w:ascii="Arial" w:hAnsi="Arial" w:cs="Arial"/>
                      <w:color w:val="auto"/>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钡（mg/L）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砷（mg/L）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铬（mg/L）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1" w:type="dxa"/>
                  <w:vMerge w:val="continue"/>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Times New Roman" w:hAnsi="Times New Roman" w:cs="Times New Roman"/>
                      <w:color w:val="auto"/>
                      <w:szCs w:val="21"/>
                      <w:lang w:val="en-US" w:eastAsia="zh-CN"/>
                    </w:rPr>
                  </w:pPr>
                </w:p>
              </w:tc>
              <w:tc>
                <w:tcPr>
                  <w:tcW w:w="2959"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六价铬（mg/L）</w:t>
                  </w:r>
                </w:p>
              </w:tc>
              <w:tc>
                <w:tcPr>
                  <w:tcW w:w="4240" w:type="dxa"/>
                  <w:vAlign w:val="center"/>
                </w:tcPr>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0.078</w:t>
                  </w:r>
                </w:p>
              </w:tc>
            </w:tr>
          </w:tbl>
          <w:p>
            <w:pPr>
              <w:pStyle w:val="7"/>
              <w:numPr>
                <w:ilvl w:val="0"/>
                <w:numId w:val="0"/>
              </w:numPr>
              <w:spacing w:line="240" w:lineRule="auto"/>
              <w:ind w:leftChars="200"/>
              <w:jc w:val="center"/>
              <w:rPr>
                <w:rFonts w:hint="default" w:eastAsia="黑体" w:cs="Times New Roman"/>
                <w:b w:val="0"/>
                <w:color w:val="auto"/>
                <w:kern w:val="2"/>
                <w:sz w:val="24"/>
                <w:szCs w:val="24"/>
                <w:lang w:val="en-US" w:eastAsia="zh-CN" w:bidi="ar-SA"/>
              </w:rPr>
            </w:pPr>
            <w:r>
              <w:rPr>
                <w:rFonts w:hint="eastAsia" w:eastAsia="黑体" w:cs="Times New Roman"/>
                <w:b w:val="0"/>
                <w:color w:val="auto"/>
                <w:kern w:val="2"/>
                <w:sz w:val="24"/>
                <w:szCs w:val="24"/>
                <w:lang w:val="en-US" w:eastAsia="zh-CN" w:bidi="ar-SA"/>
              </w:rPr>
              <w:t>表11   飞灰二噁英类</w:t>
            </w:r>
            <w:r>
              <w:rPr>
                <w:rFonts w:hint="eastAsia" w:eastAsia="黑体" w:cs="Times New Roman"/>
                <w:b w:val="0"/>
                <w:color w:val="auto"/>
                <w:kern w:val="2"/>
                <w:sz w:val="24"/>
                <w:szCs w:val="24"/>
                <w:lang w:val="en-US" w:eastAsia="zh-CN" w:bidi="ar-SA"/>
              </w:rPr>
              <w:t>检测结果一览表</w:t>
            </w:r>
          </w:p>
          <w:tbl>
            <w:tblPr>
              <w:tblStyle w:val="29"/>
              <w:tblW w:w="83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2232"/>
              <w:gridCol w:w="1567"/>
              <w:gridCol w:w="1767"/>
              <w:gridCol w:w="1300"/>
              <w:gridCol w:w="1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23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样品类型</w:t>
                  </w:r>
                </w:p>
              </w:tc>
              <w:tc>
                <w:tcPr>
                  <w:tcW w:w="6118" w:type="dxa"/>
                  <w:gridSpan w:val="4"/>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样品编号</w:t>
                  </w: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GZK2303525201</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取样量（g）</w:t>
                  </w:r>
                </w:p>
              </w:tc>
              <w:tc>
                <w:tcPr>
                  <w:tcW w:w="2784" w:type="dxa"/>
                  <w:gridSpan w:val="2"/>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restart"/>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二噁英类</w:t>
                  </w: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检出限</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组份浓度</w:t>
                  </w:r>
                </w:p>
              </w:tc>
              <w:tc>
                <w:tcPr>
                  <w:tcW w:w="2784" w:type="dxa"/>
                  <w:gridSpan w:val="2"/>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毒性当量浓度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单位：</w:t>
                  </w:r>
                  <w:r>
                    <w:rPr>
                      <w:rFonts w:hint="eastAsia" w:ascii="微软雅黑" w:hAnsi="微软雅黑" w:eastAsia="微软雅黑" w:cs="微软雅黑"/>
                      <w:color w:val="auto"/>
                      <w:szCs w:val="21"/>
                      <w:lang w:val="en-US" w:eastAsia="zh-CN"/>
                    </w:rPr>
                    <w:t>μ</w:t>
                  </w:r>
                  <w:r>
                    <w:rPr>
                      <w:rFonts w:hint="eastAsia" w:ascii="Times New Roman" w:hAnsi="Times New Roman" w:cs="Times New Roman"/>
                      <w:color w:val="auto"/>
                      <w:szCs w:val="21"/>
                      <w:lang w:val="en-US" w:eastAsia="zh-CN"/>
                    </w:rPr>
                    <w:t>g/</w:t>
                  </w:r>
                  <w:r>
                    <w:rPr>
                      <w:rFonts w:hint="eastAsia" w:cs="Times New Roman"/>
                      <w:color w:val="auto"/>
                      <w:szCs w:val="21"/>
                      <w:lang w:val="en-US" w:eastAsia="zh-CN"/>
                    </w:rPr>
                    <w:t>kg</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单位：</w:t>
                  </w:r>
                  <w:r>
                    <w:rPr>
                      <w:rFonts w:hint="eastAsia" w:ascii="微软雅黑" w:hAnsi="微软雅黑" w:eastAsia="微软雅黑" w:cs="微软雅黑"/>
                      <w:color w:val="auto"/>
                      <w:szCs w:val="21"/>
                      <w:lang w:val="en-US" w:eastAsia="zh-CN"/>
                    </w:rPr>
                    <w:t>μ</w:t>
                  </w:r>
                  <w:r>
                    <w:rPr>
                      <w:rFonts w:hint="eastAsia" w:ascii="Times New Roman" w:hAnsi="Times New Roman" w:cs="Times New Roman"/>
                      <w:color w:val="auto"/>
                      <w:szCs w:val="21"/>
                      <w:lang w:val="en-US" w:eastAsia="zh-CN"/>
                    </w:rPr>
                    <w:t>g/</w:t>
                  </w:r>
                  <w:r>
                    <w:rPr>
                      <w:rFonts w:hint="eastAsia" w:cs="Times New Roman"/>
                      <w:color w:val="auto"/>
                      <w:szCs w:val="21"/>
                      <w:lang w:val="en-US" w:eastAsia="zh-CN"/>
                    </w:rPr>
                    <w:t>kg</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1-TEF</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s="Times New Roman"/>
                      <w:color w:val="auto"/>
                      <w:szCs w:val="21"/>
                      <w:lang w:val="en-US" w:eastAsia="zh-CN"/>
                    </w:rPr>
                  </w:pPr>
                  <w:r>
                    <w:rPr>
                      <w:rFonts w:hint="eastAsia" w:cs="Times New Roman"/>
                      <w:color w:val="auto"/>
                      <w:szCs w:val="21"/>
                      <w:lang w:val="en-US" w:eastAsia="zh-CN"/>
                    </w:rPr>
                    <w:t>单位：</w:t>
                  </w:r>
                  <w:r>
                    <w:rPr>
                      <w:rFonts w:hint="eastAsia" w:ascii="微软雅黑" w:hAnsi="微软雅黑" w:eastAsia="微软雅黑" w:cs="微软雅黑"/>
                      <w:color w:val="auto"/>
                      <w:szCs w:val="21"/>
                      <w:lang w:val="en-US" w:eastAsia="zh-CN"/>
                    </w:rPr>
                    <w:t>μ</w:t>
                  </w:r>
                  <w:r>
                    <w:rPr>
                      <w:rFonts w:hint="eastAsia" w:ascii="Times New Roman" w:hAnsi="Times New Roman" w:cs="Times New Roman"/>
                      <w:color w:val="auto"/>
                      <w:szCs w:val="21"/>
                      <w:lang w:val="en-US" w:eastAsia="zh-CN"/>
                    </w:rPr>
                    <w:t>g</w:t>
                  </w:r>
                  <w:r>
                    <w:rPr>
                      <w:rFonts w:hint="eastAsia" w:cs="Times New Roman"/>
                      <w:color w:val="auto"/>
                      <w:szCs w:val="21"/>
                      <w:lang w:val="en-US" w:eastAsia="zh-CN"/>
                    </w:rPr>
                    <w:t>TEG</w:t>
                  </w:r>
                  <w:r>
                    <w:rPr>
                      <w:rFonts w:hint="eastAsia" w:ascii="Times New Roman" w:hAnsi="Times New Roman" w:cs="Times New Roman"/>
                      <w:color w:val="auto"/>
                      <w:szCs w:val="21"/>
                      <w:lang w:val="en-US" w:eastAsia="zh-CN"/>
                    </w:rPr>
                    <w:t>/</w:t>
                  </w:r>
                  <w:r>
                    <w:rPr>
                      <w:rFonts w:hint="eastAsia" w:cs="Times New Roman"/>
                      <w:color w:val="auto"/>
                      <w:szCs w:val="21"/>
                      <w:lang w:val="en-US" w:eastAsia="zh-CN"/>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restart"/>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多氯代二苯并-对-二噁英</w:t>
                  </w: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0.0000094</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0.0000094）</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0.000037</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0.000037）</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0.5</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0.000037</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0.000037）</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0.000056</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0.000056）</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0.000056</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0.000056）</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0.000037</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0.000037）</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0.000019</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0.063</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0.001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restart"/>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多氯代二苯并呋喃</w:t>
                  </w: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0.000019</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0.0044</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0.000019</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0.0040</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0.05</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0.000017</w:t>
                  </w: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0.0046</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0.5</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0.000019</w:t>
                  </w:r>
                </w:p>
              </w:tc>
              <w:tc>
                <w:tcPr>
                  <w:tcW w:w="17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0.000019）</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0.000075</w:t>
                  </w:r>
                </w:p>
              </w:tc>
              <w:tc>
                <w:tcPr>
                  <w:tcW w:w="17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0.000075）</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0.000037</w:t>
                  </w:r>
                </w:p>
              </w:tc>
              <w:tc>
                <w:tcPr>
                  <w:tcW w:w="17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0.000037）</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0.000056</w:t>
                  </w:r>
                </w:p>
              </w:tc>
              <w:tc>
                <w:tcPr>
                  <w:tcW w:w="17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0.000056）</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0.000037</w:t>
                  </w:r>
                </w:p>
              </w:tc>
              <w:tc>
                <w:tcPr>
                  <w:tcW w:w="17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0.000037）</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0.000037</w:t>
                  </w:r>
                </w:p>
              </w:tc>
              <w:tc>
                <w:tcPr>
                  <w:tcW w:w="17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0.000037）</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0.000037</w:t>
                  </w:r>
                </w:p>
              </w:tc>
              <w:tc>
                <w:tcPr>
                  <w:tcW w:w="176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N.D.（</w:t>
                  </w:r>
                  <w:r>
                    <w:rPr>
                      <w:rFonts w:hint="eastAsia" w:ascii="仿宋" w:hAnsi="仿宋" w:eastAsia="仿宋" w:cs="仿宋"/>
                      <w:color w:val="auto"/>
                      <w:szCs w:val="21"/>
                      <w:lang w:val="en-US" w:eastAsia="zh-CN"/>
                    </w:rPr>
                    <w:t>﹤</w:t>
                  </w:r>
                  <w:r>
                    <w:rPr>
                      <w:rFonts w:hint="eastAsia" w:cs="Times New Roman"/>
                      <w:color w:val="auto"/>
                      <w:szCs w:val="21"/>
                      <w:lang w:val="en-US" w:eastAsia="zh-CN"/>
                    </w:rPr>
                    <w:t>0.000037）</w:t>
                  </w: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default" w:ascii="Arial" w:hAnsi="Arial" w:cs="Arial"/>
                      <w:color w:val="auto"/>
                      <w:szCs w:val="21"/>
                      <w:lang w:val="en-US" w:eastAsia="zh-CN"/>
                    </w:rPr>
                    <w:t>×</w:t>
                  </w:r>
                  <w:r>
                    <w:rPr>
                      <w:rFonts w:hint="eastAsia" w:cs="Times New Roman"/>
                      <w:color w:val="auto"/>
                      <w:szCs w:val="21"/>
                      <w:lang w:val="en-US" w:eastAsia="zh-CN"/>
                    </w:rPr>
                    <w:t>0.001</w:t>
                  </w: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232" w:type="dxa"/>
                  <w:vMerge w:val="continue"/>
                  <w:tcBorders/>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5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767"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300"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p>
              </w:tc>
              <w:tc>
                <w:tcPr>
                  <w:tcW w:w="1484"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0.00000</w:t>
                  </w: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cs="Times New Roman"/>
                <w:b/>
                <w:color w:val="auto"/>
                <w:sz w:val="24"/>
                <w:highlight w:val="none"/>
                <w:lang w:val="en-US" w:eastAsia="zh-CN"/>
              </w:rPr>
            </w:pPr>
            <w:r>
              <w:rPr>
                <w:rFonts w:hint="eastAsia" w:cs="Times New Roman"/>
                <w:b/>
                <w:color w:val="auto"/>
                <w:sz w:val="24"/>
                <w:highlight w:val="none"/>
                <w:lang w:val="en-US" w:eastAsia="zh-CN"/>
              </w:rPr>
              <w:t>本公司飞灰日常检测频次及结果为：</w:t>
            </w:r>
            <w:r>
              <w:rPr>
                <w:rFonts w:hint="eastAsia" w:ascii="Times New Roman" w:hAnsi="Times New Roman" w:eastAsia="宋体" w:cs="Times New Roman"/>
                <w:color w:val="auto"/>
                <w:sz w:val="24"/>
                <w:szCs w:val="24"/>
                <w:lang w:val="en-US" w:eastAsia="zh-CN"/>
              </w:rPr>
              <w:t>飞灰处理产物中</w:t>
            </w:r>
            <w:r>
              <w:rPr>
                <w:rFonts w:hint="eastAsia" w:cs="Times New Roman"/>
                <w:color w:val="auto"/>
                <w:sz w:val="24"/>
                <w:szCs w:val="24"/>
                <w:lang w:val="en-US" w:eastAsia="zh-CN"/>
              </w:rPr>
              <w:t>含水率1次/班，</w:t>
            </w:r>
            <w:r>
              <w:rPr>
                <w:rFonts w:hint="eastAsia" w:ascii="Times New Roman" w:hAnsi="Times New Roman" w:eastAsia="宋体" w:cs="Times New Roman"/>
                <w:color w:val="auto"/>
                <w:sz w:val="24"/>
                <w:szCs w:val="24"/>
                <w:lang w:val="en-US" w:eastAsia="zh-CN"/>
              </w:rPr>
              <w:t>重金属浸出浓度监测频次</w:t>
            </w:r>
            <w:r>
              <w:rPr>
                <w:rFonts w:hint="eastAsia" w:cs="Times New Roman"/>
                <w:color w:val="auto"/>
                <w:sz w:val="24"/>
                <w:szCs w:val="24"/>
                <w:lang w:val="en-US" w:eastAsia="zh-CN"/>
              </w:rPr>
              <w:t>为：</w:t>
            </w:r>
            <w:r>
              <w:rPr>
                <w:rFonts w:hint="eastAsia" w:ascii="Times New Roman" w:hAnsi="Times New Roman" w:eastAsia="宋体" w:cs="Times New Roman"/>
                <w:color w:val="auto"/>
                <w:sz w:val="24"/>
                <w:szCs w:val="24"/>
                <w:lang w:val="en-US" w:eastAsia="zh-CN"/>
              </w:rPr>
              <w:t>1次</w:t>
            </w:r>
            <w:r>
              <w:rPr>
                <w:rFonts w:hint="eastAsia" w:cs="Times New Roman"/>
                <w:color w:val="auto"/>
                <w:sz w:val="24"/>
                <w:szCs w:val="24"/>
                <w:lang w:val="en-US" w:eastAsia="zh-CN"/>
              </w:rPr>
              <w:t>/月</w:t>
            </w:r>
            <w:r>
              <w:rPr>
                <w:rFonts w:hint="eastAsia" w:ascii="Times New Roman" w:hAnsi="Times New Roman" w:eastAsia="宋体" w:cs="Times New Roman"/>
                <w:color w:val="auto"/>
                <w:sz w:val="24"/>
                <w:szCs w:val="24"/>
                <w:lang w:val="en-US" w:eastAsia="zh-CN"/>
              </w:rPr>
              <w:t>，飞灰处理产物中</w:t>
            </w:r>
            <w:r>
              <w:rPr>
                <w:rFonts w:hint="eastAsia" w:cs="Times New Roman"/>
                <w:color w:val="C00000"/>
                <w:sz w:val="24"/>
                <w:szCs w:val="24"/>
                <w:lang w:val="en-US" w:eastAsia="zh-CN"/>
              </w:rPr>
              <w:t>二噁英</w:t>
            </w:r>
            <w:r>
              <w:rPr>
                <w:rFonts w:hint="eastAsia" w:ascii="Times New Roman" w:hAnsi="Times New Roman" w:eastAsia="宋体" w:cs="Times New Roman"/>
                <w:color w:val="auto"/>
                <w:sz w:val="24"/>
                <w:szCs w:val="24"/>
                <w:lang w:val="en-US" w:eastAsia="zh-CN"/>
              </w:rPr>
              <w:t>类的监测频次</w:t>
            </w:r>
            <w:r>
              <w:rPr>
                <w:rFonts w:hint="eastAsia" w:cs="Times New Roman"/>
                <w:color w:val="auto"/>
                <w:sz w:val="24"/>
                <w:szCs w:val="24"/>
                <w:lang w:val="en-US" w:eastAsia="zh-CN"/>
              </w:rPr>
              <w:t>为1次</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季度，日常</w:t>
            </w:r>
            <w:r>
              <w:rPr>
                <w:rFonts w:hint="eastAsia" w:cs="Times New Roman"/>
                <w:bCs/>
                <w:color w:val="auto"/>
                <w:sz w:val="24"/>
                <w:szCs w:val="24"/>
                <w:u w:val="none"/>
                <w:lang w:val="en-US" w:eastAsia="zh-CN"/>
              </w:rPr>
              <w:t>飞灰经螯合剂稳定化处理后浸出毒性满足《生活垃圾填埋场污染控制标准》（GB16889-2008）要求。</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cs="Times New Roman"/>
                <w:b/>
                <w:color w:val="auto"/>
                <w:sz w:val="24"/>
                <w:highlight w:val="none"/>
                <w:lang w:val="en-US" w:eastAsia="zh-CN"/>
              </w:rPr>
            </w:pPr>
            <w:r>
              <w:rPr>
                <w:rFonts w:hint="eastAsia" w:cs="Times New Roman"/>
                <w:b/>
                <w:color w:val="auto"/>
                <w:sz w:val="24"/>
                <w:highlight w:val="none"/>
                <w:lang w:val="en-US" w:eastAsia="zh-CN"/>
              </w:rPr>
              <w:t>4.4入库及出库条件</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C00000"/>
                <w:sz w:val="24"/>
                <w:szCs w:val="24"/>
                <w:lang w:val="en-US" w:eastAsia="zh-CN"/>
              </w:rPr>
            </w:pPr>
            <w:r>
              <w:rPr>
                <w:rFonts w:hint="eastAsia" w:ascii="Times New Roman" w:hAnsi="Times New Roman" w:eastAsia="宋体" w:cs="Times New Roman"/>
                <w:color w:val="auto"/>
                <w:sz w:val="24"/>
                <w:szCs w:val="24"/>
                <w:lang w:val="en-US" w:eastAsia="zh-CN"/>
              </w:rPr>
              <w:t>鲁山县生活垃圾焚烧发电项目产生的飞灰在发电厂内进行固化稳定</w:t>
            </w:r>
            <w:bookmarkStart w:id="3" w:name="_GoBack"/>
            <w:bookmarkEnd w:id="3"/>
            <w:r>
              <w:rPr>
                <w:rFonts w:hint="eastAsia" w:ascii="Times New Roman" w:hAnsi="Times New Roman" w:eastAsia="宋体" w:cs="Times New Roman"/>
                <w:color w:val="auto"/>
                <w:sz w:val="24"/>
                <w:szCs w:val="24"/>
                <w:lang w:val="en-US" w:eastAsia="zh-CN"/>
              </w:rPr>
              <w:t>化处理，再由</w:t>
            </w:r>
            <w:r>
              <w:rPr>
                <w:rFonts w:hint="eastAsia" w:cs="Times New Roman"/>
                <w:color w:val="auto"/>
                <w:sz w:val="24"/>
                <w:szCs w:val="24"/>
                <w:highlight w:val="none"/>
                <w:shd w:val="clear"/>
                <w:lang w:val="en-US" w:eastAsia="zh-CN"/>
              </w:rPr>
              <w:t>鲁山</w:t>
            </w:r>
            <w:r>
              <w:rPr>
                <w:rFonts w:hint="eastAsia" w:cs="Times New Roman"/>
                <w:color w:val="auto"/>
                <w:sz w:val="24"/>
                <w:szCs w:val="24"/>
                <w:lang w:val="en-US" w:eastAsia="zh-CN"/>
              </w:rPr>
              <w:t>首创环保能源有限公司</w:t>
            </w:r>
            <w:r>
              <w:rPr>
                <w:rFonts w:hint="eastAsia" w:ascii="Times New Roman" w:hAnsi="Times New Roman" w:eastAsia="宋体" w:cs="Times New Roman"/>
                <w:color w:val="auto"/>
                <w:sz w:val="24"/>
                <w:szCs w:val="24"/>
                <w:lang w:val="en-US" w:eastAsia="zh-CN"/>
              </w:rPr>
              <w:t>运输至飞灰贮存库，</w:t>
            </w:r>
            <w:r>
              <w:rPr>
                <w:rFonts w:hint="eastAsia" w:cs="Times New Roman"/>
                <w:color w:val="auto"/>
                <w:sz w:val="24"/>
                <w:szCs w:val="24"/>
                <w:lang w:val="en-US" w:eastAsia="zh-CN"/>
              </w:rPr>
              <w:t>入库满足飞灰包装袋密闭，无破损，表面干净等要求，出库时</w:t>
            </w:r>
            <w:r>
              <w:rPr>
                <w:rFonts w:hint="eastAsia" w:ascii="Times New Roman" w:hAnsi="Times New Roman" w:eastAsia="宋体" w:cs="Times New Roman"/>
                <w:color w:val="auto"/>
                <w:sz w:val="24"/>
                <w:szCs w:val="24"/>
                <w:lang w:val="en-US" w:eastAsia="zh-CN"/>
              </w:rPr>
              <w:t>每批次螯合飞灰固化物均进行了抽样检查，且每月的自行监测也均委托第三方有资质单位对飞灰固化物进行检测，满足检测要求后方可进行转运（检测报告见附件</w:t>
            </w:r>
            <w:r>
              <w:rPr>
                <w:rFonts w:hint="eastAsia" w:cs="Times New Roman"/>
                <w:color w:val="auto"/>
                <w:sz w:val="24"/>
                <w:szCs w:val="24"/>
                <w:lang w:val="en-US" w:eastAsia="zh-CN"/>
              </w:rPr>
              <w:t>16中检测报告</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要求如下：</w:t>
            </w:r>
            <w:r>
              <w:rPr>
                <w:rFonts w:hint="eastAsia" w:ascii="Times New Roman" w:hAnsi="Times New Roman" w:eastAsia="宋体" w:cs="Times New Roman"/>
                <w:color w:val="auto"/>
                <w:sz w:val="24"/>
                <w:szCs w:val="24"/>
                <w:lang w:val="en-US" w:eastAsia="zh-CN"/>
              </w:rPr>
              <w:t>（1）根据《</w:t>
            </w:r>
            <w:r>
              <w:rPr>
                <w:rFonts w:hint="eastAsia" w:cs="Times New Roman"/>
                <w:color w:val="auto"/>
                <w:sz w:val="24"/>
                <w:szCs w:val="24"/>
                <w:lang w:val="en-US" w:eastAsia="zh-CN"/>
              </w:rPr>
              <w:t>固体废物浸出毒性浸出方法硫酸硝酸法</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highlight w:val="none"/>
                <w:lang w:val="en-US" w:eastAsia="zh-CN"/>
              </w:rPr>
              <w:t xml:space="preserve"> HJ/T 299</w:t>
            </w:r>
            <w:r>
              <w:rPr>
                <w:rFonts w:hint="eastAsia" w:cs="Times New Roman"/>
                <w:color w:val="auto"/>
                <w:sz w:val="24"/>
                <w:szCs w:val="24"/>
                <w:highlight w:val="none"/>
                <w:lang w:val="en-US" w:eastAsia="zh-CN"/>
              </w:rPr>
              <w:t>-2007</w:t>
            </w:r>
            <w:r>
              <w:rPr>
                <w:rFonts w:hint="eastAsia" w:ascii="Times New Roman" w:hAnsi="Times New Roman" w:eastAsia="宋体" w:cs="Times New Roman"/>
                <w:color w:val="auto"/>
                <w:sz w:val="24"/>
                <w:szCs w:val="24"/>
                <w:highlight w:val="none"/>
                <w:lang w:val="en-US" w:eastAsia="zh-CN"/>
              </w:rPr>
              <w:t xml:space="preserve"> 制备</w:t>
            </w:r>
            <w:r>
              <w:rPr>
                <w:rFonts w:hint="eastAsia" w:ascii="Times New Roman" w:hAnsi="Times New Roman" w:eastAsia="宋体" w:cs="Times New Roman"/>
                <w:color w:val="auto"/>
                <w:sz w:val="24"/>
                <w:szCs w:val="24"/>
                <w:lang w:val="en-US" w:eastAsia="zh-CN"/>
              </w:rPr>
              <w:t>的浸出液中有害成分浓度不超过允许填埋控制限值；（2）根据 GB/T 15555.12 测得浸出液pH 值在7.0-12.0 之间；（3）含水率低于 60%；（4）水溶性盐总量小于 10%，测定方法按照NY/T 1121.16 执行，待国家发布固体废物中水溶性盐总量的测定方法后执行新的监测方法标准；（5）有机质含量小于 5%，测定方法按照</w:t>
            </w:r>
            <w:r>
              <w:rPr>
                <w:rFonts w:hint="eastAsia" w:ascii="微软雅黑" w:hAnsi="微软雅黑" w:eastAsia="微软雅黑" w:cs="微软雅黑"/>
                <w:color w:val="auto"/>
                <w:sz w:val="24"/>
                <w:szCs w:val="24"/>
                <w:lang w:val="en-US" w:eastAsia="zh-CN"/>
              </w:rPr>
              <w:t>《</w:t>
            </w:r>
            <w:r>
              <w:rPr>
                <w:rFonts w:hint="eastAsia" w:ascii="Times New Roman" w:hAnsi="Times New Roman" w:eastAsia="宋体" w:cs="Times New Roman"/>
                <w:color w:val="auto"/>
                <w:sz w:val="24"/>
                <w:szCs w:val="24"/>
                <w:lang w:val="en-US" w:eastAsia="zh-CN"/>
              </w:rPr>
              <w:t>固体废物有机质的测定灼烧减量法</w:t>
            </w:r>
            <w:r>
              <w:rPr>
                <w:rFonts w:hint="eastAsia" w:ascii="微软雅黑" w:hAnsi="微软雅黑" w:eastAsia="微软雅黑" w:cs="微软雅黑"/>
                <w:color w:val="auto"/>
                <w:sz w:val="24"/>
                <w:szCs w:val="24"/>
                <w:lang w:val="en-US" w:eastAsia="zh-CN"/>
              </w:rPr>
              <w:t>》</w:t>
            </w:r>
            <w:r>
              <w:rPr>
                <w:rFonts w:hint="eastAsia" w:ascii="Times New Roman" w:hAnsi="Times New Roman" w:eastAsia="宋体" w:cs="Times New Roman"/>
                <w:color w:val="auto"/>
                <w:sz w:val="24"/>
                <w:szCs w:val="24"/>
                <w:highlight w:val="none"/>
                <w:lang w:val="en-US" w:eastAsia="zh-CN"/>
              </w:rPr>
              <w:t>HJ761</w:t>
            </w:r>
            <w:r>
              <w:rPr>
                <w:rFonts w:hint="eastAsia" w:cs="Times New Roman"/>
                <w:color w:val="auto"/>
                <w:sz w:val="24"/>
                <w:szCs w:val="24"/>
                <w:highlight w:val="none"/>
                <w:lang w:val="en-US" w:eastAsia="zh-CN"/>
              </w:rPr>
              <w:t>-2015</w:t>
            </w:r>
            <w:r>
              <w:rPr>
                <w:rFonts w:hint="eastAsia" w:ascii="Times New Roman" w:hAnsi="Times New Roman" w:eastAsia="宋体" w:cs="Times New Roman"/>
                <w:color w:val="auto"/>
                <w:sz w:val="24"/>
                <w:szCs w:val="24"/>
                <w:lang w:val="en-US" w:eastAsia="zh-CN"/>
              </w:rPr>
              <w:t xml:space="preserve"> 执行；（6）不再具有反应性、易燃性；（7）进入贮存仓库的飞灰处理产物应密封包装或成型化；</w:t>
            </w:r>
            <w:r>
              <w:rPr>
                <w:rFonts w:hint="eastAsia" w:ascii="Times New Roman" w:hAnsi="Times New Roman" w:eastAsia="宋体" w:cs="Times New Roman"/>
                <w:color w:val="C00000"/>
                <w:sz w:val="24"/>
                <w:szCs w:val="24"/>
                <w:lang w:val="en-US" w:eastAsia="zh-CN"/>
              </w:rPr>
              <w:t>（8）飞灰处理产物中重金属浸出浓度监测频次</w:t>
            </w:r>
            <w:r>
              <w:rPr>
                <w:rFonts w:hint="eastAsia" w:cs="Times New Roman"/>
                <w:color w:val="C00000"/>
                <w:sz w:val="24"/>
                <w:szCs w:val="24"/>
                <w:lang w:val="en-US" w:eastAsia="zh-CN"/>
              </w:rPr>
              <w:t>为：</w:t>
            </w:r>
            <w:r>
              <w:rPr>
                <w:rFonts w:hint="eastAsia" w:ascii="Times New Roman" w:hAnsi="Times New Roman" w:eastAsia="宋体" w:cs="Times New Roman"/>
                <w:color w:val="C00000"/>
                <w:sz w:val="24"/>
                <w:szCs w:val="24"/>
                <w:lang w:val="en-US" w:eastAsia="zh-CN"/>
              </w:rPr>
              <w:t>1次</w:t>
            </w:r>
            <w:r>
              <w:rPr>
                <w:rFonts w:hint="eastAsia" w:cs="Times New Roman"/>
                <w:color w:val="C00000"/>
                <w:sz w:val="24"/>
                <w:szCs w:val="24"/>
                <w:lang w:val="en-US" w:eastAsia="zh-CN"/>
              </w:rPr>
              <w:t>/月</w:t>
            </w:r>
            <w:r>
              <w:rPr>
                <w:rFonts w:hint="eastAsia" w:ascii="Times New Roman" w:hAnsi="Times New Roman" w:eastAsia="宋体" w:cs="Times New Roman"/>
                <w:color w:val="C00000"/>
                <w:sz w:val="24"/>
                <w:szCs w:val="24"/>
                <w:lang w:val="en-US" w:eastAsia="zh-CN"/>
              </w:rPr>
              <w:t>，飞灰处理产物中</w:t>
            </w:r>
            <w:r>
              <w:rPr>
                <w:rFonts w:hint="eastAsia" w:cs="Times New Roman"/>
                <w:color w:val="C00000"/>
                <w:sz w:val="24"/>
                <w:szCs w:val="24"/>
                <w:lang w:val="en-US" w:eastAsia="zh-CN"/>
              </w:rPr>
              <w:t>二噁英</w:t>
            </w:r>
            <w:r>
              <w:rPr>
                <w:rFonts w:hint="eastAsia" w:ascii="Times New Roman" w:hAnsi="Times New Roman" w:eastAsia="宋体" w:cs="Times New Roman"/>
                <w:color w:val="C00000"/>
                <w:sz w:val="24"/>
                <w:szCs w:val="24"/>
                <w:lang w:val="en-US" w:eastAsia="zh-CN"/>
              </w:rPr>
              <w:t>类的监测频次</w:t>
            </w:r>
            <w:r>
              <w:rPr>
                <w:rFonts w:hint="eastAsia" w:cs="Times New Roman"/>
                <w:color w:val="C00000"/>
                <w:sz w:val="24"/>
                <w:szCs w:val="24"/>
                <w:lang w:val="en-US" w:eastAsia="zh-CN"/>
              </w:rPr>
              <w:t>为1次</w:t>
            </w:r>
            <w:r>
              <w:rPr>
                <w:rFonts w:hint="eastAsia" w:ascii="Times New Roman" w:hAnsi="Times New Roman" w:eastAsia="宋体" w:cs="Times New Roman"/>
                <w:color w:val="C00000"/>
                <w:sz w:val="24"/>
                <w:szCs w:val="24"/>
                <w:lang w:val="en-US" w:eastAsia="zh-CN"/>
              </w:rPr>
              <w:t>/</w:t>
            </w:r>
            <w:r>
              <w:rPr>
                <w:rFonts w:hint="eastAsia" w:cs="Times New Roman"/>
                <w:color w:val="C00000"/>
                <w:sz w:val="24"/>
                <w:szCs w:val="24"/>
                <w:lang w:val="en-US" w:eastAsia="zh-CN"/>
              </w:rPr>
              <w:t>季度</w:t>
            </w:r>
            <w:r>
              <w:rPr>
                <w:rFonts w:hint="eastAsia" w:ascii="Times New Roman" w:hAnsi="Times New Roman" w:eastAsia="宋体" w:cs="Times New Roman"/>
                <w:color w:val="C00000"/>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2" w:firstLineChars="200"/>
              <w:textAlignment w:val="auto"/>
              <w:rPr>
                <w:rFonts w:hint="eastAsia" w:cs="Times New Roman"/>
                <w:b/>
                <w:color w:val="auto"/>
                <w:sz w:val="24"/>
                <w:highlight w:val="none"/>
                <w:lang w:val="en-US" w:eastAsia="zh-CN"/>
              </w:rPr>
            </w:pPr>
            <w:r>
              <w:rPr>
                <w:rFonts w:hint="eastAsia" w:cs="Times New Roman"/>
                <w:b/>
                <w:color w:val="auto"/>
                <w:sz w:val="24"/>
                <w:highlight w:val="none"/>
                <w:lang w:val="en-US" w:eastAsia="zh-CN"/>
              </w:rPr>
              <w:t>4.5飞灰转运管理要求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本项目危险废物的贮存范围主要为鲁山县生活垃圾焚烧发电项目产生的飞灰。</w:t>
            </w:r>
            <w:r>
              <w:rPr>
                <w:rFonts w:hint="eastAsia" w:ascii="Times New Roman" w:hAnsi="Times New Roman" w:cs="Times New Roman"/>
                <w:color w:val="auto"/>
                <w:sz w:val="24"/>
                <w:szCs w:val="24"/>
                <w:lang w:val="en-US" w:eastAsia="zh-CN"/>
              </w:rPr>
              <w:t>根据</w:t>
            </w:r>
            <w:r>
              <w:rPr>
                <w:rFonts w:hint="eastAsia" w:ascii="Times New Roman" w:hAnsi="Times New Roman" w:eastAsia="宋体" w:cs="Times New Roman"/>
                <w:color w:val="auto"/>
                <w:sz w:val="24"/>
                <w:szCs w:val="24"/>
                <w:lang w:val="en-US" w:eastAsia="zh-CN"/>
              </w:rPr>
              <w:t>《危险废物名录》（2021）</w:t>
            </w:r>
            <w:r>
              <w:rPr>
                <w:rFonts w:hint="eastAsia" w:ascii="Times New Roman" w:hAnsi="Times New Roman" w:cs="Times New Roman"/>
                <w:color w:val="auto"/>
                <w:sz w:val="24"/>
                <w:szCs w:val="24"/>
                <w:lang w:val="en-US" w:eastAsia="zh-CN"/>
              </w:rPr>
              <w:t>，本项目飞灰属于HW18焚烧处置残渣，代码为772-002-18，该名录附录中危险废物豁免管理清单中规定：飞灰经处理后满足《生活垃圾填埋场污染控制标准》（</w:t>
            </w:r>
            <w:r>
              <w:rPr>
                <w:rFonts w:hint="eastAsia" w:ascii="Times New Roman" w:hAnsi="Times New Roman" w:cs="Times New Roman"/>
                <w:color w:val="auto"/>
                <w:sz w:val="24"/>
                <w:szCs w:val="24"/>
                <w:highlight w:val="none"/>
                <w:lang w:val="en-US" w:eastAsia="zh-CN"/>
              </w:rPr>
              <w:t>GB16889</w:t>
            </w:r>
            <w:r>
              <w:rPr>
                <w:rFonts w:hint="eastAsia" w:cs="Times New Roman"/>
                <w:color w:val="auto"/>
                <w:sz w:val="24"/>
                <w:szCs w:val="24"/>
                <w:highlight w:val="none"/>
                <w:lang w:val="en-US" w:eastAsia="zh-CN"/>
              </w:rPr>
              <w:t>-2008</w:t>
            </w:r>
            <w:r>
              <w:rPr>
                <w:rFonts w:hint="eastAsia" w:ascii="Times New Roman" w:hAnsi="Times New Roman" w:cs="Times New Roman"/>
                <w:color w:val="auto"/>
                <w:sz w:val="24"/>
                <w:szCs w:val="24"/>
                <w:lang w:val="en-US" w:eastAsia="zh-CN"/>
              </w:rPr>
              <w:t>）要求，因此本项目</w:t>
            </w:r>
            <w:r>
              <w:rPr>
                <w:rFonts w:hint="eastAsia" w:cs="Times New Roman"/>
                <w:color w:val="auto"/>
                <w:sz w:val="24"/>
                <w:szCs w:val="24"/>
                <w:lang w:val="en-US" w:eastAsia="zh-CN"/>
              </w:rPr>
              <w:t>飞灰</w:t>
            </w:r>
            <w:r>
              <w:rPr>
                <w:rFonts w:hint="eastAsia" w:ascii="Times New Roman" w:hAnsi="Times New Roman" w:cs="Times New Roman"/>
                <w:color w:val="auto"/>
                <w:sz w:val="24"/>
                <w:szCs w:val="24"/>
                <w:lang w:val="en-US" w:eastAsia="zh-CN"/>
              </w:rPr>
              <w:t>运输工具需要满足防雨、防渗漏、防遗撒要求</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处置过程满足《生活垃圾填埋场污染控制标准》（</w:t>
            </w:r>
            <w:r>
              <w:rPr>
                <w:rFonts w:hint="eastAsia" w:ascii="Times New Roman" w:hAnsi="Times New Roman" w:cs="Times New Roman"/>
                <w:color w:val="auto"/>
                <w:sz w:val="24"/>
                <w:szCs w:val="24"/>
                <w:highlight w:val="none"/>
                <w:lang w:val="en-US" w:eastAsia="zh-CN"/>
              </w:rPr>
              <w:t>GB16889</w:t>
            </w:r>
            <w:r>
              <w:rPr>
                <w:rFonts w:hint="eastAsia" w:cs="Times New Roman"/>
                <w:color w:val="auto"/>
                <w:sz w:val="24"/>
                <w:szCs w:val="24"/>
                <w:highlight w:val="none"/>
                <w:lang w:val="en-US" w:eastAsia="zh-CN"/>
              </w:rPr>
              <w:t>-2008</w:t>
            </w:r>
            <w:r>
              <w:rPr>
                <w:rFonts w:hint="eastAsia"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u w:val="single"/>
                <w:lang w:val="en-US" w:eastAsia="zh-CN"/>
              </w:rPr>
              <w:t>要求</w:t>
            </w:r>
            <w:r>
              <w:rPr>
                <w:rFonts w:hint="eastAsia"/>
                <w:lang w:eastAsia="zh-CN"/>
              </w:rPr>
              <w:t>，</w:t>
            </w:r>
            <w:r>
              <w:rPr>
                <w:rFonts w:hint="eastAsia" w:ascii="Times New Roman" w:hAnsi="Times New Roman" w:cs="Times New Roman"/>
                <w:color w:val="auto"/>
                <w:sz w:val="24"/>
                <w:szCs w:val="24"/>
                <w:u w:val="single"/>
                <w:lang w:val="en-US" w:eastAsia="zh-CN"/>
              </w:rPr>
              <w:t>进入</w:t>
            </w:r>
            <w:r>
              <w:rPr>
                <w:rFonts w:hint="eastAsia" w:cs="Times New Roman"/>
                <w:color w:val="auto"/>
                <w:sz w:val="24"/>
                <w:szCs w:val="24"/>
                <w:u w:val="single"/>
                <w:lang w:val="en-US" w:eastAsia="zh-CN"/>
              </w:rPr>
              <w:t>本公司</w:t>
            </w:r>
            <w:r>
              <w:rPr>
                <w:rFonts w:hint="eastAsia" w:ascii="Times New Roman" w:hAnsi="Times New Roman" w:eastAsia="宋体" w:cs="Times New Roman"/>
                <w:color w:val="auto"/>
                <w:sz w:val="24"/>
                <w:szCs w:val="24"/>
                <w:u w:val="single"/>
                <w:lang w:val="en-US" w:eastAsia="zh-CN"/>
              </w:rPr>
              <w:t>新建飞灰填埋厂</w:t>
            </w:r>
            <w:r>
              <w:rPr>
                <w:rFonts w:hint="eastAsia" w:ascii="Times New Roman" w:hAnsi="Times New Roman" w:cs="Times New Roman"/>
                <w:color w:val="auto"/>
                <w:sz w:val="24"/>
                <w:szCs w:val="24"/>
                <w:u w:val="single"/>
                <w:lang w:val="en-US" w:eastAsia="zh-CN"/>
              </w:rPr>
              <w:t>填埋</w:t>
            </w:r>
            <w:r>
              <w:rPr>
                <w:rFonts w:hint="eastAsia" w:ascii="Times New Roman" w:hAnsi="Times New Roman"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ascii="Times New Roman" w:hAnsi="Times New Roman" w:cs="Times New Roman"/>
                <w:b/>
                <w:color w:val="auto"/>
                <w:sz w:val="24"/>
                <w:highlight w:val="none"/>
              </w:rPr>
            </w:pPr>
            <w:r>
              <w:rPr>
                <w:rFonts w:hint="eastAsia" w:cs="Times New Roman"/>
                <w:b/>
                <w:color w:val="auto"/>
                <w:sz w:val="24"/>
                <w:highlight w:val="none"/>
                <w:lang w:val="en-US" w:eastAsia="zh-CN"/>
              </w:rPr>
              <w:t>5</w:t>
            </w:r>
            <w:r>
              <w:rPr>
                <w:rFonts w:ascii="Times New Roman" w:hAnsi="Times New Roman" w:cs="Times New Roman"/>
                <w:b/>
                <w:color w:val="auto"/>
                <w:sz w:val="24"/>
                <w:highlight w:val="none"/>
              </w:rPr>
              <w:t>建设内容</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default" w:ascii="Times New Roman" w:hAnsi="Times New Roman"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5.1建设内容基本情况</w:t>
            </w:r>
          </w:p>
          <w:p>
            <w:pPr>
              <w:adjustRightInd w:val="0"/>
              <w:snapToGrid w:val="0"/>
              <w:spacing w:line="520" w:lineRule="exact"/>
              <w:ind w:firstLine="480" w:firstLineChars="200"/>
              <w:rPr>
                <w:rFonts w:hint="eastAsia" w:ascii="Times New Roman" w:hAnsi="Times New Roman" w:cs="Times New Roman"/>
                <w:color w:val="auto"/>
                <w:sz w:val="24"/>
              </w:rPr>
            </w:pPr>
            <w:r>
              <w:rPr>
                <w:rFonts w:ascii="Times New Roman" w:hAnsi="Times New Roman" w:cs="Times New Roman"/>
                <w:color w:val="auto"/>
                <w:sz w:val="24"/>
              </w:rPr>
              <w:t>项目</w:t>
            </w:r>
            <w:r>
              <w:rPr>
                <w:rFonts w:hint="eastAsia" w:ascii="Times New Roman" w:hAnsi="Times New Roman" w:cs="Times New Roman"/>
                <w:color w:val="auto"/>
                <w:sz w:val="24"/>
              </w:rPr>
              <w:t>工程</w:t>
            </w:r>
            <w:r>
              <w:rPr>
                <w:rFonts w:ascii="Times New Roman" w:hAnsi="Times New Roman" w:cs="Times New Roman"/>
                <w:color w:val="auto"/>
                <w:sz w:val="24"/>
              </w:rPr>
              <w:t>主要</w:t>
            </w:r>
            <w:r>
              <w:rPr>
                <w:rFonts w:hint="eastAsia" w:ascii="Times New Roman" w:hAnsi="Times New Roman" w:cs="Times New Roman"/>
                <w:color w:val="auto"/>
                <w:sz w:val="24"/>
              </w:rPr>
              <w:t>建设</w:t>
            </w:r>
            <w:r>
              <w:rPr>
                <w:rFonts w:ascii="Times New Roman" w:hAnsi="Times New Roman" w:cs="Times New Roman"/>
                <w:color w:val="auto"/>
                <w:sz w:val="24"/>
              </w:rPr>
              <w:t>情况见下表，具体平面布置图见附图</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w:t>
            </w:r>
          </w:p>
          <w:p>
            <w:pPr>
              <w:adjustRightInd w:val="0"/>
              <w:snapToGrid w:val="0"/>
              <w:spacing w:line="520" w:lineRule="exact"/>
              <w:jc w:val="center"/>
              <w:rPr>
                <w:rFonts w:eastAsia="黑体"/>
                <w:color w:val="auto"/>
                <w:sz w:val="24"/>
              </w:rPr>
            </w:pPr>
            <w:r>
              <w:rPr>
                <w:rFonts w:hAnsi="黑体" w:eastAsia="黑体"/>
                <w:color w:val="auto"/>
                <w:sz w:val="24"/>
              </w:rPr>
              <w:t>表</w:t>
            </w:r>
            <w:r>
              <w:rPr>
                <w:rFonts w:hint="eastAsia" w:eastAsia="黑体"/>
                <w:color w:val="auto"/>
                <w:sz w:val="24"/>
                <w:lang w:val="en-US" w:eastAsia="zh-CN"/>
              </w:rPr>
              <w:t>11</w:t>
            </w:r>
            <w:r>
              <w:rPr>
                <w:rFonts w:eastAsia="黑体"/>
                <w:color w:val="auto"/>
                <w:sz w:val="24"/>
              </w:rPr>
              <w:t xml:space="preserve">                   </w:t>
            </w:r>
            <w:r>
              <w:rPr>
                <w:rFonts w:hAnsi="黑体" w:eastAsia="黑体"/>
                <w:color w:val="auto"/>
                <w:sz w:val="24"/>
              </w:rPr>
              <w:t>主要</w:t>
            </w:r>
            <w:r>
              <w:rPr>
                <w:rFonts w:hint="eastAsia" w:hAnsi="黑体" w:eastAsia="黑体"/>
                <w:color w:val="auto"/>
                <w:sz w:val="24"/>
              </w:rPr>
              <w:t>建设内容</w:t>
            </w:r>
            <w:r>
              <w:rPr>
                <w:rFonts w:hAnsi="黑体" w:eastAsia="黑体"/>
                <w:color w:val="auto"/>
                <w:sz w:val="24"/>
              </w:rPr>
              <w:t>一览表</w:t>
            </w:r>
          </w:p>
          <w:tbl>
            <w:tblPr>
              <w:tblStyle w:val="28"/>
              <w:tblW w:w="84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2"/>
              <w:gridCol w:w="829"/>
              <w:gridCol w:w="1803"/>
              <w:gridCol w:w="1697"/>
              <w:gridCol w:w="2258"/>
              <w:gridCol w:w="10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2" w:hRule="atLeast"/>
                <w:jc w:val="center"/>
              </w:trPr>
              <w:tc>
                <w:tcPr>
                  <w:tcW w:w="812" w:type="dxa"/>
                  <w:vMerge w:val="restart"/>
                  <w:tcBorders>
                    <w:top w:val="single" w:color="auto" w:sz="4" w:space="0"/>
                    <w:left w:val="single" w:color="auto" w:sz="0" w:space="0"/>
                    <w:bottom w:val="single" w:color="auto" w:sz="4" w:space="0"/>
                    <w:right w:val="single" w:color="auto" w:sz="4" w:space="0"/>
                  </w:tcBorders>
                  <w:noWrap w:val="0"/>
                  <w:vAlign w:val="center"/>
                </w:tcPr>
                <w:p>
                  <w:pPr>
                    <w:spacing w:line="240" w:lineRule="auto"/>
                    <w:jc w:val="center"/>
                    <w:rPr>
                      <w:color w:val="auto"/>
                      <w:szCs w:val="21"/>
                    </w:rPr>
                  </w:pPr>
                  <w:r>
                    <w:rPr>
                      <w:color w:val="auto"/>
                      <w:szCs w:val="21"/>
                      <w:highlight w:val="none"/>
                    </w:rPr>
                    <w:t>分类</w:t>
                  </w:r>
                </w:p>
              </w:tc>
              <w:tc>
                <w:tcPr>
                  <w:tcW w:w="829" w:type="dxa"/>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szCs w:val="21"/>
                    </w:rPr>
                  </w:pPr>
                  <w:r>
                    <w:rPr>
                      <w:color w:val="auto"/>
                      <w:szCs w:val="21"/>
                      <w:highlight w:val="none"/>
                    </w:rPr>
                    <w:t>建设内容</w:t>
                  </w:r>
                </w:p>
              </w:tc>
              <w:tc>
                <w:tcPr>
                  <w:tcW w:w="5758"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szCs w:val="21"/>
                      <w:highlight w:val="none"/>
                    </w:rPr>
                  </w:pPr>
                  <w:r>
                    <w:rPr>
                      <w:color w:val="auto"/>
                      <w:szCs w:val="21"/>
                      <w:highlight w:val="none"/>
                    </w:rPr>
                    <w:t>建设内容明细</w:t>
                  </w:r>
                </w:p>
              </w:tc>
              <w:tc>
                <w:tcPr>
                  <w:tcW w:w="1059" w:type="dxa"/>
                  <w:vMerge w:val="restar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eastAsia="宋体"/>
                      <w:color w:val="auto"/>
                      <w:szCs w:val="21"/>
                      <w:highlight w:val="none"/>
                      <w:lang w:val="en-US" w:eastAsia="zh-CN"/>
                    </w:rPr>
                  </w:pPr>
                  <w:r>
                    <w:rPr>
                      <w:rFonts w:hint="eastAsia"/>
                      <w:color w:val="auto"/>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2" w:hRule="atLeast"/>
                <w:jc w:val="center"/>
              </w:trPr>
              <w:tc>
                <w:tcPr>
                  <w:tcW w:w="812"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rPr>
                  </w:pPr>
                </w:p>
              </w:tc>
              <w:tc>
                <w:tcPr>
                  <w:tcW w:w="829"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rPr>
                  </w:pPr>
                </w:p>
              </w:tc>
              <w:tc>
                <w:tcPr>
                  <w:tcW w:w="180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eastAsia="宋体"/>
                      <w:color w:val="auto"/>
                      <w:u w:val="none"/>
                      <w:lang w:val="en-US" w:eastAsia="zh-CN"/>
                    </w:rPr>
                  </w:pPr>
                  <w:r>
                    <w:rPr>
                      <w:rFonts w:hint="eastAsia"/>
                      <w:color w:val="auto"/>
                      <w:u w:val="none"/>
                      <w:lang w:val="en-US" w:eastAsia="zh-CN"/>
                    </w:rPr>
                    <w:t>现有工程内容</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eastAsia="宋体"/>
                      <w:color w:val="auto"/>
                      <w:u w:val="none"/>
                      <w:lang w:val="en-US" w:eastAsia="zh-CN"/>
                    </w:rPr>
                  </w:pPr>
                  <w:r>
                    <w:rPr>
                      <w:rFonts w:hint="eastAsia"/>
                      <w:color w:val="auto"/>
                      <w:u w:val="none"/>
                      <w:lang w:val="en-US" w:eastAsia="zh-CN"/>
                    </w:rPr>
                    <w:t>本次扩建</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color w:val="auto"/>
                      <w:u w:val="none"/>
                      <w:lang w:val="en-US" w:eastAsia="zh-CN"/>
                    </w:rPr>
                  </w:pPr>
                  <w:r>
                    <w:rPr>
                      <w:rFonts w:hint="eastAsia"/>
                      <w:color w:val="auto"/>
                      <w:u w:val="none"/>
                      <w:lang w:val="en-US" w:eastAsia="zh-CN"/>
                    </w:rPr>
                    <w:t>扩建后全厂</w:t>
                  </w:r>
                </w:p>
              </w:tc>
              <w:tc>
                <w:tcPr>
                  <w:tcW w:w="1059"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6" w:hRule="atLeast"/>
                <w:jc w:val="center"/>
              </w:trPr>
              <w:tc>
                <w:tcPr>
                  <w:tcW w:w="812" w:type="dxa"/>
                  <w:tcBorders>
                    <w:top w:val="single" w:color="auto" w:sz="4" w:space="0"/>
                    <w:left w:val="single" w:color="auto" w:sz="4" w:space="0"/>
                    <w:right w:val="single" w:color="auto" w:sz="4" w:space="0"/>
                  </w:tcBorders>
                  <w:noWrap w:val="0"/>
                  <w:vAlign w:val="center"/>
                </w:tcPr>
                <w:p>
                  <w:pPr>
                    <w:spacing w:line="240" w:lineRule="auto"/>
                    <w:jc w:val="both"/>
                    <w:rPr>
                      <w:rFonts w:hint="default" w:eastAsia="宋体"/>
                      <w:color w:val="auto"/>
                      <w:szCs w:val="21"/>
                      <w:lang w:val="en-US" w:eastAsia="zh-CN"/>
                    </w:rPr>
                  </w:pPr>
                  <w:r>
                    <w:rPr>
                      <w:color w:val="auto"/>
                      <w:szCs w:val="21"/>
                      <w:highlight w:val="none"/>
                    </w:rPr>
                    <w:t>主体工程</w:t>
                  </w:r>
                </w:p>
              </w:tc>
              <w:tc>
                <w:tcPr>
                  <w:tcW w:w="829"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eastAsia="宋体"/>
                      <w:color w:val="auto"/>
                      <w:szCs w:val="21"/>
                      <w:lang w:val="en-US" w:eastAsia="zh-CN"/>
                    </w:rPr>
                  </w:pPr>
                  <w:r>
                    <w:rPr>
                      <w:rFonts w:hint="eastAsia" w:hAnsi="宋体"/>
                      <w:color w:val="auto"/>
                      <w:szCs w:val="21"/>
                    </w:rPr>
                    <w:t>飞灰仓</w:t>
                  </w:r>
                  <w:r>
                    <w:rPr>
                      <w:rFonts w:hint="eastAsia" w:hAnsi="宋体"/>
                      <w:color w:val="auto"/>
                      <w:szCs w:val="21"/>
                      <w:lang w:val="en-US" w:eastAsia="zh-CN"/>
                    </w:rPr>
                    <w:t>库</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eastAsia="宋体"/>
                      <w:color w:val="auto"/>
                      <w:szCs w:val="21"/>
                      <w:lang w:val="en-US" w:eastAsia="zh-CN"/>
                    </w:rPr>
                  </w:pPr>
                  <w:r>
                    <w:rPr>
                      <w:rFonts w:hint="eastAsia"/>
                      <w:color w:val="auto"/>
                      <w:lang w:val="en-US" w:eastAsia="zh-CN"/>
                    </w:rPr>
                    <w:t>603</w:t>
                  </w:r>
                  <w:r>
                    <w:rPr>
                      <w:color w:val="auto"/>
                    </w:rPr>
                    <w:t>m</w:t>
                  </w:r>
                  <w:r>
                    <w:rPr>
                      <w:rFonts w:hint="eastAsia"/>
                      <w:color w:val="auto"/>
                      <w:vertAlign w:val="superscript"/>
                      <w:lang w:val="en-US" w:eastAsia="zh-CN"/>
                    </w:rPr>
                    <w:t>2</w:t>
                  </w:r>
                  <w:r>
                    <w:rPr>
                      <w:color w:val="auto"/>
                    </w:rPr>
                    <w:t>，</w:t>
                  </w:r>
                  <w:r>
                    <w:rPr>
                      <w:rFonts w:hint="eastAsia" w:ascii="Times New Roman" w:hAnsi="Times New Roman" w:eastAsia="宋体" w:cs="Times New Roman"/>
                      <w:color w:val="auto"/>
                      <w:lang w:val="en-US" w:eastAsia="zh-CN"/>
                    </w:rPr>
                    <w:t>位于鲁山县生活垃圾焚烧发电项目厂</w:t>
                  </w:r>
                  <w:r>
                    <w:rPr>
                      <w:rFonts w:hint="eastAsia"/>
                      <w:color w:val="auto"/>
                      <w:lang w:val="en-US" w:eastAsia="zh-CN"/>
                    </w:rPr>
                    <w:t>区院内</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eastAsia="宋体"/>
                      <w:color w:val="auto"/>
                      <w:szCs w:val="21"/>
                      <w:highlight w:val="none"/>
                      <w:lang w:val="en-US" w:eastAsia="zh-CN"/>
                    </w:rPr>
                  </w:pPr>
                  <w:r>
                    <w:rPr>
                      <w:rFonts w:hint="eastAsia"/>
                      <w:color w:val="auto"/>
                      <w:szCs w:val="21"/>
                      <w:highlight w:val="none"/>
                      <w:lang w:val="en-US" w:eastAsia="zh-CN"/>
                    </w:rPr>
                    <w:t>新增飞灰暂存库4200m</w:t>
                  </w:r>
                  <w:r>
                    <w:rPr>
                      <w:rFonts w:hint="eastAsia"/>
                      <w:color w:val="auto"/>
                      <w:szCs w:val="21"/>
                      <w:highlight w:val="none"/>
                      <w:vertAlign w:val="superscript"/>
                      <w:lang w:val="en-US" w:eastAsia="zh-CN"/>
                    </w:rPr>
                    <w:t>2</w:t>
                  </w:r>
                  <w:r>
                    <w:rPr>
                      <w:color w:val="auto"/>
                    </w:rPr>
                    <w:t>，</w:t>
                  </w:r>
                  <w:r>
                    <w:rPr>
                      <w:rFonts w:hint="eastAsia"/>
                      <w:color w:val="auto"/>
                      <w:lang w:val="en-US" w:eastAsia="zh-CN"/>
                    </w:rPr>
                    <w:t>位于</w:t>
                  </w:r>
                  <w:r>
                    <w:rPr>
                      <w:rFonts w:hint="eastAsia" w:ascii="Times New Roman" w:hAnsi="宋体" w:eastAsia="宋体" w:cs="Times New Roman"/>
                      <w:color w:val="auto"/>
                      <w:szCs w:val="21"/>
                      <w:lang w:val="en-US" w:eastAsia="zh-CN"/>
                    </w:rPr>
                    <w:t>鲁山首创生物质能源有限公司</w:t>
                  </w:r>
                  <w:r>
                    <w:rPr>
                      <w:rFonts w:hint="eastAsia"/>
                      <w:color w:val="auto"/>
                      <w:lang w:val="en-US" w:eastAsia="zh-CN"/>
                    </w:rPr>
                    <w:t>现有生物质料棚内</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eastAsia="宋体"/>
                      <w:color w:val="auto"/>
                      <w:kern w:val="2"/>
                      <w:sz w:val="21"/>
                      <w:szCs w:val="21"/>
                      <w:lang w:val="en-US" w:eastAsia="zh-CN" w:bidi="ar-SA"/>
                    </w:rPr>
                  </w:pPr>
                  <w:r>
                    <w:rPr>
                      <w:rFonts w:hint="eastAsia"/>
                      <w:color w:val="auto"/>
                      <w:lang w:val="en-US" w:eastAsia="zh-CN"/>
                    </w:rPr>
                    <w:t>1座</w:t>
                  </w:r>
                  <w:r>
                    <w:rPr>
                      <w:rFonts w:hint="eastAsia"/>
                      <w:color w:val="auto"/>
                      <w:highlight w:val="none"/>
                      <w:lang w:val="en-US" w:eastAsia="zh-CN"/>
                    </w:rPr>
                    <w:t>603</w:t>
                  </w:r>
                  <w:r>
                    <w:rPr>
                      <w:color w:val="auto"/>
                      <w:highlight w:val="none"/>
                    </w:rPr>
                    <w:t>m</w:t>
                  </w:r>
                  <w:r>
                    <w:rPr>
                      <w:rFonts w:hint="eastAsia"/>
                      <w:color w:val="auto"/>
                      <w:highlight w:val="none"/>
                      <w:vertAlign w:val="superscript"/>
                      <w:lang w:val="en-US" w:eastAsia="zh-CN"/>
                    </w:rPr>
                    <w:t>2</w:t>
                  </w:r>
                  <w:r>
                    <w:rPr>
                      <w:rFonts w:hint="eastAsia"/>
                      <w:color w:val="auto"/>
                      <w:szCs w:val="21"/>
                      <w:highlight w:val="none"/>
                      <w:lang w:val="en-US" w:eastAsia="zh-CN"/>
                    </w:rPr>
                    <w:t>（现有）</w:t>
                  </w:r>
                  <w:r>
                    <w:rPr>
                      <w:rFonts w:hint="eastAsia"/>
                      <w:lang w:val="en-US" w:eastAsia="zh-CN"/>
                    </w:rPr>
                    <w:t>+</w:t>
                  </w:r>
                  <w:r>
                    <w:rPr>
                      <w:rFonts w:hint="eastAsia"/>
                      <w:color w:val="auto"/>
                      <w:szCs w:val="21"/>
                      <w:highlight w:val="none"/>
                      <w:lang w:val="en-US" w:eastAsia="zh-CN"/>
                    </w:rPr>
                    <w:t>1座4200m</w:t>
                  </w:r>
                  <w:r>
                    <w:rPr>
                      <w:rFonts w:hint="eastAsia"/>
                      <w:color w:val="auto"/>
                      <w:szCs w:val="21"/>
                      <w:highlight w:val="none"/>
                      <w:vertAlign w:val="superscript"/>
                      <w:lang w:val="en-US" w:eastAsia="zh-CN"/>
                    </w:rPr>
                    <w:t>2</w:t>
                  </w:r>
                  <w:r>
                    <w:rPr>
                      <w:rFonts w:hint="eastAsia"/>
                      <w:color w:val="auto"/>
                      <w:szCs w:val="21"/>
                      <w:highlight w:val="none"/>
                      <w:lang w:val="en-US" w:eastAsia="zh-CN"/>
                    </w:rPr>
                    <w:t>（本次扩建）</w:t>
                  </w:r>
                  <w:r>
                    <w:rPr>
                      <w:color w:val="auto"/>
                    </w:rPr>
                    <w:t>，</w:t>
                  </w:r>
                  <w:r>
                    <w:rPr>
                      <w:rFonts w:hint="eastAsia"/>
                      <w:color w:val="auto"/>
                      <w:lang w:val="en-US" w:eastAsia="zh-CN"/>
                    </w:rPr>
                    <w:t>其中现有飞灰暂存间</w:t>
                  </w:r>
                  <w:r>
                    <w:rPr>
                      <w:color w:val="auto"/>
                    </w:rPr>
                    <w:t>位于</w:t>
                  </w:r>
                  <w:r>
                    <w:rPr>
                      <w:rFonts w:hint="eastAsia" w:ascii="Times New Roman" w:hAnsi="Times New Roman" w:eastAsia="宋体" w:cs="Times New Roman"/>
                      <w:color w:val="auto"/>
                      <w:lang w:val="en-US" w:eastAsia="zh-CN"/>
                    </w:rPr>
                    <w:t>鲁山县生活垃圾焚烧发电项目院内</w:t>
                  </w:r>
                  <w:r>
                    <w:rPr>
                      <w:color w:val="auto"/>
                    </w:rPr>
                    <w:t>，</w:t>
                  </w:r>
                  <w:r>
                    <w:rPr>
                      <w:rFonts w:hint="eastAsia"/>
                      <w:color w:val="auto"/>
                      <w:lang w:val="en-US" w:eastAsia="zh-CN"/>
                    </w:rPr>
                    <w:t>扩建</w:t>
                  </w:r>
                  <w:r>
                    <w:rPr>
                      <w:rFonts w:hint="eastAsia"/>
                      <w:color w:val="auto"/>
                      <w:szCs w:val="21"/>
                      <w:highlight w:val="none"/>
                      <w:lang w:val="en-US" w:eastAsia="zh-CN"/>
                    </w:rPr>
                    <w:t>飞灰暂存库</w:t>
                  </w:r>
                  <w:r>
                    <w:rPr>
                      <w:rFonts w:hint="eastAsia"/>
                      <w:color w:val="auto"/>
                      <w:lang w:val="en-US" w:eastAsia="zh-CN"/>
                    </w:rPr>
                    <w:t>位于</w:t>
                  </w:r>
                  <w:r>
                    <w:rPr>
                      <w:rFonts w:hint="eastAsia" w:ascii="Times New Roman" w:hAnsi="宋体" w:eastAsia="宋体" w:cs="Times New Roman"/>
                      <w:color w:val="auto"/>
                      <w:szCs w:val="21"/>
                      <w:lang w:val="en-US" w:eastAsia="zh-CN"/>
                    </w:rPr>
                    <w:t>鲁山首创生物质能源有限公司</w:t>
                  </w:r>
                  <w:r>
                    <w:rPr>
                      <w:rFonts w:hint="eastAsia"/>
                      <w:color w:val="auto"/>
                      <w:lang w:val="en-US" w:eastAsia="zh-CN"/>
                    </w:rPr>
                    <w:t>现有生物质料棚内</w:t>
                  </w:r>
                </w:p>
              </w:tc>
              <w:tc>
                <w:tcPr>
                  <w:tcW w:w="10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eastAsia="宋体"/>
                      <w:color w:val="auto"/>
                      <w:szCs w:val="21"/>
                      <w:highlight w:val="none"/>
                      <w:lang w:val="en-US" w:eastAsia="zh-CN"/>
                    </w:rPr>
                  </w:pPr>
                  <w:r>
                    <w:rPr>
                      <w:rFonts w:hint="eastAsia"/>
                      <w:color w:val="auto"/>
                      <w:szCs w:val="21"/>
                      <w:highlight w:val="none"/>
                      <w:lang w:val="en-US" w:eastAsia="zh-CN"/>
                    </w:rPr>
                    <w:t>本次扩建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4" w:hRule="atLeast"/>
                <w:jc w:val="center"/>
              </w:trPr>
              <w:tc>
                <w:tcPr>
                  <w:tcW w:w="812" w:type="dxa"/>
                  <w:vMerge w:val="restart"/>
                  <w:tcBorders>
                    <w:left w:val="single" w:color="auto" w:sz="4" w:space="0"/>
                    <w:right w:val="single" w:color="auto" w:sz="4" w:space="0"/>
                  </w:tcBorders>
                  <w:noWrap w:val="0"/>
                  <w:vAlign w:val="center"/>
                </w:tcPr>
                <w:p>
                  <w:pPr>
                    <w:spacing w:line="240" w:lineRule="auto"/>
                    <w:jc w:val="center"/>
                    <w:rPr>
                      <w:rFonts w:hint="default"/>
                      <w:color w:val="auto"/>
                      <w:szCs w:val="21"/>
                      <w:highlight w:val="none"/>
                      <w:lang w:val="en-US" w:eastAsia="zh-CN"/>
                    </w:rPr>
                  </w:pPr>
                  <w:r>
                    <w:rPr>
                      <w:rFonts w:hint="eastAsia"/>
                      <w:color w:val="auto"/>
                      <w:szCs w:val="21"/>
                      <w:highlight w:val="none"/>
                      <w:lang w:val="en-US" w:eastAsia="zh-CN"/>
                    </w:rPr>
                    <w:t>公用工程</w:t>
                  </w:r>
                </w:p>
              </w:tc>
              <w:tc>
                <w:tcPr>
                  <w:tcW w:w="82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color w:val="auto"/>
                      <w:szCs w:val="21"/>
                      <w:highlight w:val="none"/>
                      <w:u w:val="single"/>
                      <w:lang w:val="en-US" w:eastAsia="zh-CN"/>
                    </w:rPr>
                  </w:pPr>
                  <w:r>
                    <w:rPr>
                      <w:rFonts w:hint="eastAsia"/>
                      <w:color w:val="auto"/>
                      <w:szCs w:val="21"/>
                      <w:highlight w:val="none"/>
                      <w:u w:val="single"/>
                      <w:lang w:val="en-US" w:eastAsia="zh-CN"/>
                    </w:rPr>
                    <w:t>给水</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color w:val="auto"/>
                      <w:szCs w:val="21"/>
                      <w:highlight w:val="none"/>
                      <w:u w:val="single"/>
                      <w:lang w:val="en-US" w:eastAsia="zh-CN"/>
                    </w:rPr>
                  </w:pPr>
                  <w:r>
                    <w:rPr>
                      <w:rFonts w:hint="eastAsia"/>
                      <w:color w:val="auto"/>
                      <w:szCs w:val="21"/>
                      <w:highlight w:val="none"/>
                      <w:u w:val="single"/>
                      <w:lang w:val="en-US" w:eastAsia="zh-CN"/>
                    </w:rPr>
                    <w:t>不涉及用水</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color w:val="auto"/>
                      <w:szCs w:val="21"/>
                      <w:highlight w:val="none"/>
                      <w:u w:val="single"/>
                      <w:lang w:val="en-US" w:eastAsia="zh-CN"/>
                    </w:rPr>
                  </w:pPr>
                  <w:r>
                    <w:rPr>
                      <w:rFonts w:hint="eastAsia"/>
                      <w:color w:val="auto"/>
                      <w:szCs w:val="21"/>
                      <w:highlight w:val="none"/>
                      <w:u w:val="single"/>
                      <w:lang w:val="en-US" w:eastAsia="zh-CN"/>
                    </w:rPr>
                    <w:t>项目运营期暂存间工作人员从现有工程焚烧发电厂区调配，无新增工作人员，无新增生活用水，项目生产用水依托现有工程给水系统</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color w:val="auto"/>
                      <w:szCs w:val="21"/>
                      <w:highlight w:val="none"/>
                      <w:u w:val="single"/>
                      <w:lang w:val="en-US" w:eastAsia="zh-CN"/>
                    </w:rPr>
                  </w:pPr>
                  <w:r>
                    <w:rPr>
                      <w:rFonts w:hint="eastAsia"/>
                      <w:color w:val="auto"/>
                      <w:szCs w:val="21"/>
                      <w:highlight w:val="none"/>
                      <w:u w:val="single"/>
                      <w:lang w:val="en-US" w:eastAsia="zh-CN"/>
                    </w:rPr>
                    <w:t>用水依托现有工程给水系统</w:t>
                  </w:r>
                </w:p>
              </w:tc>
              <w:tc>
                <w:tcPr>
                  <w:tcW w:w="1059" w:type="dxa"/>
                  <w:vMerge w:val="restart"/>
                  <w:tcBorders>
                    <w:top w:val="single" w:color="auto" w:sz="4" w:space="0"/>
                    <w:left w:val="single" w:color="auto" w:sz="4" w:space="0"/>
                    <w:right w:val="single" w:color="auto" w:sz="4" w:space="0"/>
                  </w:tcBorders>
                  <w:noWrap w:val="0"/>
                  <w:vAlign w:val="center"/>
                </w:tcPr>
                <w:p>
                  <w:pPr>
                    <w:spacing w:line="240" w:lineRule="auto"/>
                    <w:jc w:val="center"/>
                    <w:rPr>
                      <w:rFonts w:hint="default"/>
                      <w:color w:val="auto"/>
                      <w:szCs w:val="21"/>
                      <w:highlight w:val="none"/>
                      <w:lang w:val="en-US" w:eastAsia="zh-CN"/>
                    </w:rPr>
                  </w:pPr>
                  <w:r>
                    <w:rPr>
                      <w:rFonts w:hint="eastAsia"/>
                      <w:color w:val="auto"/>
                      <w:szCs w:val="21"/>
                      <w:highlight w:val="none"/>
                      <w:lang w:val="en-US" w:eastAsia="zh-CN"/>
                    </w:rPr>
                    <w:t>依托现有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9" w:hRule="atLeast"/>
                <w:jc w:val="center"/>
              </w:trPr>
              <w:tc>
                <w:tcPr>
                  <w:tcW w:w="812" w:type="dxa"/>
                  <w:vMerge w:val="continue"/>
                  <w:tcBorders>
                    <w:left w:val="single" w:color="auto" w:sz="4" w:space="0"/>
                    <w:right w:val="single" w:color="auto" w:sz="4" w:space="0"/>
                  </w:tcBorders>
                  <w:noWrap w:val="0"/>
                  <w:vAlign w:val="center"/>
                </w:tcPr>
                <w:p>
                  <w:pPr>
                    <w:spacing w:line="240" w:lineRule="auto"/>
                    <w:jc w:val="center"/>
                    <w:rPr>
                      <w:color w:val="auto"/>
                    </w:rPr>
                  </w:pPr>
                </w:p>
              </w:tc>
              <w:tc>
                <w:tcPr>
                  <w:tcW w:w="82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color w:val="auto"/>
                      <w:szCs w:val="21"/>
                      <w:highlight w:val="none"/>
                      <w:lang w:val="en-US" w:eastAsia="zh-CN"/>
                    </w:rPr>
                  </w:pPr>
                  <w:r>
                    <w:rPr>
                      <w:rFonts w:hint="eastAsia"/>
                      <w:color w:val="auto"/>
                      <w:szCs w:val="21"/>
                      <w:highlight w:val="none"/>
                      <w:lang w:val="en-US" w:eastAsia="zh-CN"/>
                    </w:rPr>
                    <w:t>排水</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color w:val="auto"/>
                      <w:szCs w:val="21"/>
                      <w:highlight w:val="none"/>
                      <w:u w:val="single"/>
                      <w:lang w:val="en-US" w:eastAsia="zh-CN"/>
                    </w:rPr>
                  </w:pPr>
                  <w:r>
                    <w:rPr>
                      <w:rFonts w:hint="eastAsia" w:cs="Times New Roman"/>
                      <w:color w:val="auto"/>
                      <w:szCs w:val="21"/>
                      <w:highlight w:val="none"/>
                      <w:u w:val="single"/>
                      <w:lang w:val="en-US" w:eastAsia="zh-CN"/>
                    </w:rPr>
                    <w:t>不涉及排水</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Times New Roman" w:hAnsi="Times New Roman" w:eastAsia="宋体" w:cs="Times New Roman"/>
                      <w:color w:val="auto"/>
                      <w:szCs w:val="21"/>
                      <w:highlight w:val="none"/>
                      <w:u w:val="single"/>
                      <w:lang w:val="en-US" w:eastAsia="zh-CN"/>
                    </w:rPr>
                  </w:pPr>
                  <w:r>
                    <w:rPr>
                      <w:rFonts w:hint="eastAsia" w:ascii="Times New Roman" w:hAnsi="Times New Roman" w:eastAsia="宋体" w:cs="Times New Roman"/>
                      <w:color w:val="auto"/>
                      <w:szCs w:val="21"/>
                      <w:highlight w:val="none"/>
                      <w:u w:val="single"/>
                      <w:lang w:val="en-US" w:eastAsia="zh-CN"/>
                    </w:rPr>
                    <w:t>喷淋塔</w:t>
                  </w:r>
                  <w:r>
                    <w:rPr>
                      <w:rFonts w:hint="eastAsia" w:cs="Times New Roman"/>
                      <w:color w:val="auto"/>
                      <w:szCs w:val="21"/>
                      <w:highlight w:val="none"/>
                      <w:u w:val="single"/>
                      <w:lang w:val="en-US" w:eastAsia="zh-CN"/>
                    </w:rPr>
                    <w:t>排水</w:t>
                  </w:r>
                  <w:r>
                    <w:rPr>
                      <w:rFonts w:hint="eastAsia" w:ascii="Times New Roman" w:hAnsi="Times New Roman" w:eastAsia="宋体" w:cs="Times New Roman"/>
                      <w:color w:val="auto"/>
                      <w:szCs w:val="21"/>
                      <w:highlight w:val="none"/>
                      <w:u w:val="single"/>
                      <w:lang w:val="en-US" w:eastAsia="zh-CN"/>
                    </w:rPr>
                    <w:t>依托鲁山首创环保能源有限公司</w:t>
                  </w:r>
                  <w:r>
                    <w:rPr>
                      <w:rFonts w:hint="eastAsia" w:cs="Times New Roman"/>
                      <w:color w:val="auto"/>
                      <w:szCs w:val="21"/>
                      <w:highlight w:val="none"/>
                      <w:u w:val="single"/>
                      <w:lang w:val="en-US" w:eastAsia="zh-CN"/>
                    </w:rPr>
                    <w:t>生产废水处理</w:t>
                  </w:r>
                  <w:r>
                    <w:rPr>
                      <w:rFonts w:hint="eastAsia" w:ascii="Times New Roman" w:hAnsi="Times New Roman" w:eastAsia="宋体" w:cs="Times New Roman"/>
                      <w:color w:val="auto"/>
                      <w:szCs w:val="21"/>
                      <w:highlight w:val="none"/>
                      <w:u w:val="single"/>
                      <w:lang w:val="en-US" w:eastAsia="zh-CN"/>
                    </w:rPr>
                    <w:t>系统</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Times New Roman" w:hAnsi="Times New Roman" w:eastAsia="宋体" w:cs="Times New Roman"/>
                      <w:color w:val="auto"/>
                      <w:szCs w:val="21"/>
                      <w:highlight w:val="none"/>
                      <w:u w:val="single"/>
                      <w:lang w:val="en-US" w:eastAsia="zh-CN"/>
                    </w:rPr>
                  </w:pPr>
                  <w:r>
                    <w:rPr>
                      <w:rFonts w:hint="eastAsia" w:ascii="Times New Roman" w:hAnsi="Times New Roman" w:eastAsia="宋体" w:cs="Times New Roman"/>
                      <w:color w:val="auto"/>
                      <w:szCs w:val="21"/>
                      <w:highlight w:val="none"/>
                      <w:u w:val="single"/>
                      <w:lang w:val="en-US" w:eastAsia="zh-CN"/>
                    </w:rPr>
                    <w:t>喷淋塔</w:t>
                  </w:r>
                  <w:r>
                    <w:rPr>
                      <w:rFonts w:hint="eastAsia" w:cs="Times New Roman"/>
                      <w:color w:val="auto"/>
                      <w:szCs w:val="21"/>
                      <w:highlight w:val="none"/>
                      <w:u w:val="single"/>
                      <w:lang w:val="en-US" w:eastAsia="zh-CN"/>
                    </w:rPr>
                    <w:t>排水</w:t>
                  </w:r>
                  <w:r>
                    <w:rPr>
                      <w:rFonts w:hint="eastAsia" w:ascii="Times New Roman" w:hAnsi="Times New Roman" w:eastAsia="宋体" w:cs="Times New Roman"/>
                      <w:color w:val="auto"/>
                      <w:szCs w:val="21"/>
                      <w:highlight w:val="none"/>
                      <w:u w:val="single"/>
                      <w:lang w:val="en-US" w:eastAsia="zh-CN"/>
                    </w:rPr>
                    <w:t>依托鲁山首创环保能源有限公司</w:t>
                  </w:r>
                  <w:r>
                    <w:rPr>
                      <w:rFonts w:hint="eastAsia" w:cs="Times New Roman"/>
                      <w:color w:val="auto"/>
                      <w:szCs w:val="21"/>
                      <w:highlight w:val="none"/>
                      <w:u w:val="single"/>
                      <w:lang w:val="en-US" w:eastAsia="zh-CN"/>
                    </w:rPr>
                    <w:t>生产废水处理</w:t>
                  </w:r>
                  <w:r>
                    <w:rPr>
                      <w:rFonts w:hint="eastAsia" w:ascii="Times New Roman" w:hAnsi="Times New Roman" w:eastAsia="宋体" w:cs="Times New Roman"/>
                      <w:color w:val="auto"/>
                      <w:szCs w:val="21"/>
                      <w:highlight w:val="none"/>
                      <w:u w:val="single"/>
                      <w:lang w:val="en-US" w:eastAsia="zh-CN"/>
                    </w:rPr>
                    <w:t>系统</w:t>
                  </w:r>
                </w:p>
              </w:tc>
              <w:tc>
                <w:tcPr>
                  <w:tcW w:w="1059" w:type="dxa"/>
                  <w:vMerge w:val="continue"/>
                  <w:tcBorders>
                    <w:left w:val="single" w:color="auto" w:sz="4" w:space="0"/>
                    <w:right w:val="single" w:color="auto" w:sz="4" w:space="0"/>
                  </w:tcBorders>
                  <w:noWrap w:val="0"/>
                  <w:vAlign w:val="center"/>
                </w:tcPr>
                <w:p>
                  <w:pPr>
                    <w:spacing w:line="240" w:lineRule="auto"/>
                    <w:jc w:val="center"/>
                    <w:rPr>
                      <w:rFonts w:hint="eastAsia"/>
                      <w:color w:val="auto"/>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9" w:hRule="atLeast"/>
                <w:jc w:val="center"/>
              </w:trPr>
              <w:tc>
                <w:tcPr>
                  <w:tcW w:w="812" w:type="dxa"/>
                  <w:vMerge w:val="continue"/>
                  <w:tcBorders>
                    <w:left w:val="single" w:color="auto" w:sz="4" w:space="0"/>
                    <w:right w:val="single" w:color="auto" w:sz="4" w:space="0"/>
                  </w:tcBorders>
                  <w:noWrap w:val="0"/>
                  <w:vAlign w:val="center"/>
                </w:tcPr>
                <w:p>
                  <w:pPr>
                    <w:spacing w:line="240" w:lineRule="auto"/>
                    <w:jc w:val="center"/>
                    <w:rPr>
                      <w:rFonts w:hint="eastAsia"/>
                      <w:color w:val="auto"/>
                      <w:szCs w:val="21"/>
                      <w:highlight w:val="none"/>
                      <w:lang w:eastAsia="zh-CN"/>
                    </w:rPr>
                  </w:pPr>
                </w:p>
              </w:tc>
              <w:tc>
                <w:tcPr>
                  <w:tcW w:w="82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color w:val="auto"/>
                      <w:szCs w:val="21"/>
                      <w:highlight w:val="none"/>
                      <w:lang w:val="en-US" w:eastAsia="zh-CN"/>
                    </w:rPr>
                  </w:pPr>
                  <w:r>
                    <w:rPr>
                      <w:rFonts w:hint="eastAsia"/>
                      <w:color w:val="auto"/>
                      <w:szCs w:val="21"/>
                      <w:highlight w:val="none"/>
                      <w:lang w:val="en-US" w:eastAsia="zh-CN"/>
                    </w:rPr>
                    <w:t>供电</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Times New Roman" w:hAnsi="Times New Roman" w:eastAsia="宋体" w:cs="Times New Roman"/>
                      <w:color w:val="auto"/>
                      <w:szCs w:val="21"/>
                      <w:highlight w:val="none"/>
                      <w:u w:val="single"/>
                      <w:lang w:val="en-US" w:eastAsia="zh-CN"/>
                    </w:rPr>
                  </w:pPr>
                  <w:r>
                    <w:rPr>
                      <w:rFonts w:hint="eastAsia" w:ascii="Times New Roman" w:hAnsi="Times New Roman" w:eastAsia="宋体" w:cs="Times New Roman"/>
                      <w:color w:val="auto"/>
                      <w:szCs w:val="21"/>
                      <w:highlight w:val="none"/>
                      <w:u w:val="single"/>
                      <w:lang w:val="en-US" w:eastAsia="zh-CN"/>
                    </w:rPr>
                    <w:t>由鲁山首创环保能源有限公司提供</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Times New Roman" w:hAnsi="Times New Roman" w:eastAsia="宋体" w:cs="Times New Roman"/>
                      <w:color w:val="auto"/>
                      <w:szCs w:val="21"/>
                      <w:highlight w:val="none"/>
                      <w:u w:val="single"/>
                      <w:lang w:val="en-US" w:eastAsia="zh-CN"/>
                    </w:rPr>
                  </w:pPr>
                  <w:r>
                    <w:rPr>
                      <w:rFonts w:hint="eastAsia" w:ascii="Times New Roman" w:hAnsi="Times New Roman" w:eastAsia="宋体" w:cs="Times New Roman"/>
                      <w:color w:val="auto"/>
                      <w:szCs w:val="21"/>
                      <w:highlight w:val="none"/>
                      <w:u w:val="single"/>
                      <w:lang w:val="en-US" w:eastAsia="zh-CN"/>
                    </w:rPr>
                    <w:t>由鲁山首创环保能源有限公司提供</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Times New Roman" w:hAnsi="Times New Roman" w:eastAsia="宋体" w:cs="Times New Roman"/>
                      <w:color w:val="auto"/>
                      <w:szCs w:val="21"/>
                      <w:highlight w:val="none"/>
                      <w:u w:val="single"/>
                      <w:lang w:val="en-US" w:eastAsia="zh-CN"/>
                    </w:rPr>
                  </w:pPr>
                  <w:r>
                    <w:rPr>
                      <w:rFonts w:hint="eastAsia" w:ascii="Times New Roman" w:hAnsi="Times New Roman" w:eastAsia="宋体" w:cs="Times New Roman"/>
                      <w:color w:val="auto"/>
                      <w:szCs w:val="21"/>
                      <w:highlight w:val="none"/>
                      <w:u w:val="single"/>
                      <w:lang w:val="en-US" w:eastAsia="zh-CN"/>
                    </w:rPr>
                    <w:t>由鲁山首创环保能源有限公司提供</w:t>
                  </w:r>
                </w:p>
              </w:tc>
              <w:tc>
                <w:tcPr>
                  <w:tcW w:w="1059" w:type="dxa"/>
                  <w:vMerge w:val="continue"/>
                  <w:tcBorders>
                    <w:left w:val="single" w:color="auto" w:sz="4" w:space="0"/>
                    <w:bottom w:val="single" w:color="auto" w:sz="4" w:space="0"/>
                    <w:right w:val="single" w:color="auto" w:sz="4" w:space="0"/>
                  </w:tcBorders>
                  <w:noWrap w:val="0"/>
                  <w:vAlign w:val="center"/>
                </w:tcPr>
                <w:p>
                  <w:pPr>
                    <w:spacing w:line="240" w:lineRule="auto"/>
                    <w:jc w:val="center"/>
                    <w:rPr>
                      <w:rFonts w:hint="eastAsia"/>
                      <w:color w:val="auto"/>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5" w:hRule="atLeast"/>
                <w:jc w:val="center"/>
              </w:trPr>
              <w:tc>
                <w:tcPr>
                  <w:tcW w:w="812" w:type="dxa"/>
                  <w:tcBorders>
                    <w:left w:val="single" w:color="auto" w:sz="4" w:space="0"/>
                    <w:right w:val="single" w:color="auto" w:sz="4" w:space="0"/>
                  </w:tcBorders>
                  <w:noWrap w:val="0"/>
                  <w:vAlign w:val="center"/>
                </w:tcPr>
                <w:p>
                  <w:pPr>
                    <w:spacing w:line="240" w:lineRule="auto"/>
                    <w:jc w:val="center"/>
                    <w:rPr>
                      <w:rFonts w:hint="default"/>
                      <w:color w:val="auto"/>
                      <w:szCs w:val="21"/>
                      <w:highlight w:val="none"/>
                      <w:lang w:val="en-US" w:eastAsia="zh-CN"/>
                    </w:rPr>
                  </w:pPr>
                  <w:r>
                    <w:rPr>
                      <w:rFonts w:hint="eastAsia"/>
                      <w:color w:val="auto"/>
                      <w:szCs w:val="21"/>
                      <w:highlight w:val="none"/>
                      <w:lang w:val="en-US" w:eastAsia="zh-CN"/>
                    </w:rPr>
                    <w:t>储运工程</w:t>
                  </w:r>
                </w:p>
              </w:tc>
              <w:tc>
                <w:tcPr>
                  <w:tcW w:w="829" w:type="dxa"/>
                  <w:tcBorders>
                    <w:top w:val="single" w:color="auto" w:sz="4" w:space="0"/>
                    <w:left w:val="single" w:color="auto" w:sz="4" w:space="0"/>
                    <w:right w:val="single" w:color="auto" w:sz="4" w:space="0"/>
                  </w:tcBorders>
                  <w:noWrap w:val="0"/>
                  <w:vAlign w:val="center"/>
                </w:tcPr>
                <w:p>
                  <w:pPr>
                    <w:spacing w:line="240" w:lineRule="auto"/>
                    <w:jc w:val="center"/>
                    <w:rPr>
                      <w:rFonts w:hint="default"/>
                      <w:color w:val="auto"/>
                      <w:szCs w:val="21"/>
                      <w:highlight w:val="none"/>
                      <w:u w:val="single"/>
                      <w:lang w:val="en-US" w:eastAsia="zh-CN"/>
                    </w:rPr>
                  </w:pPr>
                  <w:r>
                    <w:rPr>
                      <w:rFonts w:hint="eastAsia"/>
                      <w:color w:val="auto"/>
                      <w:szCs w:val="21"/>
                      <w:highlight w:val="none"/>
                      <w:u w:val="single"/>
                      <w:lang w:val="en-US" w:eastAsia="zh-CN"/>
                    </w:rPr>
                    <w:t>运输</w:t>
                  </w:r>
                </w:p>
              </w:tc>
              <w:tc>
                <w:tcPr>
                  <w:tcW w:w="1803" w:type="dxa"/>
                  <w:tcBorders>
                    <w:top w:val="single" w:color="auto" w:sz="4" w:space="0"/>
                    <w:left w:val="single" w:color="auto" w:sz="4" w:space="0"/>
                    <w:right w:val="single" w:color="auto" w:sz="4" w:space="0"/>
                  </w:tcBorders>
                  <w:noWrap w:val="0"/>
                  <w:vAlign w:val="center"/>
                </w:tcPr>
                <w:p>
                  <w:pPr>
                    <w:spacing w:line="240" w:lineRule="auto"/>
                    <w:jc w:val="center"/>
                    <w:rPr>
                      <w:rFonts w:hint="eastAsia"/>
                      <w:color w:val="auto"/>
                      <w:szCs w:val="21"/>
                      <w:highlight w:val="none"/>
                      <w:u w:val="single"/>
                      <w:lang w:val="en-US" w:eastAsia="zh-CN"/>
                    </w:rPr>
                  </w:pPr>
                  <w:r>
                    <w:rPr>
                      <w:rFonts w:hint="eastAsia"/>
                      <w:color w:val="auto"/>
                      <w:szCs w:val="21"/>
                      <w:highlight w:val="none"/>
                      <w:u w:val="single"/>
                      <w:lang w:val="en-US" w:eastAsia="zh-CN"/>
                    </w:rPr>
                    <w:t>飞灰运输利用厂区转运车，即</w:t>
                  </w:r>
                  <w:r>
                    <w:rPr>
                      <w:rFonts w:hint="eastAsia" w:ascii="Times New Roman" w:hAnsi="Times New Roman" w:eastAsia="宋体" w:cs="Times New Roman"/>
                      <w:color w:val="auto"/>
                      <w:szCs w:val="21"/>
                      <w:highlight w:val="none"/>
                      <w:u w:val="single"/>
                      <w:lang w:val="en-US" w:eastAsia="zh-CN"/>
                    </w:rPr>
                    <w:t>鲁山首创环保能源有限公司与鲁山首创生物质能源有限公司厂区现有道路</w:t>
                  </w:r>
                </w:p>
              </w:tc>
              <w:tc>
                <w:tcPr>
                  <w:tcW w:w="1697" w:type="dxa"/>
                  <w:tcBorders>
                    <w:top w:val="single" w:color="auto" w:sz="4" w:space="0"/>
                    <w:left w:val="single" w:color="auto" w:sz="4" w:space="0"/>
                    <w:right w:val="single" w:color="auto" w:sz="4" w:space="0"/>
                  </w:tcBorders>
                  <w:noWrap w:val="0"/>
                  <w:vAlign w:val="center"/>
                </w:tcPr>
                <w:p>
                  <w:pPr>
                    <w:spacing w:line="240" w:lineRule="auto"/>
                    <w:jc w:val="center"/>
                    <w:rPr>
                      <w:rFonts w:hint="eastAsia"/>
                      <w:color w:val="auto"/>
                      <w:szCs w:val="21"/>
                      <w:highlight w:val="none"/>
                      <w:u w:val="single"/>
                      <w:lang w:val="en-US" w:eastAsia="zh-CN"/>
                    </w:rPr>
                  </w:pPr>
                  <w:r>
                    <w:rPr>
                      <w:rFonts w:hint="eastAsia"/>
                      <w:color w:val="auto"/>
                      <w:szCs w:val="21"/>
                      <w:highlight w:val="none"/>
                      <w:u w:val="single"/>
                      <w:lang w:val="en-US" w:eastAsia="zh-CN"/>
                    </w:rPr>
                    <w:t>飞灰运输主要依托现有厂区转运车，利用</w:t>
                  </w:r>
                  <w:r>
                    <w:rPr>
                      <w:rFonts w:hint="eastAsia" w:ascii="Times New Roman" w:hAnsi="Times New Roman" w:eastAsia="宋体" w:cs="Times New Roman"/>
                      <w:color w:val="auto"/>
                      <w:szCs w:val="21"/>
                      <w:highlight w:val="none"/>
                      <w:u w:val="single"/>
                      <w:lang w:val="en-US" w:eastAsia="zh-CN"/>
                    </w:rPr>
                    <w:t>鲁山首创环保能源有限公司与鲁山首创生物质能源有限公司厂区现有道路</w:t>
                  </w:r>
                </w:p>
              </w:tc>
              <w:tc>
                <w:tcPr>
                  <w:tcW w:w="2258" w:type="dxa"/>
                  <w:tcBorders>
                    <w:top w:val="single" w:color="auto" w:sz="4" w:space="0"/>
                    <w:left w:val="single" w:color="auto" w:sz="4" w:space="0"/>
                    <w:right w:val="single" w:color="auto" w:sz="4" w:space="0"/>
                  </w:tcBorders>
                  <w:noWrap w:val="0"/>
                  <w:vAlign w:val="center"/>
                </w:tcPr>
                <w:p>
                  <w:pPr>
                    <w:spacing w:line="240" w:lineRule="auto"/>
                    <w:jc w:val="center"/>
                    <w:rPr>
                      <w:rFonts w:hint="eastAsia"/>
                      <w:color w:val="auto"/>
                      <w:szCs w:val="21"/>
                      <w:highlight w:val="none"/>
                      <w:u w:val="single"/>
                      <w:lang w:val="en-US" w:eastAsia="zh-CN"/>
                    </w:rPr>
                  </w:pPr>
                  <w:r>
                    <w:rPr>
                      <w:rFonts w:hint="eastAsia"/>
                      <w:color w:val="auto"/>
                      <w:szCs w:val="21"/>
                      <w:highlight w:val="none"/>
                      <w:u w:val="single"/>
                      <w:lang w:val="en-US" w:eastAsia="zh-CN"/>
                    </w:rPr>
                    <w:t>飞灰运输主要依托现有厂区转运车，利用</w:t>
                  </w:r>
                  <w:r>
                    <w:rPr>
                      <w:rFonts w:hint="eastAsia" w:ascii="Times New Roman" w:hAnsi="Times New Roman" w:eastAsia="宋体" w:cs="Times New Roman"/>
                      <w:color w:val="auto"/>
                      <w:szCs w:val="21"/>
                      <w:highlight w:val="none"/>
                      <w:u w:val="single"/>
                      <w:lang w:val="en-US" w:eastAsia="zh-CN"/>
                    </w:rPr>
                    <w:t>鲁山首创环保能源有限公司与鲁山首创生物质能源有限公司厂区现有道路</w:t>
                  </w:r>
                </w:p>
              </w:tc>
              <w:tc>
                <w:tcPr>
                  <w:tcW w:w="1059" w:type="dxa"/>
                  <w:tcBorders>
                    <w:top w:val="single" w:color="auto" w:sz="4" w:space="0"/>
                    <w:left w:val="single" w:color="auto" w:sz="4" w:space="0"/>
                    <w:right w:val="single" w:color="auto" w:sz="4" w:space="0"/>
                  </w:tcBorders>
                  <w:noWrap w:val="0"/>
                  <w:vAlign w:val="center"/>
                </w:tcPr>
                <w:p>
                  <w:pPr>
                    <w:spacing w:line="240" w:lineRule="auto"/>
                    <w:jc w:val="center"/>
                    <w:rPr>
                      <w:rFonts w:hint="default"/>
                      <w:color w:val="auto"/>
                      <w:szCs w:val="21"/>
                      <w:highlight w:val="none"/>
                      <w:u w:val="single"/>
                      <w:lang w:val="en-US" w:eastAsia="zh-CN"/>
                    </w:rPr>
                  </w:pPr>
                  <w:r>
                    <w:rPr>
                      <w:rFonts w:hint="eastAsia"/>
                      <w:color w:val="auto"/>
                      <w:szCs w:val="21"/>
                      <w:highlight w:val="none"/>
                      <w:u w:val="single"/>
                      <w:lang w:val="en-US" w:eastAsia="zh-CN"/>
                    </w:rPr>
                    <w:t>依托现有厂区道路和运输系统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98" w:hRule="atLeast"/>
                <w:jc w:val="center"/>
              </w:trPr>
              <w:tc>
                <w:tcPr>
                  <w:tcW w:w="812" w:type="dxa"/>
                  <w:vMerge w:val="restart"/>
                  <w:tcBorders>
                    <w:top w:val="single" w:color="auto" w:sz="4" w:space="0"/>
                    <w:left w:val="single" w:color="auto" w:sz="4" w:space="0"/>
                    <w:right w:val="single" w:color="auto" w:sz="4" w:space="0"/>
                  </w:tcBorders>
                  <w:noWrap w:val="0"/>
                  <w:vAlign w:val="center"/>
                </w:tcPr>
                <w:p>
                  <w:pPr>
                    <w:spacing w:line="240" w:lineRule="auto"/>
                    <w:jc w:val="center"/>
                    <w:rPr>
                      <w:color w:val="auto"/>
                      <w:szCs w:val="21"/>
                      <w:highlight w:val="none"/>
                    </w:rPr>
                  </w:pPr>
                  <w:r>
                    <w:rPr>
                      <w:color w:val="auto"/>
                      <w:szCs w:val="21"/>
                      <w:highlight w:val="none"/>
                    </w:rPr>
                    <w:t>环保</w:t>
                  </w:r>
                </w:p>
                <w:p>
                  <w:pPr>
                    <w:spacing w:line="240" w:lineRule="auto"/>
                    <w:jc w:val="center"/>
                    <w:rPr>
                      <w:rFonts w:hint="eastAsia"/>
                      <w:color w:val="auto"/>
                      <w:szCs w:val="21"/>
                    </w:rPr>
                  </w:pPr>
                  <w:r>
                    <w:rPr>
                      <w:color w:val="auto"/>
                      <w:szCs w:val="21"/>
                      <w:highlight w:val="none"/>
                    </w:rPr>
                    <w:t>工程</w:t>
                  </w:r>
                </w:p>
              </w:tc>
              <w:tc>
                <w:tcPr>
                  <w:tcW w:w="829" w:type="dxa"/>
                  <w:tcBorders>
                    <w:top w:val="single" w:color="auto" w:sz="4" w:space="0"/>
                    <w:left w:val="single" w:color="auto" w:sz="4" w:space="0"/>
                    <w:right w:val="single" w:color="auto" w:sz="4" w:space="0"/>
                  </w:tcBorders>
                  <w:noWrap w:val="0"/>
                  <w:vAlign w:val="center"/>
                </w:tcPr>
                <w:p>
                  <w:pPr>
                    <w:snapToGrid w:val="0"/>
                    <w:spacing w:line="240" w:lineRule="auto"/>
                    <w:jc w:val="center"/>
                    <w:rPr>
                      <w:rFonts w:hint="eastAsia"/>
                      <w:color w:val="auto"/>
                      <w:szCs w:val="21"/>
                      <w:highlight w:val="none"/>
                      <w:u w:val="single"/>
                      <w:lang w:val="en-US" w:eastAsia="zh-CN"/>
                    </w:rPr>
                  </w:pPr>
                  <w:r>
                    <w:rPr>
                      <w:rFonts w:hint="eastAsia" w:hAnsi="宋体"/>
                      <w:color w:val="auto"/>
                      <w:szCs w:val="21"/>
                      <w:u w:val="single"/>
                    </w:rPr>
                    <w:t>噪声</w:t>
                  </w:r>
                </w:p>
              </w:tc>
              <w:tc>
                <w:tcPr>
                  <w:tcW w:w="1803" w:type="dxa"/>
                  <w:tcBorders>
                    <w:top w:val="single" w:color="auto" w:sz="4" w:space="0"/>
                    <w:left w:val="single" w:color="auto" w:sz="4" w:space="0"/>
                    <w:right w:val="single" w:color="auto" w:sz="4" w:space="0"/>
                  </w:tcBorders>
                  <w:noWrap w:val="0"/>
                  <w:vAlign w:val="center"/>
                </w:tcPr>
                <w:p>
                  <w:pPr>
                    <w:snapToGrid w:val="0"/>
                    <w:spacing w:line="240" w:lineRule="auto"/>
                    <w:jc w:val="center"/>
                    <w:rPr>
                      <w:rFonts w:hint="eastAsia"/>
                      <w:b w:val="0"/>
                      <w:bCs/>
                      <w:color w:val="auto"/>
                      <w:szCs w:val="22"/>
                      <w:highlight w:val="none"/>
                      <w:u w:val="single"/>
                      <w:lang w:val="en-US" w:eastAsia="zh-CN"/>
                    </w:rPr>
                  </w:pPr>
                  <w:r>
                    <w:rPr>
                      <w:rFonts w:hint="eastAsia"/>
                      <w:color w:val="auto"/>
                      <w:szCs w:val="21"/>
                      <w:highlight w:val="none"/>
                      <w:u w:val="single"/>
                      <w:lang w:val="en-US" w:eastAsia="zh-CN"/>
                    </w:rPr>
                    <w:t>合理安排运输时间，及时保养维修车辆等</w:t>
                  </w:r>
                </w:p>
              </w:tc>
              <w:tc>
                <w:tcPr>
                  <w:tcW w:w="1697" w:type="dxa"/>
                  <w:tcBorders>
                    <w:top w:val="single" w:color="auto" w:sz="4" w:space="0"/>
                    <w:left w:val="single" w:color="auto" w:sz="4" w:space="0"/>
                    <w:right w:val="single" w:color="auto" w:sz="4" w:space="0"/>
                  </w:tcBorders>
                  <w:noWrap w:val="0"/>
                  <w:vAlign w:val="center"/>
                </w:tcPr>
                <w:p>
                  <w:pPr>
                    <w:snapToGrid w:val="0"/>
                    <w:spacing w:line="240" w:lineRule="auto"/>
                    <w:jc w:val="center"/>
                    <w:rPr>
                      <w:rFonts w:hint="eastAsia" w:hAnsi="宋体"/>
                      <w:color w:val="auto"/>
                      <w:szCs w:val="21"/>
                      <w:u w:val="single"/>
                    </w:rPr>
                  </w:pPr>
                  <w:r>
                    <w:rPr>
                      <w:rFonts w:hint="eastAsia" w:hAnsi="宋体"/>
                      <w:color w:val="auto"/>
                      <w:szCs w:val="21"/>
                      <w:u w:val="single"/>
                    </w:rPr>
                    <w:t>距离衰减、</w:t>
                  </w:r>
                  <w:r>
                    <w:rPr>
                      <w:rFonts w:hint="eastAsia" w:hAnsi="宋体"/>
                      <w:color w:val="auto"/>
                      <w:szCs w:val="21"/>
                      <w:u w:val="single"/>
                      <w:lang w:val="en-US" w:eastAsia="zh-CN"/>
                    </w:rPr>
                    <w:t>消声、</w:t>
                  </w:r>
                  <w:r>
                    <w:rPr>
                      <w:rFonts w:hint="eastAsia" w:hAnsi="宋体"/>
                      <w:color w:val="auto"/>
                      <w:szCs w:val="21"/>
                      <w:u w:val="single"/>
                    </w:rPr>
                    <w:t>隔声等</w:t>
                  </w:r>
                  <w:r>
                    <w:rPr>
                      <w:rFonts w:hint="eastAsia" w:hAnsi="宋体"/>
                      <w:color w:val="auto"/>
                      <w:szCs w:val="21"/>
                      <w:u w:val="single"/>
                      <w:lang w:val="en-US" w:eastAsia="zh-CN"/>
                    </w:rPr>
                    <w:t>措施</w:t>
                  </w:r>
                  <w:r>
                    <w:rPr>
                      <w:rFonts w:hint="eastAsia" w:hAnsi="宋体"/>
                      <w:color w:val="auto"/>
                      <w:szCs w:val="21"/>
                      <w:u w:val="single"/>
                    </w:rPr>
                    <w:t>。</w:t>
                  </w:r>
                  <w:r>
                    <w:rPr>
                      <w:rFonts w:hint="eastAsia"/>
                      <w:color w:val="auto"/>
                      <w:szCs w:val="21"/>
                      <w:highlight w:val="none"/>
                      <w:u w:val="single"/>
                      <w:lang w:val="en-US" w:eastAsia="zh-CN"/>
                    </w:rPr>
                    <w:t>合理安排运输时间，及时保养维修车辆等</w:t>
                  </w:r>
                </w:p>
              </w:tc>
              <w:tc>
                <w:tcPr>
                  <w:tcW w:w="2258" w:type="dxa"/>
                  <w:tcBorders>
                    <w:top w:val="single" w:color="auto" w:sz="4" w:space="0"/>
                    <w:left w:val="single" w:color="auto" w:sz="4" w:space="0"/>
                    <w:right w:val="single" w:color="auto" w:sz="4" w:space="0"/>
                  </w:tcBorders>
                  <w:noWrap w:val="0"/>
                  <w:vAlign w:val="center"/>
                </w:tcPr>
                <w:p>
                  <w:pPr>
                    <w:snapToGrid w:val="0"/>
                    <w:spacing w:line="240" w:lineRule="auto"/>
                    <w:jc w:val="center"/>
                    <w:rPr>
                      <w:rFonts w:hint="eastAsia" w:hAnsi="宋体"/>
                      <w:color w:val="auto"/>
                      <w:szCs w:val="21"/>
                      <w:u w:val="single"/>
                    </w:rPr>
                  </w:pPr>
                  <w:r>
                    <w:rPr>
                      <w:rFonts w:hint="eastAsia" w:hAnsi="宋体"/>
                      <w:color w:val="auto"/>
                      <w:szCs w:val="21"/>
                      <w:u w:val="single"/>
                    </w:rPr>
                    <w:t>距离衰减、</w:t>
                  </w:r>
                  <w:r>
                    <w:rPr>
                      <w:rFonts w:hint="eastAsia" w:hAnsi="宋体"/>
                      <w:color w:val="auto"/>
                      <w:szCs w:val="21"/>
                      <w:u w:val="single"/>
                      <w:lang w:val="en-US" w:eastAsia="zh-CN"/>
                    </w:rPr>
                    <w:t>消声、</w:t>
                  </w:r>
                  <w:r>
                    <w:rPr>
                      <w:rFonts w:hint="eastAsia" w:hAnsi="宋体"/>
                      <w:color w:val="auto"/>
                      <w:szCs w:val="21"/>
                      <w:u w:val="single"/>
                    </w:rPr>
                    <w:t>隔声等</w:t>
                  </w:r>
                  <w:r>
                    <w:rPr>
                      <w:rFonts w:hint="eastAsia" w:hAnsi="宋体"/>
                      <w:color w:val="auto"/>
                      <w:szCs w:val="21"/>
                      <w:u w:val="single"/>
                      <w:lang w:val="en-US" w:eastAsia="zh-CN"/>
                    </w:rPr>
                    <w:t>措施</w:t>
                  </w:r>
                  <w:r>
                    <w:rPr>
                      <w:rFonts w:hint="eastAsia" w:hAnsi="宋体"/>
                      <w:color w:val="auto"/>
                      <w:szCs w:val="21"/>
                      <w:u w:val="single"/>
                    </w:rPr>
                    <w:t>。</w:t>
                  </w:r>
                  <w:r>
                    <w:rPr>
                      <w:rFonts w:hint="eastAsia"/>
                      <w:color w:val="auto"/>
                      <w:szCs w:val="21"/>
                      <w:highlight w:val="none"/>
                      <w:u w:val="single"/>
                      <w:lang w:val="en-US" w:eastAsia="zh-CN"/>
                    </w:rPr>
                    <w:t>合理安排运输时间，及时保养维修车辆等</w:t>
                  </w:r>
                </w:p>
              </w:tc>
              <w:tc>
                <w:tcPr>
                  <w:tcW w:w="1059"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b w:val="0"/>
                      <w:bCs/>
                      <w:color w:val="auto"/>
                      <w:szCs w:val="21"/>
                      <w:highlight w:val="none"/>
                      <w:u w:val="none"/>
                      <w:lang w:val="en-US"/>
                    </w:rPr>
                  </w:pPr>
                  <w:r>
                    <w:rPr>
                      <w:rFonts w:hint="eastAsia"/>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50" w:hRule="atLeast"/>
                <w:jc w:val="center"/>
              </w:trPr>
              <w:tc>
                <w:tcPr>
                  <w:tcW w:w="812" w:type="dxa"/>
                  <w:vMerge w:val="continue"/>
                  <w:tcBorders>
                    <w:left w:val="single" w:color="auto" w:sz="4" w:space="0"/>
                    <w:right w:val="single" w:color="auto" w:sz="4" w:space="0"/>
                  </w:tcBorders>
                  <w:noWrap w:val="0"/>
                  <w:vAlign w:val="center"/>
                </w:tcPr>
                <w:p>
                  <w:pPr>
                    <w:spacing w:line="240" w:lineRule="auto"/>
                    <w:jc w:val="center"/>
                    <w:rPr>
                      <w:rFonts w:hint="eastAsia"/>
                      <w:color w:val="auto"/>
                      <w:szCs w:val="21"/>
                    </w:rPr>
                  </w:pPr>
                </w:p>
              </w:tc>
              <w:tc>
                <w:tcPr>
                  <w:tcW w:w="829" w:type="dxa"/>
                  <w:tcBorders>
                    <w:left w:val="single" w:color="auto" w:sz="4" w:space="0"/>
                    <w:right w:val="single" w:color="auto" w:sz="4" w:space="0"/>
                  </w:tcBorders>
                  <w:noWrap w:val="0"/>
                  <w:vAlign w:val="center"/>
                </w:tcPr>
                <w:p>
                  <w:pPr>
                    <w:snapToGrid w:val="0"/>
                    <w:spacing w:line="240" w:lineRule="auto"/>
                    <w:jc w:val="center"/>
                    <w:rPr>
                      <w:rFonts w:hint="eastAsia" w:hAnsi="宋体" w:eastAsia="宋体"/>
                      <w:color w:val="auto"/>
                      <w:szCs w:val="21"/>
                      <w:u w:val="single"/>
                      <w:lang w:val="en-US" w:eastAsia="zh-CN"/>
                    </w:rPr>
                  </w:pPr>
                  <w:r>
                    <w:rPr>
                      <w:rFonts w:hint="eastAsia" w:hAnsi="宋体"/>
                      <w:color w:val="auto"/>
                      <w:szCs w:val="21"/>
                      <w:u w:val="single"/>
                      <w:lang w:val="en-US" w:eastAsia="zh-CN"/>
                    </w:rPr>
                    <w:t>废气</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eastAsia="宋体"/>
                      <w:color w:val="auto"/>
                      <w:u w:val="single"/>
                      <w:lang w:val="en-US" w:eastAsia="zh-CN"/>
                    </w:rPr>
                  </w:pPr>
                  <w:r>
                    <w:rPr>
                      <w:rFonts w:hint="eastAsia"/>
                      <w:color w:val="auto"/>
                      <w:u w:val="single"/>
                      <w:lang w:val="en-US" w:eastAsia="zh-CN"/>
                    </w:rPr>
                    <w:t>氨气及颗粒物为无组织排放</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color w:val="auto"/>
                      <w:u w:val="single"/>
                      <w:lang w:val="en-US"/>
                    </w:rPr>
                  </w:pPr>
                  <w:r>
                    <w:rPr>
                      <w:rFonts w:hint="default"/>
                      <w:color w:val="auto"/>
                      <w:u w:val="single"/>
                      <w:lang w:val="en-US"/>
                    </w:rPr>
                    <w:t>营运期废气主要为暂存仓库内暂存飞灰产生的 NH</w:t>
                  </w:r>
                  <w:r>
                    <w:rPr>
                      <w:rFonts w:hint="eastAsia"/>
                      <w:color w:val="auto"/>
                      <w:u w:val="single"/>
                      <w:vertAlign w:val="subscript"/>
                      <w:lang w:val="en-US" w:eastAsia="zh-CN"/>
                    </w:rPr>
                    <w:t>3</w:t>
                  </w:r>
                  <w:r>
                    <w:rPr>
                      <w:rFonts w:hint="default"/>
                      <w:color w:val="auto"/>
                      <w:u w:val="single"/>
                      <w:lang w:val="en-US"/>
                    </w:rPr>
                    <w:t>及</w:t>
                  </w:r>
                  <w:r>
                    <w:rPr>
                      <w:rFonts w:hint="eastAsia"/>
                      <w:color w:val="auto"/>
                      <w:u w:val="single"/>
                      <w:lang w:val="en-US" w:eastAsia="zh-CN"/>
                    </w:rPr>
                    <w:t>装卸、运输产生的</w:t>
                  </w:r>
                  <w:r>
                    <w:rPr>
                      <w:rFonts w:hint="default"/>
                      <w:color w:val="auto"/>
                      <w:u w:val="single"/>
                      <w:lang w:val="en-US"/>
                    </w:rPr>
                    <w:t>颗粒物，拟通过抽风进入喷淋塔</w:t>
                  </w:r>
                  <w:r>
                    <w:rPr>
                      <w:rFonts w:hint="eastAsia"/>
                      <w:color w:val="auto"/>
                      <w:u w:val="single"/>
                      <w:lang w:val="en-US" w:eastAsia="zh-CN"/>
                    </w:rPr>
                    <w:t>后经15m高排气筒进行排放</w:t>
                  </w:r>
                  <w:r>
                    <w:rPr>
                      <w:rFonts w:hint="default"/>
                      <w:color w:val="auto"/>
                      <w:u w:val="single"/>
                      <w:lang w:val="en-US"/>
                    </w:rPr>
                    <w:t>，减少无组织排放对外环境影响</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color w:val="auto"/>
                      <w:u w:val="single"/>
                      <w:lang w:val="en-US"/>
                    </w:rPr>
                  </w:pPr>
                  <w:r>
                    <w:rPr>
                      <w:rFonts w:hint="default"/>
                      <w:color w:val="auto"/>
                      <w:u w:val="single"/>
                      <w:lang w:val="en-US"/>
                    </w:rPr>
                    <w:t>营运期废气主要为暂存仓库内暂存飞灰产生的NH</w:t>
                  </w:r>
                  <w:r>
                    <w:rPr>
                      <w:rFonts w:hint="eastAsia"/>
                      <w:color w:val="auto"/>
                      <w:u w:val="single"/>
                      <w:vertAlign w:val="subscript"/>
                      <w:lang w:val="en-US" w:eastAsia="zh-CN"/>
                    </w:rPr>
                    <w:t>3</w:t>
                  </w:r>
                  <w:r>
                    <w:rPr>
                      <w:rFonts w:hint="default"/>
                      <w:color w:val="auto"/>
                      <w:u w:val="single"/>
                      <w:lang w:val="en-US"/>
                    </w:rPr>
                    <w:t>及</w:t>
                  </w:r>
                  <w:r>
                    <w:rPr>
                      <w:rFonts w:hint="eastAsia"/>
                      <w:color w:val="auto"/>
                      <w:u w:val="single"/>
                      <w:lang w:val="en-US" w:eastAsia="zh-CN"/>
                    </w:rPr>
                    <w:t>装卸、运输产生的</w:t>
                  </w:r>
                  <w:r>
                    <w:rPr>
                      <w:rFonts w:hint="default"/>
                      <w:color w:val="auto"/>
                      <w:u w:val="single"/>
                      <w:lang w:val="en-US"/>
                    </w:rPr>
                    <w:t>颗粒物，拟通过抽风进入喷淋塔</w:t>
                  </w:r>
                  <w:r>
                    <w:rPr>
                      <w:rFonts w:hint="eastAsia"/>
                      <w:color w:val="auto"/>
                      <w:u w:val="single"/>
                      <w:lang w:val="en-US" w:eastAsia="zh-CN"/>
                    </w:rPr>
                    <w:t>后经15m高排气筒进行排放</w:t>
                  </w:r>
                  <w:r>
                    <w:rPr>
                      <w:rFonts w:hint="default"/>
                      <w:color w:val="auto"/>
                      <w:u w:val="single"/>
                      <w:lang w:val="en-US"/>
                    </w:rPr>
                    <w:t>，减少无组织排放对外环境影响</w:t>
                  </w:r>
                </w:p>
              </w:tc>
              <w:tc>
                <w:tcPr>
                  <w:tcW w:w="1059"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本次扩建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12" w:type="dxa"/>
                  <w:vMerge w:val="continue"/>
                  <w:tcBorders>
                    <w:left w:val="single" w:color="auto" w:sz="4" w:space="0"/>
                    <w:right w:val="single" w:color="auto" w:sz="4" w:space="0"/>
                  </w:tcBorders>
                  <w:noWrap w:val="0"/>
                  <w:vAlign w:val="center"/>
                </w:tcPr>
                <w:p>
                  <w:pPr>
                    <w:spacing w:line="240" w:lineRule="auto"/>
                    <w:jc w:val="center"/>
                    <w:rPr>
                      <w:rFonts w:hint="eastAsia"/>
                      <w:color w:val="auto"/>
                      <w:szCs w:val="21"/>
                    </w:rPr>
                  </w:pPr>
                </w:p>
              </w:tc>
              <w:tc>
                <w:tcPr>
                  <w:tcW w:w="829" w:type="dxa"/>
                  <w:tcBorders>
                    <w:left w:val="single" w:color="auto" w:sz="4" w:space="0"/>
                    <w:right w:val="single" w:color="auto" w:sz="4" w:space="0"/>
                  </w:tcBorders>
                  <w:noWrap w:val="0"/>
                  <w:vAlign w:val="center"/>
                </w:tcPr>
                <w:p>
                  <w:pPr>
                    <w:snapToGrid w:val="0"/>
                    <w:spacing w:line="240" w:lineRule="auto"/>
                    <w:jc w:val="center"/>
                    <w:rPr>
                      <w:rFonts w:hint="default" w:hAnsi="宋体"/>
                      <w:color w:val="auto"/>
                      <w:szCs w:val="21"/>
                      <w:u w:val="single"/>
                      <w:lang w:val="en-US" w:eastAsia="zh-CN"/>
                    </w:rPr>
                  </w:pPr>
                  <w:r>
                    <w:rPr>
                      <w:rFonts w:hint="eastAsia" w:hAnsi="宋体"/>
                      <w:color w:val="auto"/>
                      <w:szCs w:val="21"/>
                      <w:u w:val="single"/>
                      <w:lang w:val="en-US" w:eastAsia="zh-CN"/>
                    </w:rPr>
                    <w:t>废水</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color w:val="auto"/>
                      <w:u w:val="single"/>
                      <w:lang w:val="en-US" w:eastAsia="zh-CN"/>
                    </w:rPr>
                  </w:pPr>
                  <w:r>
                    <w:rPr>
                      <w:rFonts w:hint="eastAsia"/>
                      <w:color w:val="auto"/>
                      <w:u w:val="single"/>
                      <w:lang w:val="en-US" w:eastAsia="zh-CN"/>
                    </w:rPr>
                    <w:t>无废水产生</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color w:val="auto"/>
                      <w:u w:val="single"/>
                      <w:lang w:val="en-US" w:eastAsia="zh-CN"/>
                    </w:rPr>
                  </w:pPr>
                  <w:r>
                    <w:rPr>
                      <w:rFonts w:hint="eastAsia"/>
                      <w:color w:val="auto"/>
                      <w:u w:val="single"/>
                      <w:lang w:val="en-US" w:eastAsia="zh-CN"/>
                    </w:rPr>
                    <w:t>营运期无生活污水产生，生产废水为废气处理的喷淋废水，依托</w:t>
                  </w:r>
                  <w:r>
                    <w:rPr>
                      <w:rFonts w:hint="eastAsia" w:ascii="Times New Roman" w:hAnsi="Times New Roman" w:eastAsia="宋体" w:cs="Times New Roman"/>
                      <w:color w:val="auto"/>
                      <w:szCs w:val="21"/>
                      <w:highlight w:val="none"/>
                      <w:u w:val="single"/>
                      <w:lang w:val="en-US" w:eastAsia="zh-CN"/>
                    </w:rPr>
                    <w:t>鲁山首创环保能源有限公司现有</w:t>
                  </w:r>
                  <w:r>
                    <w:rPr>
                      <w:rFonts w:hint="eastAsia"/>
                      <w:color w:val="auto"/>
                      <w:u w:val="single"/>
                      <w:lang w:val="en-US" w:eastAsia="zh-CN"/>
                    </w:rPr>
                    <w:t>废水处理系统（设计处理规模为200m³/d，丰水期（雨季）平均处理180m³/d，枯水期平均65m³/d）</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color w:val="auto"/>
                      <w:u w:val="single"/>
                      <w:lang w:val="en-US" w:eastAsia="zh-CN"/>
                    </w:rPr>
                  </w:pPr>
                  <w:r>
                    <w:rPr>
                      <w:rFonts w:hint="eastAsia"/>
                      <w:color w:val="auto"/>
                      <w:u w:val="single"/>
                      <w:lang w:val="en-US" w:eastAsia="zh-CN"/>
                    </w:rPr>
                    <w:t>营运期无生活污水产生，生产废水为废气处理的喷淋废水，依托</w:t>
                  </w:r>
                  <w:r>
                    <w:rPr>
                      <w:rFonts w:hint="eastAsia" w:ascii="Times New Roman" w:hAnsi="Times New Roman" w:eastAsia="宋体" w:cs="Times New Roman"/>
                      <w:color w:val="auto"/>
                      <w:szCs w:val="21"/>
                      <w:highlight w:val="none"/>
                      <w:u w:val="single"/>
                      <w:lang w:val="en-US" w:eastAsia="zh-CN"/>
                    </w:rPr>
                    <w:t>鲁山首创环保能源有限公司现有</w:t>
                  </w:r>
                  <w:r>
                    <w:rPr>
                      <w:rFonts w:hint="eastAsia" w:cs="Times New Roman"/>
                      <w:color w:val="auto"/>
                      <w:szCs w:val="21"/>
                      <w:highlight w:val="none"/>
                      <w:u w:val="single"/>
                      <w:lang w:val="en-US" w:eastAsia="zh-CN"/>
                    </w:rPr>
                    <w:t>生产</w:t>
                  </w:r>
                  <w:r>
                    <w:rPr>
                      <w:rFonts w:hint="eastAsia"/>
                      <w:color w:val="auto"/>
                      <w:u w:val="single"/>
                      <w:lang w:val="en-US" w:eastAsia="zh-CN"/>
                    </w:rPr>
                    <w:t>废水处理系统</w:t>
                  </w:r>
                </w:p>
              </w:tc>
              <w:tc>
                <w:tcPr>
                  <w:tcW w:w="1059"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本次扩建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12" w:type="dxa"/>
                  <w:vMerge w:val="continue"/>
                  <w:tcBorders>
                    <w:left w:val="single" w:color="auto" w:sz="4" w:space="0"/>
                    <w:right w:val="single" w:color="auto" w:sz="4" w:space="0"/>
                  </w:tcBorders>
                  <w:noWrap w:val="0"/>
                  <w:vAlign w:val="center"/>
                </w:tcPr>
                <w:p>
                  <w:pPr>
                    <w:spacing w:line="240" w:lineRule="auto"/>
                    <w:jc w:val="center"/>
                    <w:rPr>
                      <w:rFonts w:hint="eastAsia"/>
                      <w:color w:val="auto"/>
                      <w:szCs w:val="21"/>
                    </w:rPr>
                  </w:pPr>
                </w:p>
              </w:tc>
              <w:tc>
                <w:tcPr>
                  <w:tcW w:w="829" w:type="dxa"/>
                  <w:tcBorders>
                    <w:left w:val="single" w:color="auto" w:sz="4" w:space="0"/>
                    <w:right w:val="single" w:color="auto" w:sz="4" w:space="0"/>
                  </w:tcBorders>
                  <w:noWrap w:val="0"/>
                  <w:vAlign w:val="center"/>
                </w:tcPr>
                <w:p>
                  <w:pPr>
                    <w:snapToGrid w:val="0"/>
                    <w:spacing w:line="240" w:lineRule="auto"/>
                    <w:jc w:val="center"/>
                    <w:rPr>
                      <w:rFonts w:hint="default" w:hAnsi="宋体"/>
                      <w:color w:val="auto"/>
                      <w:szCs w:val="21"/>
                      <w:u w:val="single"/>
                      <w:lang w:val="en-US" w:eastAsia="zh-CN"/>
                    </w:rPr>
                  </w:pPr>
                  <w:r>
                    <w:rPr>
                      <w:rFonts w:hint="eastAsia" w:hAnsi="宋体"/>
                      <w:color w:val="auto"/>
                      <w:szCs w:val="21"/>
                      <w:u w:val="single"/>
                      <w:lang w:val="en-US" w:eastAsia="zh-CN"/>
                    </w:rPr>
                    <w:t>固废</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color w:val="auto"/>
                      <w:u w:val="single"/>
                      <w:lang w:val="en-US" w:eastAsia="zh-CN"/>
                    </w:rPr>
                  </w:pPr>
                  <w:r>
                    <w:rPr>
                      <w:rFonts w:hint="eastAsia"/>
                      <w:color w:val="auto"/>
                      <w:u w:val="single"/>
                      <w:lang w:val="en-US" w:eastAsia="zh-CN"/>
                    </w:rPr>
                    <w:t>本身不产生固废</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color w:val="auto"/>
                      <w:u w:val="single"/>
                      <w:lang w:val="en-US" w:eastAsia="zh-CN"/>
                    </w:rPr>
                  </w:pPr>
                  <w:r>
                    <w:rPr>
                      <w:rFonts w:hint="eastAsia"/>
                      <w:color w:val="auto"/>
                      <w:u w:val="single"/>
                      <w:lang w:val="en-US" w:eastAsia="zh-CN"/>
                    </w:rPr>
                    <w:t>本身不产生固废</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color w:val="auto"/>
                      <w:u w:val="single"/>
                      <w:lang w:val="en-US" w:eastAsia="zh-CN"/>
                    </w:rPr>
                  </w:pPr>
                  <w:r>
                    <w:rPr>
                      <w:rFonts w:hint="eastAsia"/>
                      <w:color w:val="auto"/>
                      <w:u w:val="single"/>
                      <w:lang w:val="en-US" w:eastAsia="zh-CN"/>
                    </w:rPr>
                    <w:t>本身不产生固废</w:t>
                  </w:r>
                </w:p>
              </w:tc>
              <w:tc>
                <w:tcPr>
                  <w:tcW w:w="1059"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color w:val="auto"/>
                      <w:lang w:val="en-US" w:eastAsia="zh-CN"/>
                    </w:rPr>
                  </w:pPr>
                  <w:r>
                    <w:rPr>
                      <w:rFonts w:hint="eastAsia" w:cs="Times New Roman"/>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12" w:type="dxa"/>
                  <w:vMerge w:val="continue"/>
                  <w:tcBorders>
                    <w:left w:val="single" w:color="auto" w:sz="4" w:space="0"/>
                    <w:right w:val="single" w:color="auto" w:sz="4" w:space="0"/>
                  </w:tcBorders>
                  <w:noWrap w:val="0"/>
                  <w:vAlign w:val="center"/>
                </w:tcPr>
                <w:p>
                  <w:pPr>
                    <w:spacing w:line="240" w:lineRule="auto"/>
                    <w:jc w:val="center"/>
                    <w:rPr>
                      <w:rFonts w:hint="eastAsia"/>
                      <w:color w:val="auto"/>
                      <w:szCs w:val="21"/>
                    </w:rPr>
                  </w:pPr>
                </w:p>
              </w:tc>
              <w:tc>
                <w:tcPr>
                  <w:tcW w:w="829" w:type="dxa"/>
                  <w:tcBorders>
                    <w:left w:val="single" w:color="auto" w:sz="4" w:space="0"/>
                    <w:bottom w:val="single" w:color="auto" w:sz="4" w:space="0"/>
                    <w:right w:val="single" w:color="auto" w:sz="4" w:space="0"/>
                  </w:tcBorders>
                  <w:noWrap w:val="0"/>
                  <w:vAlign w:val="center"/>
                </w:tcPr>
                <w:p>
                  <w:pPr>
                    <w:snapToGrid w:val="0"/>
                    <w:spacing w:line="240" w:lineRule="auto"/>
                    <w:jc w:val="center"/>
                    <w:rPr>
                      <w:rFonts w:hint="default" w:hAnsi="宋体"/>
                      <w:color w:val="auto"/>
                      <w:szCs w:val="21"/>
                      <w:u w:val="single"/>
                      <w:lang w:val="en-US" w:eastAsia="zh-CN"/>
                    </w:rPr>
                  </w:pPr>
                  <w:r>
                    <w:rPr>
                      <w:rFonts w:hint="eastAsia" w:hAnsi="宋体"/>
                      <w:color w:val="auto"/>
                      <w:szCs w:val="21"/>
                      <w:u w:val="single"/>
                      <w:lang w:val="en-US" w:eastAsia="zh-CN"/>
                    </w:rPr>
                    <w:t>环境风险</w:t>
                  </w:r>
                </w:p>
              </w:tc>
              <w:tc>
                <w:tcPr>
                  <w:tcW w:w="1803"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color w:val="auto"/>
                      <w:u w:val="single"/>
                      <w:lang w:val="en-US" w:eastAsia="zh-CN"/>
                    </w:rPr>
                  </w:pPr>
                  <w:r>
                    <w:rPr>
                      <w:rFonts w:hint="eastAsia"/>
                      <w:color w:val="auto"/>
                      <w:highlight w:val="none"/>
                      <w:u w:val="single"/>
                      <w:lang w:val="en-US" w:eastAsia="zh-CN"/>
                    </w:rPr>
                    <w:t>库内地面已采取重点防渗，飞灰分区堆存</w:t>
                  </w:r>
                </w:p>
              </w:tc>
              <w:tc>
                <w:tcPr>
                  <w:tcW w:w="1697"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color w:val="auto"/>
                      <w:highlight w:val="yellow"/>
                      <w:u w:val="single"/>
                      <w:lang w:val="en-US" w:eastAsia="zh-CN"/>
                    </w:rPr>
                  </w:pPr>
                  <w:r>
                    <w:rPr>
                      <w:rFonts w:hint="eastAsia" w:ascii="Times New Roman" w:hAnsi="Times New Roman" w:eastAsia="宋体" w:cs="Times New Roman"/>
                      <w:color w:val="auto"/>
                      <w:sz w:val="21"/>
                      <w:szCs w:val="21"/>
                      <w:u w:val="single"/>
                      <w:lang w:val="en-US" w:eastAsia="zh-CN"/>
                    </w:rPr>
                    <w:t>库内地面</w:t>
                  </w:r>
                  <w:r>
                    <w:rPr>
                      <w:rFonts w:hint="eastAsia" w:cs="Times New Roman"/>
                      <w:color w:val="auto"/>
                      <w:sz w:val="21"/>
                      <w:szCs w:val="21"/>
                      <w:u w:val="single"/>
                      <w:lang w:val="en-US" w:eastAsia="zh-CN"/>
                    </w:rPr>
                    <w:t>、墙裙等重点防渗，拟</w:t>
                  </w:r>
                  <w:r>
                    <w:rPr>
                      <w:rFonts w:hint="eastAsia" w:ascii="Times New Roman" w:hAnsi="Times New Roman" w:eastAsia="宋体" w:cs="Times New Roman"/>
                      <w:color w:val="auto"/>
                      <w:sz w:val="21"/>
                      <w:szCs w:val="21"/>
                      <w:u w:val="single"/>
                      <w:lang w:val="en-US" w:eastAsia="zh-CN"/>
                    </w:rPr>
                    <w:t>采用2mm厚高密度聚乙烯防渗膜(HDPE 光面膜主要抗渗层)</w:t>
                  </w:r>
                </w:p>
              </w:tc>
              <w:tc>
                <w:tcPr>
                  <w:tcW w:w="2258"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color w:val="auto"/>
                      <w:highlight w:val="yellow"/>
                      <w:u w:val="single"/>
                      <w:lang w:val="en-US" w:eastAsia="zh-CN"/>
                    </w:rPr>
                  </w:pPr>
                  <w:r>
                    <w:rPr>
                      <w:rFonts w:hint="eastAsia" w:ascii="Times New Roman" w:hAnsi="Times New Roman" w:eastAsia="宋体" w:cs="Times New Roman"/>
                      <w:color w:val="auto"/>
                      <w:u w:val="single"/>
                      <w:lang w:val="en-US" w:eastAsia="zh-CN"/>
                    </w:rPr>
                    <w:t>已有飞灰暂存库内地面已采取重点防渗，扩建飞灰临时暂存仓库的基础采用2mm 厚高密度聚乙烯膜HDPE，渗透系数&lt;1.0×10</w:t>
                  </w:r>
                  <w:r>
                    <w:rPr>
                      <w:rFonts w:hint="eastAsia" w:ascii="Times New Roman" w:hAnsi="Times New Roman" w:eastAsia="宋体" w:cs="Times New Roman"/>
                      <w:color w:val="auto"/>
                      <w:u w:val="single"/>
                      <w:vertAlign w:val="superscript"/>
                      <w:lang w:val="en-US" w:eastAsia="zh-CN"/>
                    </w:rPr>
                    <w:t>-10</w:t>
                  </w:r>
                  <w:r>
                    <w:rPr>
                      <w:rFonts w:hint="eastAsia" w:ascii="Times New Roman" w:hAnsi="Times New Roman" w:eastAsia="宋体" w:cs="Times New Roman"/>
                      <w:color w:val="auto"/>
                      <w:u w:val="single"/>
                      <w:lang w:val="en-US" w:eastAsia="zh-CN"/>
                    </w:rPr>
                    <w:t>cm/s</w:t>
                  </w:r>
                </w:p>
              </w:tc>
              <w:tc>
                <w:tcPr>
                  <w:tcW w:w="1059" w:type="dxa"/>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本次扩建</w:t>
                  </w:r>
                </w:p>
              </w:tc>
            </w:tr>
          </w:tbl>
          <w:p>
            <w:pPr>
              <w:spacing w:line="520" w:lineRule="exact"/>
              <w:ind w:firstLine="482" w:firstLineChars="200"/>
              <w:rPr>
                <w:rFonts w:hint="default" w:cs="Times New Roman"/>
                <w:b/>
                <w:color w:val="auto"/>
                <w:sz w:val="24"/>
                <w:lang w:val="en-US" w:eastAsia="zh-CN"/>
              </w:rPr>
            </w:pPr>
            <w:r>
              <w:rPr>
                <w:rFonts w:hint="eastAsia" w:cs="Times New Roman"/>
                <w:b/>
                <w:color w:val="auto"/>
                <w:sz w:val="24"/>
                <w:lang w:val="en-US" w:eastAsia="zh-CN"/>
              </w:rPr>
              <w:t>5.2飞灰库具体建设要求</w:t>
            </w:r>
          </w:p>
          <w:p>
            <w:pPr>
              <w:spacing w:line="520" w:lineRule="exact"/>
              <w:ind w:firstLine="482" w:firstLineChars="200"/>
              <w:rPr>
                <w:rFonts w:hint="eastAsia" w:cs="Times New Roman"/>
                <w:b/>
                <w:color w:val="auto"/>
                <w:sz w:val="24"/>
                <w:lang w:val="en-US" w:eastAsia="zh-CN"/>
              </w:rPr>
            </w:pPr>
            <w:r>
              <w:rPr>
                <w:rFonts w:hint="eastAsia" w:cs="Times New Roman"/>
                <w:b/>
                <w:color w:val="auto"/>
                <w:sz w:val="24"/>
                <w:lang w:val="en-US" w:eastAsia="zh-CN"/>
              </w:rPr>
              <w:t>（1）建筑结构</w:t>
            </w:r>
          </w:p>
          <w:p>
            <w:pPr>
              <w:adjustRightInd w:val="0"/>
              <w:snapToGrid w:val="0"/>
              <w:spacing w:line="520" w:lineRule="exact"/>
              <w:ind w:firstLine="588" w:firstLineChars="245"/>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本项目飞灰临时暂存</w:t>
            </w:r>
            <w:r>
              <w:rPr>
                <w:rFonts w:hint="eastAsia" w:cs="Times New Roman"/>
                <w:color w:val="auto"/>
                <w:sz w:val="24"/>
                <w:lang w:val="en-US" w:eastAsia="zh-CN"/>
              </w:rPr>
              <w:t>库为鲁山首创生物质能源有限公司现有生物质料棚改造，目前库墙体为铁质防飞网</w:t>
            </w:r>
            <w:r>
              <w:rPr>
                <w:rFonts w:hint="eastAsia" w:ascii="Times New Roman" w:hAnsi="Times New Roman" w:cs="Times New Roman"/>
                <w:color w:val="auto"/>
                <w:sz w:val="24"/>
                <w:lang w:val="en-US" w:eastAsia="zh-CN"/>
              </w:rPr>
              <w:t>单层钢结构厂房，</w:t>
            </w:r>
            <w:r>
              <w:rPr>
                <w:rFonts w:hint="eastAsia" w:cs="Times New Roman"/>
                <w:color w:val="auto"/>
                <w:sz w:val="24"/>
                <w:lang w:val="en-US" w:eastAsia="zh-CN"/>
              </w:rPr>
              <w:t>总占地面积约4200</w:t>
            </w:r>
            <w:r>
              <w:rPr>
                <w:rFonts w:hint="eastAsia" w:ascii="Times New Roman" w:hAnsi="Times New Roman" w:cs="Times New Roman"/>
                <w:color w:val="auto"/>
                <w:sz w:val="24"/>
                <w:lang w:val="en-US" w:eastAsia="zh-CN"/>
              </w:rPr>
              <w:t>m</w:t>
            </w:r>
            <w:r>
              <w:rPr>
                <w:rFonts w:hint="eastAsia" w:cs="Times New Roman"/>
                <w:color w:val="auto"/>
                <w:sz w:val="24"/>
                <w:vertAlign w:val="superscript"/>
                <w:lang w:val="en-US" w:eastAsia="zh-CN"/>
              </w:rPr>
              <w:t>2</w:t>
            </w:r>
            <w:r>
              <w:rPr>
                <w:rFonts w:hint="eastAsia" w:ascii="Times New Roman" w:hAnsi="Times New Roman" w:cs="Times New Roman"/>
                <w:color w:val="auto"/>
                <w:sz w:val="24"/>
                <w:lang w:val="en-US" w:eastAsia="zh-CN"/>
              </w:rPr>
              <w:t>，</w:t>
            </w:r>
            <w:r>
              <w:rPr>
                <w:rFonts w:hint="eastAsia" w:ascii="Times New Roman" w:hAnsi="Times New Roman" w:cs="Times New Roman"/>
                <w:color w:val="auto"/>
                <w:sz w:val="24"/>
                <w:highlight w:val="none"/>
                <w:lang w:val="en-US" w:eastAsia="zh-CN"/>
              </w:rPr>
              <w:t>总建筑面积</w:t>
            </w:r>
            <w:r>
              <w:rPr>
                <w:rFonts w:hint="eastAsia" w:cs="Times New Roman"/>
                <w:color w:val="auto"/>
                <w:sz w:val="24"/>
                <w:highlight w:val="none"/>
                <w:lang w:val="en-US" w:eastAsia="zh-CN"/>
              </w:rPr>
              <w:t>4200</w:t>
            </w:r>
            <w:r>
              <w:rPr>
                <w:rFonts w:hint="eastAsia" w:ascii="Times New Roman" w:hAnsi="Times New Roman" w:cs="Times New Roman"/>
                <w:color w:val="auto"/>
                <w:sz w:val="24"/>
                <w:highlight w:val="none"/>
                <w:lang w:val="en-US" w:eastAsia="zh-CN"/>
              </w:rPr>
              <w:t>m</w:t>
            </w:r>
            <w:r>
              <w:rPr>
                <w:rFonts w:hint="eastAsia" w:cs="Times New Roman"/>
                <w:color w:val="auto"/>
                <w:sz w:val="24"/>
                <w:highlight w:val="none"/>
                <w:vertAlign w:val="superscript"/>
                <w:lang w:val="en-US" w:eastAsia="zh-CN"/>
              </w:rPr>
              <w:t>2</w:t>
            </w:r>
            <w:r>
              <w:rPr>
                <w:rFonts w:hint="eastAsia" w:ascii="Times New Roman" w:hAnsi="Times New Roman" w:cs="Times New Roman"/>
                <w:color w:val="auto"/>
                <w:sz w:val="24"/>
                <w:highlight w:val="none"/>
                <w:lang w:val="en-US" w:eastAsia="zh-CN"/>
              </w:rPr>
              <w:t>，长约</w:t>
            </w:r>
            <w:r>
              <w:rPr>
                <w:rFonts w:hint="eastAsia" w:cs="Times New Roman"/>
                <w:color w:val="auto"/>
                <w:sz w:val="24"/>
                <w:highlight w:val="none"/>
                <w:lang w:val="en-US" w:eastAsia="zh-CN"/>
              </w:rPr>
              <w:t>75</w:t>
            </w:r>
            <w:r>
              <w:rPr>
                <w:rFonts w:hint="eastAsia" w:ascii="Times New Roman" w:hAnsi="Times New Roman" w:cs="Times New Roman"/>
                <w:color w:val="auto"/>
                <w:sz w:val="24"/>
                <w:highlight w:val="none"/>
                <w:lang w:val="en-US" w:eastAsia="zh-CN"/>
              </w:rPr>
              <w:t>m、宽</w:t>
            </w:r>
            <w:r>
              <w:rPr>
                <w:rFonts w:hint="eastAsia" w:cs="Times New Roman"/>
                <w:color w:val="auto"/>
                <w:sz w:val="24"/>
                <w:highlight w:val="none"/>
                <w:lang w:val="en-US" w:eastAsia="zh-CN"/>
              </w:rPr>
              <w:t>56</w:t>
            </w:r>
            <w:r>
              <w:rPr>
                <w:rFonts w:hint="eastAsia" w:ascii="Times New Roman" w:hAnsi="Times New Roman" w:cs="Times New Roman"/>
                <w:color w:val="auto"/>
                <w:sz w:val="24"/>
                <w:highlight w:val="none"/>
                <w:lang w:val="en-US" w:eastAsia="zh-CN"/>
              </w:rPr>
              <w:t>m</w:t>
            </w:r>
            <w:r>
              <w:rPr>
                <w:rFonts w:hint="eastAsia" w:ascii="Times New Roman" w:hAnsi="Times New Roman" w:cs="Times New Roman"/>
                <w:color w:val="auto"/>
                <w:sz w:val="24"/>
                <w:lang w:val="en-US" w:eastAsia="zh-CN"/>
              </w:rPr>
              <w:t>，厂房高</w:t>
            </w:r>
            <w:r>
              <w:rPr>
                <w:rFonts w:hint="eastAsia" w:cs="Times New Roman"/>
                <w:color w:val="auto"/>
                <w:sz w:val="24"/>
                <w:lang w:val="en-US" w:eastAsia="zh-CN"/>
              </w:rPr>
              <w:t>11.175</w:t>
            </w:r>
            <w:r>
              <w:rPr>
                <w:rFonts w:hint="eastAsia" w:ascii="Times New Roman" w:hAnsi="Times New Roman" w:cs="Times New Roman"/>
                <w:color w:val="auto"/>
                <w:sz w:val="24"/>
                <w:lang w:val="en-US" w:eastAsia="zh-CN"/>
              </w:rPr>
              <w:t>m，</w:t>
            </w:r>
            <w:r>
              <w:rPr>
                <w:rFonts w:hint="eastAsia" w:cs="Times New Roman"/>
                <w:color w:val="auto"/>
                <w:sz w:val="24"/>
                <w:lang w:val="en-US" w:eastAsia="zh-CN"/>
              </w:rPr>
              <w:t>本项目</w:t>
            </w:r>
            <w:r>
              <w:rPr>
                <w:rFonts w:hint="eastAsia" w:ascii="Times New Roman" w:hAnsi="Times New Roman" w:cs="Times New Roman"/>
                <w:color w:val="auto"/>
                <w:sz w:val="24"/>
                <w:lang w:val="en-US" w:eastAsia="zh-CN"/>
              </w:rPr>
              <w:t>屋面</w:t>
            </w:r>
            <w:r>
              <w:rPr>
                <w:rFonts w:hint="eastAsia" w:cs="Times New Roman"/>
                <w:color w:val="auto"/>
                <w:sz w:val="24"/>
                <w:lang w:val="en-US" w:eastAsia="zh-CN"/>
              </w:rPr>
              <w:t>拟</w:t>
            </w:r>
            <w:r>
              <w:rPr>
                <w:rFonts w:hint="eastAsia" w:ascii="Times New Roman" w:hAnsi="Times New Roman" w:cs="Times New Roman"/>
                <w:color w:val="auto"/>
                <w:sz w:val="24"/>
                <w:lang w:val="en-US" w:eastAsia="zh-CN"/>
              </w:rPr>
              <w:t>采用加压型彩钢板屋面，外墙围护</w:t>
            </w:r>
            <w:r>
              <w:rPr>
                <w:rFonts w:hint="eastAsia" w:cs="Times New Roman"/>
                <w:color w:val="auto"/>
                <w:sz w:val="24"/>
                <w:lang w:val="en-US" w:eastAsia="zh-CN"/>
              </w:rPr>
              <w:t>1</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5</w:t>
            </w:r>
            <w:r>
              <w:rPr>
                <w:rFonts w:hint="eastAsia" w:ascii="Times New Roman" w:hAnsi="Times New Roman" w:cs="Times New Roman"/>
                <w:color w:val="auto"/>
                <w:sz w:val="24"/>
                <w:lang w:val="en-US" w:eastAsia="zh-CN"/>
              </w:rPr>
              <w:t>米以下</w:t>
            </w:r>
            <w:r>
              <w:rPr>
                <w:rFonts w:hint="eastAsia" w:cs="Times New Roman"/>
                <w:color w:val="auto"/>
                <w:sz w:val="24"/>
                <w:lang w:val="en-US" w:eastAsia="zh-CN"/>
              </w:rPr>
              <w:t>保持现有</w:t>
            </w:r>
            <w:r>
              <w:rPr>
                <w:rFonts w:hint="eastAsia" w:ascii="Times New Roman" w:hAnsi="Times New Roman" w:cs="Times New Roman"/>
                <w:color w:val="auto"/>
                <w:sz w:val="24"/>
                <w:lang w:val="en-US" w:eastAsia="zh-CN"/>
              </w:rPr>
              <w:t>墙面，</w:t>
            </w:r>
            <w:r>
              <w:rPr>
                <w:rFonts w:hint="eastAsia" w:cs="Times New Roman"/>
                <w:color w:val="auto"/>
                <w:sz w:val="24"/>
                <w:lang w:val="en-US" w:eastAsia="zh-CN"/>
              </w:rPr>
              <w:t>1</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5</w:t>
            </w:r>
            <w:r>
              <w:rPr>
                <w:rFonts w:hint="eastAsia" w:ascii="Times New Roman" w:hAnsi="Times New Roman" w:cs="Times New Roman"/>
                <w:color w:val="auto"/>
                <w:sz w:val="24"/>
                <w:lang w:val="en-US" w:eastAsia="zh-CN"/>
              </w:rPr>
              <w:t>米以上采用</w:t>
            </w:r>
            <w:r>
              <w:rPr>
                <w:rFonts w:hint="eastAsia" w:cs="Times New Roman"/>
                <w:color w:val="auto"/>
                <w:sz w:val="24"/>
                <w:lang w:val="en-US" w:eastAsia="zh-CN"/>
              </w:rPr>
              <w:t>全密闭</w:t>
            </w:r>
            <w:r>
              <w:rPr>
                <w:rFonts w:hint="eastAsia" w:ascii="Times New Roman" w:hAnsi="Times New Roman" w:cs="Times New Roman"/>
                <w:color w:val="auto"/>
                <w:sz w:val="24"/>
                <w:lang w:val="en-US" w:eastAsia="zh-CN"/>
              </w:rPr>
              <w:t>墙面。</w:t>
            </w:r>
          </w:p>
          <w:p>
            <w:pPr>
              <w:spacing w:line="520" w:lineRule="exact"/>
              <w:ind w:firstLine="482" w:firstLineChars="200"/>
              <w:rPr>
                <w:rFonts w:hint="eastAsia" w:cs="Times New Roman"/>
                <w:b/>
                <w:color w:val="auto"/>
                <w:sz w:val="24"/>
                <w:lang w:val="en-US" w:eastAsia="zh-CN"/>
              </w:rPr>
            </w:pPr>
            <w:r>
              <w:rPr>
                <w:rFonts w:hint="eastAsia" w:cs="Times New Roman"/>
                <w:b/>
                <w:color w:val="auto"/>
                <w:sz w:val="24"/>
                <w:lang w:val="en-US" w:eastAsia="zh-CN"/>
              </w:rPr>
              <w:t>（2）防渗设计</w:t>
            </w:r>
          </w:p>
          <w:p>
            <w:pPr>
              <w:adjustRightInd w:val="0"/>
              <w:snapToGrid w:val="0"/>
              <w:spacing w:line="520" w:lineRule="exact"/>
              <w:ind w:firstLine="588" w:firstLineChars="245"/>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本项目为飞灰临时暂存仓库，依据《危险废物贮存污染控制标准》GB18597-2023)标准要求，本次飞灰临时暂存仓库的基础采用2mm 厚高密度聚乙烯膜HDPE，渗透系数&lt;1.0</w:t>
            </w:r>
            <w:r>
              <w:rPr>
                <w:rFonts w:hint="eastAsia" w:ascii="微软雅黑" w:hAnsi="微软雅黑" w:eastAsia="微软雅黑" w:cs="微软雅黑"/>
                <w:color w:val="auto"/>
                <w:sz w:val="24"/>
                <w:lang w:val="en-US" w:eastAsia="zh-CN"/>
              </w:rPr>
              <w:t>×</w:t>
            </w:r>
            <w:r>
              <w:rPr>
                <w:rFonts w:hint="eastAsia" w:ascii="Times New Roman" w:hAnsi="Times New Roman" w:cs="Times New Roman"/>
                <w:color w:val="auto"/>
                <w:sz w:val="24"/>
                <w:lang w:val="en-US" w:eastAsia="zh-CN"/>
              </w:rPr>
              <w:t>10</w:t>
            </w:r>
            <w:r>
              <w:rPr>
                <w:rFonts w:hint="eastAsia" w:ascii="Times New Roman" w:hAnsi="Times New Roman" w:cs="Times New Roman"/>
                <w:color w:val="auto"/>
                <w:sz w:val="24"/>
                <w:vertAlign w:val="superscript"/>
                <w:lang w:val="en-US" w:eastAsia="zh-CN"/>
              </w:rPr>
              <w:t>-10</w:t>
            </w:r>
            <w:r>
              <w:rPr>
                <w:rFonts w:hint="eastAsia" w:ascii="Times New Roman" w:hAnsi="Times New Roman" w:cs="Times New Roman"/>
                <w:color w:val="auto"/>
                <w:sz w:val="24"/>
                <w:lang w:val="en-US" w:eastAsia="zh-CN"/>
              </w:rPr>
              <w:t>cm/s。</w:t>
            </w:r>
          </w:p>
          <w:p>
            <w:pPr>
              <w:spacing w:line="520" w:lineRule="exact"/>
              <w:ind w:firstLine="482" w:firstLineChars="200"/>
              <w:rPr>
                <w:rFonts w:hint="eastAsia" w:cs="Times New Roman"/>
                <w:b/>
                <w:color w:val="auto"/>
                <w:sz w:val="24"/>
                <w:lang w:val="en-US" w:eastAsia="zh-CN"/>
              </w:rPr>
            </w:pPr>
            <w:r>
              <w:rPr>
                <w:rFonts w:hint="eastAsia" w:cs="Times New Roman"/>
                <w:b/>
                <w:color w:val="auto"/>
                <w:sz w:val="24"/>
                <w:lang w:val="en-US" w:eastAsia="zh-CN"/>
              </w:rPr>
              <w:t>（3）</w:t>
            </w:r>
            <w:r>
              <w:rPr>
                <w:rFonts w:hint="eastAsia" w:cs="Times New Roman"/>
                <w:b/>
                <w:color w:val="auto"/>
                <w:sz w:val="24"/>
                <w:highlight w:val="none"/>
                <w:lang w:val="en-US" w:eastAsia="zh-CN"/>
              </w:rPr>
              <w:t>防渗结构层</w:t>
            </w:r>
          </w:p>
          <w:p>
            <w:pPr>
              <w:snapToGrid w:val="0"/>
              <w:spacing w:line="520" w:lineRule="exact"/>
              <w:ind w:firstLine="480" w:firstLineChars="200"/>
              <w:rPr>
                <w:rFonts w:hint="eastAsia" w:cs="Times New Roman"/>
                <w:color w:val="auto"/>
                <w:sz w:val="24"/>
                <w:lang w:val="en-US" w:eastAsia="zh-CN"/>
              </w:rPr>
            </w:pPr>
            <w:r>
              <w:rPr>
                <w:rFonts w:hint="eastAsia" w:cs="Times New Roman"/>
                <w:color w:val="auto"/>
                <w:sz w:val="24"/>
                <w:lang w:val="en-US" w:eastAsia="zh-CN"/>
              </w:rPr>
              <w:t>防渗结构包括主防渗薄膜及其上下保护层，本项目防渗层结构见下表：</w:t>
            </w:r>
          </w:p>
          <w:p>
            <w:pPr>
              <w:jc w:val="center"/>
              <w:rPr>
                <w:rFonts w:hint="eastAsia"/>
                <w:b/>
                <w:bCs/>
                <w:color w:val="auto"/>
                <w:sz w:val="32"/>
                <w:szCs w:val="32"/>
              </w:rPr>
            </w:pPr>
            <w:r>
              <w:rPr>
                <w:rFonts w:hint="eastAsia" w:ascii="Times New Roman" w:hAnsi="Times New Roman" w:eastAsia="黑体" w:cs="Times New Roman"/>
                <w:b w:val="0"/>
                <w:color w:val="auto"/>
                <w:kern w:val="2"/>
                <w:sz w:val="24"/>
                <w:szCs w:val="24"/>
                <w:lang w:val="en-US" w:eastAsia="zh-CN" w:bidi="ar-SA"/>
              </w:rPr>
              <w:t>表</w:t>
            </w:r>
            <w:r>
              <w:rPr>
                <w:rFonts w:hint="eastAsia" w:eastAsia="黑体" w:cs="Times New Roman"/>
                <w:b w:val="0"/>
                <w:color w:val="auto"/>
                <w:kern w:val="2"/>
                <w:sz w:val="24"/>
                <w:szCs w:val="24"/>
                <w:lang w:val="en-US" w:eastAsia="zh-CN" w:bidi="ar-SA"/>
              </w:rPr>
              <w:t>12</w:t>
            </w:r>
            <w:r>
              <w:rPr>
                <w:rFonts w:hint="eastAsia" w:ascii="Times New Roman" w:hAnsi="Times New Roman" w:eastAsia="黑体" w:cs="Times New Roman"/>
                <w:b w:val="0"/>
                <w:color w:val="auto"/>
                <w:kern w:val="2"/>
                <w:sz w:val="24"/>
                <w:szCs w:val="24"/>
                <w:lang w:val="en-US" w:eastAsia="zh-CN" w:bidi="ar-SA"/>
              </w:rPr>
              <w:t xml:space="preserve"> </w:t>
            </w:r>
            <w:r>
              <w:rPr>
                <w:rFonts w:hint="eastAsia" w:eastAsia="黑体" w:cs="Times New Roman"/>
                <w:b w:val="0"/>
                <w:color w:val="auto"/>
                <w:kern w:val="2"/>
                <w:sz w:val="24"/>
                <w:szCs w:val="24"/>
                <w:lang w:val="en-US" w:eastAsia="zh-CN" w:bidi="ar-SA"/>
              </w:rPr>
              <w:t xml:space="preserve">  </w:t>
            </w:r>
            <w:r>
              <w:rPr>
                <w:rFonts w:hint="eastAsia" w:eastAsia="黑体" w:cs="Times New Roman"/>
                <w:b w:val="0"/>
                <w:color w:val="auto"/>
                <w:kern w:val="2"/>
                <w:sz w:val="24"/>
                <w:szCs w:val="24"/>
                <w:highlight w:val="none"/>
                <w:lang w:val="en-US" w:eastAsia="zh-CN" w:bidi="ar-SA"/>
              </w:rPr>
              <w:t xml:space="preserve"> 本</w:t>
            </w:r>
            <w:r>
              <w:rPr>
                <w:rFonts w:hint="eastAsia" w:ascii="Times New Roman" w:hAnsi="Times New Roman" w:eastAsia="黑体" w:cs="Times New Roman"/>
                <w:color w:val="auto"/>
                <w:kern w:val="2"/>
                <w:sz w:val="24"/>
                <w:szCs w:val="24"/>
                <w:highlight w:val="none"/>
                <w:lang w:val="en-US" w:eastAsia="zh-CN" w:bidi="ar-SA"/>
              </w:rPr>
              <w:t>项目</w:t>
            </w:r>
            <w:r>
              <w:rPr>
                <w:rFonts w:hint="eastAsia" w:eastAsia="黑体" w:cs="Times New Roman"/>
                <w:color w:val="auto"/>
                <w:kern w:val="2"/>
                <w:sz w:val="24"/>
                <w:szCs w:val="24"/>
                <w:lang w:val="en-US" w:eastAsia="zh-CN" w:bidi="ar-SA"/>
              </w:rPr>
              <w:t>防渗层</w:t>
            </w:r>
            <w:r>
              <w:rPr>
                <w:rFonts w:hint="eastAsia" w:ascii="Times New Roman" w:hAnsi="Times New Roman" w:eastAsia="黑体" w:cs="Times New Roman"/>
                <w:color w:val="auto"/>
                <w:kern w:val="2"/>
                <w:sz w:val="24"/>
                <w:szCs w:val="24"/>
                <w:lang w:val="en-US" w:eastAsia="zh-CN" w:bidi="ar-SA"/>
              </w:rPr>
              <w:t>一览表</w:t>
            </w:r>
          </w:p>
          <w:tbl>
            <w:tblPr>
              <w:tblStyle w:val="29"/>
              <w:tblW w:w="83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5048"/>
              <w:gridCol w:w="2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654" w:type="dxa"/>
                  <w:vAlign w:val="center"/>
                </w:tcPr>
                <w:p>
                  <w:pPr>
                    <w:spacing w:line="520" w:lineRule="exact"/>
                    <w:jc w:val="center"/>
                    <w:rPr>
                      <w:rFonts w:hint="eastAsia"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序号</w:t>
                  </w:r>
                </w:p>
              </w:tc>
              <w:tc>
                <w:tcPr>
                  <w:tcW w:w="5048" w:type="dxa"/>
                  <w:vAlign w:val="center"/>
                </w:tcPr>
                <w:p>
                  <w:pPr>
                    <w:spacing w:line="520" w:lineRule="exact"/>
                    <w:jc w:val="center"/>
                    <w:rPr>
                      <w:rFonts w:hint="eastAsia"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底部防渗层结构</w:t>
                  </w:r>
                </w:p>
              </w:tc>
              <w:tc>
                <w:tcPr>
                  <w:tcW w:w="2656" w:type="dxa"/>
                  <w:vAlign w:val="center"/>
                </w:tcPr>
                <w:p>
                  <w:pPr>
                    <w:spacing w:line="520" w:lineRule="exact"/>
                    <w:jc w:val="center"/>
                    <w:rPr>
                      <w:rFonts w:hint="eastAsia"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车间边防渗结构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54" w:type="dxa"/>
                  <w:vAlign w:val="center"/>
                </w:tcPr>
                <w:p>
                  <w:pPr>
                    <w:spacing w:line="520" w:lineRule="exact"/>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w:t>
                  </w:r>
                </w:p>
              </w:tc>
              <w:tc>
                <w:tcPr>
                  <w:tcW w:w="5048" w:type="dxa"/>
                  <w:vAlign w:val="center"/>
                </w:tcPr>
                <w:p>
                  <w:pPr>
                    <w:pStyle w:val="14"/>
                    <w:spacing w:line="240" w:lineRule="auto"/>
                    <w:ind w:left="420" w:leftChars="200" w:firstLine="210" w:firstLineChars="10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2mm厚高密度聚乙烯防渗膜(HDPE 光面膜主要抗渗层)</w:t>
                  </w:r>
                </w:p>
              </w:tc>
              <w:tc>
                <w:tcPr>
                  <w:tcW w:w="2656" w:type="dxa"/>
                  <w:vAlign w:val="center"/>
                </w:tcPr>
                <w:p>
                  <w:pPr>
                    <w:pStyle w:val="14"/>
                    <w:spacing w:line="240" w:lineRule="auto"/>
                    <w:ind w:left="420" w:leftChars="200" w:firstLine="630" w:firstLineChars="300"/>
                    <w:jc w:val="both"/>
                    <w:rPr>
                      <w:rFonts w:hint="eastAsia"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0.5</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lang w:val="en-US" w:eastAsia="zh-CN"/>
                    </w:rPr>
                    <w:t>高</w:t>
                  </w:r>
                </w:p>
              </w:tc>
            </w:tr>
          </w:tbl>
          <w:p>
            <w:pPr>
              <w:spacing w:line="520" w:lineRule="exact"/>
              <w:ind w:firstLine="482" w:firstLineChars="200"/>
              <w:rPr>
                <w:rFonts w:hint="eastAsia" w:cs="Times New Roman"/>
                <w:b/>
                <w:color w:val="auto"/>
                <w:sz w:val="24"/>
                <w:lang w:val="en-US" w:eastAsia="zh-CN"/>
              </w:rPr>
            </w:pPr>
            <w:r>
              <w:rPr>
                <w:rFonts w:hint="eastAsia" w:ascii="Times New Roman" w:hAnsi="Times New Roman" w:eastAsia="宋体" w:cs="Times New Roman"/>
                <w:b/>
                <w:color w:val="auto"/>
                <w:sz w:val="24"/>
                <w:lang w:val="en-US" w:eastAsia="zh-CN"/>
              </w:rPr>
              <w:t>5.3飞灰库容积与现有项目产生飞灰临时贮存匹配性分析</w:t>
            </w:r>
          </w:p>
          <w:p>
            <w:pPr>
              <w:snapToGrid w:val="0"/>
              <w:spacing w:line="520" w:lineRule="exact"/>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w:t>
            </w:r>
            <w:r>
              <w:rPr>
                <w:rFonts w:hint="eastAsia" w:cs="Times New Roman"/>
                <w:color w:val="auto"/>
                <w:sz w:val="24"/>
                <w:lang w:val="en-US" w:eastAsia="zh-CN"/>
              </w:rPr>
              <w:t>现有工程</w:t>
            </w:r>
            <w:r>
              <w:rPr>
                <w:rFonts w:hint="eastAsia" w:ascii="Times New Roman" w:hAnsi="Times New Roman" w:eastAsia="宋体" w:cs="Times New Roman"/>
                <w:color w:val="auto"/>
                <w:sz w:val="24"/>
                <w:lang w:val="en-US" w:eastAsia="zh-CN"/>
              </w:rPr>
              <w:t>垃圾焚烧发电生产环节固化后飞灰</w:t>
            </w:r>
            <w:r>
              <w:rPr>
                <w:rFonts w:hint="eastAsia" w:cs="Times New Roman"/>
                <w:color w:val="auto"/>
                <w:sz w:val="24"/>
                <w:lang w:val="en-US" w:eastAsia="zh-CN"/>
              </w:rPr>
              <w:t>根据实际运行情况统计，</w:t>
            </w:r>
            <w:r>
              <w:rPr>
                <w:rFonts w:hint="eastAsia" w:ascii="Times New Roman" w:hAnsi="Times New Roman" w:eastAsia="宋体" w:cs="Times New Roman"/>
                <w:color w:val="auto"/>
                <w:sz w:val="24"/>
                <w:lang w:val="en-US" w:eastAsia="zh-CN"/>
              </w:rPr>
              <w:t>产生量</w:t>
            </w:r>
            <w:r>
              <w:rPr>
                <w:rFonts w:hint="eastAsia" w:cs="Times New Roman"/>
                <w:color w:val="auto"/>
                <w:sz w:val="24"/>
                <w:lang w:val="en-US" w:eastAsia="zh-CN"/>
              </w:rPr>
              <w:t>约</w:t>
            </w:r>
            <w:r>
              <w:rPr>
                <w:rFonts w:hint="eastAsia" w:ascii="Times New Roman" w:hAnsi="Times New Roman" w:eastAsia="宋体" w:cs="Times New Roman"/>
                <w:color w:val="auto"/>
                <w:sz w:val="24"/>
                <w:lang w:val="en-US" w:eastAsia="zh-CN"/>
              </w:rPr>
              <w:t>为</w:t>
            </w:r>
            <w:r>
              <w:rPr>
                <w:rFonts w:hint="eastAsia" w:cs="Times New Roman"/>
                <w:color w:val="auto"/>
                <w:sz w:val="24"/>
                <w:lang w:val="en-US" w:eastAsia="zh-CN"/>
              </w:rPr>
              <w:t>9500</w:t>
            </w:r>
            <w:r>
              <w:rPr>
                <w:rFonts w:hint="eastAsia" w:ascii="Times New Roman" w:hAnsi="Times New Roman" w:eastAsia="宋体" w:cs="Times New Roman"/>
                <w:color w:val="auto"/>
                <w:sz w:val="24"/>
                <w:lang w:val="en-US" w:eastAsia="zh-CN"/>
              </w:rPr>
              <w:t>t/a，现有飞灰仓库长：33.5m、宽：18m、高9米，建筑面积为603</w:t>
            </w:r>
            <w:r>
              <w:rPr>
                <w:rFonts w:hint="eastAsia" w:ascii="Times New Roman" w:hAnsi="Times New Roman" w:cs="Times New Roman"/>
                <w:color w:val="auto"/>
                <w:sz w:val="24"/>
                <w:highlight w:val="none"/>
                <w:lang w:val="en-US" w:eastAsia="zh-CN"/>
              </w:rPr>
              <w:t>m</w:t>
            </w:r>
            <w:r>
              <w:rPr>
                <w:rFonts w:hint="eastAsia" w:cs="Times New Roman"/>
                <w:color w:val="auto"/>
                <w:sz w:val="24"/>
                <w:highlight w:val="none"/>
                <w:vertAlign w:val="superscript"/>
                <w:lang w:val="en-US" w:eastAsia="zh-CN"/>
              </w:rPr>
              <w:t>2</w:t>
            </w:r>
            <w:r>
              <w:rPr>
                <w:rFonts w:hint="eastAsia" w:ascii="Times New Roman" w:hAnsi="Times New Roman" w:eastAsia="宋体" w:cs="Times New Roman"/>
                <w:color w:val="auto"/>
                <w:sz w:val="24"/>
                <w:lang w:val="en-US" w:eastAsia="zh-CN"/>
              </w:rPr>
              <w:t>，体积为5427</w:t>
            </w:r>
            <w:r>
              <w:rPr>
                <w:rFonts w:hint="eastAsia" w:ascii="Times New Roman" w:hAnsi="Times New Roman" w:cs="Times New Roman"/>
                <w:color w:val="auto"/>
                <w:sz w:val="24"/>
                <w:highlight w:val="none"/>
                <w:lang w:val="en-US" w:eastAsia="zh-CN"/>
              </w:rPr>
              <w:t>m</w:t>
            </w:r>
            <w:r>
              <w:rPr>
                <w:rFonts w:hint="eastAsia" w:cs="Times New Roman"/>
                <w:color w:val="auto"/>
                <w:sz w:val="24"/>
                <w:highlight w:val="none"/>
                <w:vertAlign w:val="superscript"/>
                <w:lang w:val="en-US" w:eastAsia="zh-CN"/>
              </w:rPr>
              <w:t>3</w:t>
            </w:r>
            <w:r>
              <w:rPr>
                <w:rFonts w:hint="eastAsia" w:ascii="Times New Roman" w:hAnsi="Times New Roman" w:eastAsia="宋体" w:cs="Times New Roman"/>
                <w:color w:val="auto"/>
                <w:sz w:val="24"/>
                <w:lang w:val="en-US" w:eastAsia="zh-CN"/>
              </w:rPr>
              <w:t>，</w:t>
            </w:r>
            <w:r>
              <w:rPr>
                <w:rFonts w:hint="eastAsia" w:ascii="Times New Roman" w:hAnsi="Times New Roman" w:cs="Times New Roman"/>
                <w:color w:val="auto"/>
                <w:sz w:val="24"/>
                <w:highlight w:val="none"/>
                <w:lang w:val="en-US" w:eastAsia="zh-CN"/>
              </w:rPr>
              <w:t>扩建工程建筑面积</w:t>
            </w:r>
            <w:r>
              <w:rPr>
                <w:rFonts w:hint="eastAsia" w:cs="Times New Roman"/>
                <w:color w:val="auto"/>
                <w:sz w:val="24"/>
                <w:highlight w:val="none"/>
                <w:lang w:val="en-US" w:eastAsia="zh-CN"/>
              </w:rPr>
              <w:t>4200</w:t>
            </w:r>
            <w:r>
              <w:rPr>
                <w:rFonts w:hint="eastAsia" w:ascii="Times New Roman" w:hAnsi="Times New Roman" w:cs="Times New Roman"/>
                <w:color w:val="auto"/>
                <w:sz w:val="24"/>
                <w:highlight w:val="none"/>
                <w:lang w:val="en-US" w:eastAsia="zh-CN"/>
              </w:rPr>
              <w:t>m</w:t>
            </w:r>
            <w:r>
              <w:rPr>
                <w:rFonts w:hint="eastAsia" w:cs="Times New Roman"/>
                <w:color w:val="auto"/>
                <w:sz w:val="24"/>
                <w:highlight w:val="none"/>
                <w:vertAlign w:val="superscript"/>
                <w:lang w:val="en-US" w:eastAsia="zh-CN"/>
              </w:rPr>
              <w:t>2</w:t>
            </w:r>
            <w:r>
              <w:rPr>
                <w:rFonts w:hint="eastAsia" w:ascii="Times New Roman" w:hAnsi="Times New Roman" w:eastAsia="宋体" w:cs="Times New Roman"/>
                <w:color w:val="auto"/>
                <w:sz w:val="24"/>
                <w:lang w:val="en-US" w:eastAsia="zh-CN"/>
              </w:rPr>
              <w:t>，本项目飞灰包装于密封吨袋中，吨袋尺寸为l</w:t>
            </w:r>
            <w:r>
              <w:rPr>
                <w:rFonts w:hint="eastAsia" w:cs="Times New Roman"/>
                <w:color w:val="auto"/>
                <w:sz w:val="24"/>
                <w:lang w:val="en-US" w:eastAsia="zh-CN"/>
              </w:rPr>
              <w:t>.2</w:t>
            </w:r>
            <w:r>
              <w:rPr>
                <w:rFonts w:hint="eastAsia" w:ascii="Times New Roman" w:hAnsi="Times New Roman" w:eastAsia="宋体" w:cs="Times New Roman"/>
                <w:color w:val="auto"/>
                <w:sz w:val="24"/>
                <w:lang w:val="en-US" w:eastAsia="zh-CN"/>
              </w:rPr>
              <w:t>m*l</w:t>
            </w:r>
            <w:r>
              <w:rPr>
                <w:rFonts w:hint="eastAsia" w:cs="Times New Roman"/>
                <w:color w:val="auto"/>
                <w:sz w:val="24"/>
                <w:lang w:val="en-US" w:eastAsia="zh-CN"/>
              </w:rPr>
              <w:t>.2</w:t>
            </w:r>
            <w:r>
              <w:rPr>
                <w:rFonts w:hint="eastAsia" w:ascii="Times New Roman" w:hAnsi="Times New Roman" w:eastAsia="宋体" w:cs="Times New Roman"/>
                <w:color w:val="auto"/>
                <w:sz w:val="24"/>
                <w:lang w:val="en-US" w:eastAsia="zh-CN"/>
              </w:rPr>
              <w:t>m*l</w:t>
            </w:r>
            <w:r>
              <w:rPr>
                <w:rFonts w:hint="eastAsia" w:cs="Times New Roman"/>
                <w:color w:val="auto"/>
                <w:sz w:val="24"/>
                <w:lang w:val="en-US" w:eastAsia="zh-CN"/>
              </w:rPr>
              <w:t>.2</w:t>
            </w:r>
            <w:r>
              <w:rPr>
                <w:rFonts w:hint="eastAsia" w:ascii="Times New Roman" w:hAnsi="Times New Roman" w:eastAsia="宋体" w:cs="Times New Roman"/>
                <w:color w:val="auto"/>
                <w:sz w:val="24"/>
                <w:lang w:val="en-US" w:eastAsia="zh-CN"/>
              </w:rPr>
              <w:t>m，单袋飞灰质量约为</w:t>
            </w:r>
            <w:r>
              <w:rPr>
                <w:rFonts w:hint="eastAsia" w:cs="Times New Roman"/>
                <w:color w:val="auto"/>
                <w:sz w:val="24"/>
                <w:lang w:val="en-US" w:eastAsia="zh-CN"/>
              </w:rPr>
              <w:t>1.38</w:t>
            </w:r>
            <w:r>
              <w:rPr>
                <w:rFonts w:hint="eastAsia" w:ascii="Times New Roman" w:hAnsi="Times New Roman" w:eastAsia="宋体" w:cs="Times New Roman"/>
                <w:color w:val="auto"/>
                <w:sz w:val="24"/>
                <w:lang w:val="en-US" w:eastAsia="zh-CN"/>
              </w:rPr>
              <w:t>t，堆放高度约为</w:t>
            </w:r>
            <w:r>
              <w:rPr>
                <w:rFonts w:hint="eastAsia" w:cs="Times New Roman"/>
                <w:color w:val="auto"/>
                <w:sz w:val="24"/>
                <w:lang w:val="en-US" w:eastAsia="zh-CN"/>
              </w:rPr>
              <w:t>3.6</w:t>
            </w:r>
            <w:r>
              <w:rPr>
                <w:rFonts w:hint="eastAsia" w:ascii="Times New Roman" w:hAnsi="Times New Roman" w:eastAsia="宋体" w:cs="Times New Roman"/>
                <w:color w:val="auto"/>
                <w:sz w:val="24"/>
                <w:lang w:val="en-US" w:eastAsia="zh-CN"/>
              </w:rPr>
              <w:t>m，因此扩建后</w:t>
            </w:r>
            <w:r>
              <w:rPr>
                <w:rFonts w:hint="eastAsia" w:ascii="Times New Roman" w:hAnsi="Times New Roman" w:cs="Times New Roman"/>
                <w:color w:val="auto"/>
                <w:sz w:val="24"/>
                <w:highlight w:val="none"/>
                <w:lang w:val="en-US" w:eastAsia="zh-CN"/>
              </w:rPr>
              <w:t>总建筑面积</w:t>
            </w:r>
            <w:r>
              <w:rPr>
                <w:rFonts w:hint="eastAsia" w:cs="Times New Roman"/>
                <w:color w:val="auto"/>
                <w:sz w:val="24"/>
                <w:highlight w:val="none"/>
                <w:lang w:val="en-US" w:eastAsia="zh-CN"/>
              </w:rPr>
              <w:t>4803</w:t>
            </w:r>
            <w:r>
              <w:rPr>
                <w:rFonts w:hint="eastAsia" w:ascii="Times New Roman" w:hAnsi="Times New Roman" w:cs="Times New Roman"/>
                <w:color w:val="auto"/>
                <w:sz w:val="24"/>
                <w:highlight w:val="none"/>
                <w:lang w:val="en-US" w:eastAsia="zh-CN"/>
              </w:rPr>
              <w:t>m</w:t>
            </w:r>
            <w:r>
              <w:rPr>
                <w:rFonts w:hint="eastAsia" w:cs="Times New Roman"/>
                <w:color w:val="auto"/>
                <w:sz w:val="24"/>
                <w:highlight w:val="none"/>
                <w:vertAlign w:val="superscript"/>
                <w:lang w:val="en-US" w:eastAsia="zh-CN"/>
              </w:rPr>
              <w:t>2</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u w:val="single"/>
                <w:lang w:val="en-US" w:eastAsia="zh-CN"/>
              </w:rPr>
              <w:t>按照堆放高度</w:t>
            </w:r>
            <w:r>
              <w:rPr>
                <w:rFonts w:hint="eastAsia" w:cs="Times New Roman"/>
                <w:color w:val="auto"/>
                <w:sz w:val="24"/>
                <w:u w:val="single"/>
                <w:lang w:val="en-US" w:eastAsia="zh-CN"/>
              </w:rPr>
              <w:t>3.6</w:t>
            </w:r>
            <w:r>
              <w:rPr>
                <w:rFonts w:hint="eastAsia" w:ascii="Times New Roman" w:hAnsi="Times New Roman" w:eastAsia="宋体" w:cs="Times New Roman"/>
                <w:color w:val="auto"/>
                <w:sz w:val="24"/>
                <w:u w:val="single"/>
                <w:lang w:val="en-US" w:eastAsia="zh-CN"/>
              </w:rPr>
              <w:t>m计算，共计可堆放</w:t>
            </w:r>
            <w:r>
              <w:rPr>
                <w:rFonts w:hint="eastAsia" w:cs="Times New Roman"/>
                <w:color w:val="auto"/>
                <w:sz w:val="24"/>
                <w:u w:val="single"/>
                <w:lang w:val="en-US" w:eastAsia="zh-CN"/>
              </w:rPr>
              <w:t>17290.8</w:t>
            </w:r>
            <w:r>
              <w:rPr>
                <w:rFonts w:hint="eastAsia" w:ascii="Times New Roman" w:hAnsi="Times New Roman" w:cs="Times New Roman"/>
                <w:color w:val="auto"/>
                <w:sz w:val="24"/>
                <w:highlight w:val="none"/>
                <w:u w:val="single"/>
                <w:lang w:val="en-US" w:eastAsia="zh-CN"/>
              </w:rPr>
              <w:t>m</w:t>
            </w:r>
            <w:r>
              <w:rPr>
                <w:rFonts w:hint="eastAsia" w:cs="Times New Roman"/>
                <w:color w:val="auto"/>
                <w:sz w:val="24"/>
                <w:highlight w:val="none"/>
                <w:u w:val="single"/>
                <w:vertAlign w:val="superscript"/>
                <w:lang w:val="en-US" w:eastAsia="zh-CN"/>
              </w:rPr>
              <w:t>3</w:t>
            </w:r>
            <w:r>
              <w:rPr>
                <w:rFonts w:hint="eastAsia" w:ascii="Times New Roman" w:hAnsi="Times New Roman" w:eastAsia="宋体" w:cs="Times New Roman"/>
                <w:color w:val="auto"/>
                <w:sz w:val="24"/>
                <w:u w:val="single"/>
                <w:lang w:val="en-US" w:eastAsia="zh-CN"/>
              </w:rPr>
              <w:t>飞灰，约13832.6吨，</w:t>
            </w:r>
            <w:r>
              <w:rPr>
                <w:rFonts w:hint="eastAsia" w:ascii="Times New Roman" w:hAnsi="Times New Roman" w:eastAsia="宋体" w:cs="Times New Roman"/>
                <w:color w:val="auto"/>
                <w:sz w:val="24"/>
                <w:lang w:val="en-US" w:eastAsia="zh-CN"/>
              </w:rPr>
              <w:t>因此飞灰仓库扩建后足够容纳本厂区内所产生的飞灰，因此飞灰库扩建容积与现有项目产生飞灰及临时贮存相匹配</w:t>
            </w:r>
            <w:r>
              <w:rPr>
                <w:rFonts w:hint="eastAsia" w:cs="Times New Roman"/>
                <w:color w:val="auto"/>
                <w:sz w:val="24"/>
                <w:lang w:val="en-US" w:eastAsia="zh-CN"/>
              </w:rPr>
              <w:t>，本公司</w:t>
            </w:r>
            <w:r>
              <w:rPr>
                <w:rFonts w:hint="eastAsia" w:ascii="Times New Roman" w:hAnsi="Times New Roman" w:eastAsia="宋体" w:cs="Times New Roman"/>
                <w:color w:val="auto"/>
                <w:sz w:val="24"/>
                <w:szCs w:val="24"/>
                <w:lang w:val="en-US" w:eastAsia="zh-CN"/>
              </w:rPr>
              <w:t>新建飞灰填埋厂事项正在推进中，具备使用条件</w:t>
            </w:r>
            <w:r>
              <w:rPr>
                <w:rFonts w:hint="eastAsia" w:cs="Times New Roman"/>
                <w:color w:val="auto"/>
                <w:sz w:val="24"/>
                <w:szCs w:val="24"/>
                <w:lang w:val="en-US" w:eastAsia="zh-CN"/>
              </w:rPr>
              <w:t>约</w:t>
            </w:r>
            <w:r>
              <w:rPr>
                <w:rFonts w:hint="eastAsia" w:ascii="Times New Roman" w:hAnsi="Times New Roman" w:eastAsia="宋体" w:cs="Times New Roman"/>
                <w:color w:val="auto"/>
                <w:sz w:val="24"/>
                <w:szCs w:val="24"/>
                <w:lang w:val="en-US" w:eastAsia="zh-CN"/>
              </w:rPr>
              <w:t>需一年时间</w:t>
            </w:r>
            <w:r>
              <w:rPr>
                <w:rFonts w:hint="eastAsia" w:cs="Times New Roman"/>
                <w:color w:val="auto"/>
                <w:sz w:val="24"/>
                <w:szCs w:val="24"/>
                <w:lang w:val="en-US" w:eastAsia="zh-CN"/>
              </w:rPr>
              <w:t>，因此飞灰需要在库内暂存一年</w:t>
            </w:r>
            <w:r>
              <w:rPr>
                <w:rFonts w:hint="eastAsia" w:ascii="Times New Roman" w:hAnsi="Times New Roman" w:eastAsia="宋体" w:cs="Times New Roman"/>
                <w:color w:val="auto"/>
                <w:sz w:val="24"/>
                <w:lang w:val="en-US" w:eastAsia="zh-CN"/>
              </w:rPr>
              <w:t>。</w:t>
            </w:r>
          </w:p>
          <w:p>
            <w:pPr>
              <w:spacing w:line="520" w:lineRule="exact"/>
              <w:ind w:firstLine="482" w:firstLineChars="200"/>
              <w:rPr>
                <w:rFonts w:ascii="Times New Roman" w:hAnsi="Times New Roman" w:cs="Times New Roman"/>
                <w:b/>
                <w:color w:val="auto"/>
                <w:sz w:val="24"/>
              </w:rPr>
            </w:pPr>
            <w:r>
              <w:rPr>
                <w:rFonts w:hint="eastAsia" w:cs="Times New Roman"/>
                <w:b/>
                <w:color w:val="auto"/>
                <w:sz w:val="24"/>
                <w:lang w:val="en-US" w:eastAsia="zh-CN"/>
              </w:rPr>
              <w:t>6</w:t>
            </w:r>
            <w:r>
              <w:rPr>
                <w:rFonts w:ascii="Times New Roman" w:hAnsi="Times New Roman" w:cs="Times New Roman"/>
                <w:b/>
                <w:color w:val="auto"/>
                <w:sz w:val="24"/>
              </w:rPr>
              <w:t>主要生产设备</w:t>
            </w:r>
          </w:p>
          <w:p>
            <w:pPr>
              <w:snapToGrid w:val="0"/>
              <w:spacing w:line="520" w:lineRule="exact"/>
              <w:ind w:firstLine="480" w:firstLineChars="200"/>
              <w:rPr>
                <w:rFonts w:hint="eastAsia" w:ascii="Times New Roman" w:hAnsi="Times New Roman" w:cs="Times New Roman"/>
                <w:b/>
                <w:color w:val="auto"/>
                <w:sz w:val="24"/>
              </w:rPr>
            </w:pPr>
            <w:r>
              <w:rPr>
                <w:rFonts w:ascii="Times New Roman" w:hAnsi="Times New Roman" w:cs="Times New Roman"/>
                <w:color w:val="auto"/>
                <w:sz w:val="24"/>
              </w:rPr>
              <w:t>本项目</w:t>
            </w:r>
            <w:r>
              <w:rPr>
                <w:rFonts w:hint="eastAsia" w:cs="Times New Roman"/>
                <w:color w:val="auto"/>
                <w:sz w:val="24"/>
                <w:lang w:val="en-US" w:eastAsia="zh-CN"/>
              </w:rPr>
              <w:t>运营过程中涉及如下设备：</w:t>
            </w:r>
          </w:p>
          <w:p>
            <w:pPr>
              <w:jc w:val="center"/>
              <w:rPr>
                <w:rFonts w:hint="eastAsia"/>
                <w:b/>
                <w:bCs/>
                <w:color w:val="auto"/>
                <w:sz w:val="32"/>
                <w:szCs w:val="32"/>
              </w:rPr>
            </w:pPr>
            <w:r>
              <w:rPr>
                <w:rFonts w:hint="eastAsia" w:ascii="Times New Roman" w:hAnsi="Times New Roman" w:eastAsia="黑体" w:cs="Times New Roman"/>
                <w:b w:val="0"/>
                <w:color w:val="auto"/>
                <w:kern w:val="2"/>
                <w:sz w:val="24"/>
                <w:szCs w:val="24"/>
                <w:lang w:val="en-US" w:eastAsia="zh-CN" w:bidi="ar-SA"/>
              </w:rPr>
              <w:t>表</w:t>
            </w:r>
            <w:r>
              <w:rPr>
                <w:rFonts w:hint="eastAsia" w:eastAsia="黑体" w:cs="Times New Roman"/>
                <w:b w:val="0"/>
                <w:color w:val="auto"/>
                <w:kern w:val="2"/>
                <w:sz w:val="24"/>
                <w:szCs w:val="24"/>
                <w:lang w:val="en-US" w:eastAsia="zh-CN" w:bidi="ar-SA"/>
              </w:rPr>
              <w:t>13</w:t>
            </w:r>
            <w:r>
              <w:rPr>
                <w:rFonts w:hint="eastAsia" w:ascii="Times New Roman" w:hAnsi="Times New Roman" w:eastAsia="黑体" w:cs="Times New Roman"/>
                <w:b w:val="0"/>
                <w:color w:val="auto"/>
                <w:kern w:val="2"/>
                <w:sz w:val="24"/>
                <w:szCs w:val="24"/>
                <w:lang w:val="en-US" w:eastAsia="zh-CN" w:bidi="ar-SA"/>
              </w:rPr>
              <w:t xml:space="preserve"> </w:t>
            </w:r>
            <w:r>
              <w:rPr>
                <w:rFonts w:hint="eastAsia" w:eastAsia="黑体" w:cs="Times New Roman"/>
                <w:b w:val="0"/>
                <w:color w:val="auto"/>
                <w:kern w:val="2"/>
                <w:sz w:val="24"/>
                <w:szCs w:val="24"/>
                <w:lang w:val="en-US" w:eastAsia="zh-CN" w:bidi="ar-SA"/>
              </w:rPr>
              <w:t xml:space="preserve">  </w:t>
            </w:r>
            <w:r>
              <w:rPr>
                <w:rFonts w:hint="eastAsia" w:eastAsia="黑体" w:cs="Times New Roman"/>
                <w:b w:val="0"/>
                <w:color w:val="auto"/>
                <w:kern w:val="2"/>
                <w:sz w:val="24"/>
                <w:szCs w:val="24"/>
                <w:highlight w:val="none"/>
                <w:lang w:val="en-US" w:eastAsia="zh-CN" w:bidi="ar-SA"/>
              </w:rPr>
              <w:t xml:space="preserve"> 本</w:t>
            </w:r>
            <w:r>
              <w:rPr>
                <w:rFonts w:hint="eastAsia" w:ascii="Times New Roman" w:hAnsi="Times New Roman" w:eastAsia="黑体" w:cs="Times New Roman"/>
                <w:color w:val="auto"/>
                <w:kern w:val="2"/>
                <w:sz w:val="24"/>
                <w:szCs w:val="24"/>
                <w:highlight w:val="none"/>
                <w:lang w:val="en-US" w:eastAsia="zh-CN" w:bidi="ar-SA"/>
              </w:rPr>
              <w:t>项目</w:t>
            </w:r>
            <w:r>
              <w:rPr>
                <w:rFonts w:hint="eastAsia" w:ascii="Times New Roman" w:hAnsi="Times New Roman" w:eastAsia="黑体" w:cs="Times New Roman"/>
                <w:color w:val="auto"/>
                <w:kern w:val="2"/>
                <w:sz w:val="24"/>
                <w:szCs w:val="24"/>
                <w:lang w:val="en-US" w:eastAsia="zh-CN" w:bidi="ar-SA"/>
              </w:rPr>
              <w:t>主要设备一览表</w:t>
            </w:r>
          </w:p>
          <w:tbl>
            <w:tblPr>
              <w:tblStyle w:val="28"/>
              <w:tblW w:w="837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9"/>
              <w:gridCol w:w="2897"/>
              <w:gridCol w:w="1830"/>
              <w:gridCol w:w="1017"/>
              <w:gridCol w:w="16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9" w:hRule="exact"/>
                <w:jc w:val="center"/>
              </w:trPr>
              <w:tc>
                <w:tcPr>
                  <w:tcW w:w="1029" w:type="dxa"/>
                  <w:tcBorders>
                    <w:top w:val="single" w:color="auto" w:sz="4" w:space="0"/>
                    <w:left w:val="single" w:color="auto" w:sz="4" w:space="0"/>
                    <w:bottom w:val="single" w:color="auto" w:sz="4" w:space="0"/>
                    <w:right w:val="single" w:color="000000" w:sz="4" w:space="0"/>
                  </w:tcBorders>
                  <w:noWrap/>
                  <w:vAlign w:val="center"/>
                </w:tcPr>
                <w:p>
                  <w:pPr>
                    <w:jc w:val="center"/>
                    <w:rPr>
                      <w:rFonts w:hint="eastAsia" w:ascii="Times New Roman" w:hAnsi="Times New Roman" w:cs="Times New Roman"/>
                      <w:b/>
                      <w:color w:val="auto"/>
                      <w:kern w:val="0"/>
                      <w:szCs w:val="21"/>
                    </w:rPr>
                  </w:pPr>
                  <w:r>
                    <w:rPr>
                      <w:rFonts w:hint="eastAsia" w:ascii="Times New Roman" w:hAnsi="Times New Roman" w:cs="Times New Roman"/>
                      <w:b/>
                      <w:color w:val="auto"/>
                      <w:kern w:val="0"/>
                      <w:szCs w:val="21"/>
                      <w:lang w:val="en-US" w:eastAsia="zh-CN"/>
                    </w:rPr>
                    <w:t>序号</w:t>
                  </w:r>
                </w:p>
              </w:tc>
              <w:tc>
                <w:tcPr>
                  <w:tcW w:w="2897" w:type="dxa"/>
                  <w:tcBorders>
                    <w:top w:val="single" w:color="auto" w:sz="4" w:space="0"/>
                    <w:left w:val="nil"/>
                    <w:bottom w:val="single" w:color="auto" w:sz="4" w:space="0"/>
                    <w:right w:val="single" w:color="000000" w:sz="4" w:space="0"/>
                  </w:tcBorders>
                  <w:noWrap/>
                  <w:vAlign w:val="center"/>
                </w:tcPr>
                <w:p>
                  <w:pPr>
                    <w:jc w:val="center"/>
                    <w:rPr>
                      <w:rFonts w:hint="eastAsia" w:ascii="Times New Roman" w:hAnsi="Times New Roman" w:cs="Times New Roman"/>
                      <w:b/>
                      <w:color w:val="auto"/>
                      <w:kern w:val="0"/>
                      <w:szCs w:val="21"/>
                    </w:rPr>
                  </w:pPr>
                  <w:r>
                    <w:rPr>
                      <w:rFonts w:hint="eastAsia" w:ascii="Times New Roman" w:hAnsi="Times New Roman" w:cs="Times New Roman"/>
                      <w:b/>
                      <w:color w:val="auto"/>
                      <w:kern w:val="0"/>
                      <w:szCs w:val="21"/>
                      <w:lang w:val="en-US" w:eastAsia="zh-CN"/>
                    </w:rPr>
                    <w:t>名称</w:t>
                  </w:r>
                </w:p>
              </w:tc>
              <w:tc>
                <w:tcPr>
                  <w:tcW w:w="1830" w:type="dxa"/>
                  <w:tcBorders>
                    <w:top w:val="single" w:color="auto" w:sz="4" w:space="0"/>
                    <w:left w:val="single" w:color="000000" w:sz="4" w:space="0"/>
                    <w:bottom w:val="single" w:color="auto" w:sz="4" w:space="0"/>
                    <w:right w:val="single" w:color="000000" w:sz="4" w:space="0"/>
                  </w:tcBorders>
                  <w:noWrap/>
                  <w:vAlign w:val="center"/>
                </w:tcPr>
                <w:p>
                  <w:pPr>
                    <w:jc w:val="center"/>
                    <w:rPr>
                      <w:rFonts w:hint="eastAsia" w:ascii="Times New Roman" w:hAnsi="Times New Roman" w:cs="Times New Roman"/>
                      <w:b/>
                      <w:color w:val="auto"/>
                      <w:kern w:val="0"/>
                      <w:szCs w:val="21"/>
                    </w:rPr>
                  </w:pPr>
                  <w:r>
                    <w:rPr>
                      <w:rFonts w:hint="eastAsia" w:ascii="Times New Roman" w:hAnsi="Times New Roman" w:cs="Times New Roman"/>
                      <w:b/>
                      <w:color w:val="auto"/>
                      <w:kern w:val="0"/>
                      <w:szCs w:val="21"/>
                      <w:lang w:val="en-US" w:eastAsia="zh-CN"/>
                    </w:rPr>
                    <w:t>型号/规格</w:t>
                  </w:r>
                </w:p>
              </w:tc>
              <w:tc>
                <w:tcPr>
                  <w:tcW w:w="1017" w:type="dxa"/>
                  <w:tcBorders>
                    <w:top w:val="single" w:color="auto" w:sz="4" w:space="0"/>
                    <w:left w:val="single" w:color="000000" w:sz="4" w:space="0"/>
                    <w:bottom w:val="single" w:color="auto" w:sz="4" w:space="0"/>
                    <w:right w:val="single" w:color="000000" w:sz="4" w:space="0"/>
                  </w:tcBorders>
                  <w:noWrap w:val="0"/>
                  <w:vAlign w:val="center"/>
                </w:tcPr>
                <w:p>
                  <w:pPr>
                    <w:jc w:val="center"/>
                    <w:rPr>
                      <w:rFonts w:hint="eastAsia" w:ascii="Times New Roman" w:hAnsi="Times New Roman" w:cs="Times New Roman"/>
                      <w:b/>
                      <w:color w:val="auto"/>
                      <w:kern w:val="0"/>
                      <w:szCs w:val="21"/>
                    </w:rPr>
                  </w:pPr>
                  <w:r>
                    <w:rPr>
                      <w:rFonts w:hint="eastAsia" w:ascii="Times New Roman" w:hAnsi="Times New Roman" w:cs="Times New Roman"/>
                      <w:b/>
                      <w:color w:val="auto"/>
                      <w:kern w:val="0"/>
                      <w:szCs w:val="21"/>
                      <w:lang w:val="en-US" w:eastAsia="zh-CN"/>
                    </w:rPr>
                    <w:t>单位</w:t>
                  </w:r>
                </w:p>
              </w:tc>
              <w:tc>
                <w:tcPr>
                  <w:tcW w:w="1604" w:type="dxa"/>
                  <w:tcBorders>
                    <w:top w:val="single" w:color="auto" w:sz="4" w:space="0"/>
                    <w:left w:val="single" w:color="000000" w:sz="4" w:space="0"/>
                    <w:bottom w:val="single" w:color="auto" w:sz="4" w:space="0"/>
                    <w:right w:val="single" w:color="000000" w:sz="4" w:space="0"/>
                  </w:tcBorders>
                  <w:noWrap/>
                  <w:vAlign w:val="center"/>
                </w:tcPr>
                <w:p>
                  <w:pPr>
                    <w:jc w:val="center"/>
                    <w:rPr>
                      <w:rFonts w:hint="eastAsia" w:ascii="Times New Roman" w:hAnsi="Times New Roman" w:cs="Times New Roman"/>
                      <w:b/>
                      <w:color w:val="auto"/>
                      <w:kern w:val="0"/>
                      <w:szCs w:val="21"/>
                    </w:rPr>
                  </w:pPr>
                  <w:r>
                    <w:rPr>
                      <w:rFonts w:hint="eastAsia" w:ascii="Times New Roman" w:hAnsi="Times New Roman" w:cs="Times New Roman"/>
                      <w:b/>
                      <w:color w:val="auto"/>
                      <w:kern w:val="0"/>
                      <w:szCs w:val="21"/>
                      <w:lang w:val="en-US" w:eastAsia="zh-CN"/>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2" w:hRule="atLeast"/>
                <w:jc w:val="center"/>
              </w:trPr>
              <w:tc>
                <w:tcPr>
                  <w:tcW w:w="1029" w:type="dxa"/>
                  <w:tcBorders>
                    <w:top w:val="single" w:color="auto" w:sz="4" w:space="0"/>
                    <w:left w:val="single" w:color="000000" w:sz="4" w:space="0"/>
                    <w:bottom w:val="single" w:color="auto" w:sz="4" w:space="0"/>
                    <w:right w:val="single" w:color="000000" w:sz="4" w:space="0"/>
                  </w:tcBorders>
                  <w:noWrap/>
                  <w:vAlign w:val="center"/>
                </w:tcPr>
                <w:p>
                  <w:pPr>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1</w:t>
                  </w:r>
                </w:p>
              </w:tc>
              <w:tc>
                <w:tcPr>
                  <w:tcW w:w="2897" w:type="dxa"/>
                  <w:tcBorders>
                    <w:top w:val="single" w:color="auto" w:sz="4" w:space="0"/>
                    <w:left w:val="nil"/>
                    <w:bottom w:val="single" w:color="auto" w:sz="4" w:space="0"/>
                    <w:right w:val="single" w:color="000000" w:sz="4" w:space="0"/>
                  </w:tcBorders>
                  <w:noWrap/>
                  <w:vAlign w:val="center"/>
                </w:tcPr>
                <w:p>
                  <w:pPr>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叉车</w:t>
                  </w:r>
                </w:p>
              </w:tc>
              <w:tc>
                <w:tcPr>
                  <w:tcW w:w="1830" w:type="dxa"/>
                  <w:tcBorders>
                    <w:top w:val="single" w:color="auto" w:sz="4" w:space="0"/>
                    <w:left w:val="single" w:color="000000" w:sz="4" w:space="0"/>
                    <w:bottom w:val="single" w:color="auto" w:sz="4" w:space="0"/>
                    <w:right w:val="single" w:color="000000" w:sz="4" w:space="0"/>
                  </w:tcBorders>
                  <w:noWrap/>
                  <w:vAlign w:val="center"/>
                </w:tcPr>
                <w:p>
                  <w:pPr>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国Ⅲ</w:t>
                  </w:r>
                </w:p>
              </w:tc>
              <w:tc>
                <w:tcPr>
                  <w:tcW w:w="1017" w:type="dxa"/>
                  <w:tcBorders>
                    <w:top w:val="single" w:color="auto" w:sz="4" w:space="0"/>
                    <w:left w:val="single" w:color="000000" w:sz="4" w:space="0"/>
                    <w:bottom w:val="single" w:color="auto" w:sz="4" w:space="0"/>
                    <w:right w:val="single" w:color="000000" w:sz="4" w:space="0"/>
                  </w:tcBorders>
                  <w:noWrap w:val="0"/>
                  <w:vAlign w:val="center"/>
                </w:tcPr>
                <w:p>
                  <w:pPr>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辆</w:t>
                  </w:r>
                </w:p>
              </w:tc>
              <w:tc>
                <w:tcPr>
                  <w:tcW w:w="1604" w:type="dxa"/>
                  <w:tcBorders>
                    <w:top w:val="single" w:color="auto" w:sz="4" w:space="0"/>
                    <w:left w:val="single" w:color="000000" w:sz="4" w:space="0"/>
                    <w:bottom w:val="single" w:color="auto" w:sz="4" w:space="0"/>
                    <w:right w:val="single" w:color="000000" w:sz="4" w:space="0"/>
                  </w:tcBorders>
                  <w:noWrap/>
                  <w:vAlign w:val="center"/>
                </w:tcPr>
                <w:p>
                  <w:pPr>
                    <w:jc w:val="center"/>
                    <w:rPr>
                      <w:rFonts w:hint="eastAsia"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8" w:hRule="atLeast"/>
                <w:jc w:val="center"/>
              </w:trPr>
              <w:tc>
                <w:tcPr>
                  <w:tcW w:w="1029" w:type="dxa"/>
                  <w:tcBorders>
                    <w:top w:val="single" w:color="auto" w:sz="4" w:space="0"/>
                    <w:left w:val="single" w:color="000000" w:sz="4" w:space="0"/>
                    <w:bottom w:val="single" w:color="auto" w:sz="4" w:space="0"/>
                    <w:right w:val="single" w:color="000000" w:sz="4" w:space="0"/>
                  </w:tcBorders>
                  <w:noWrap/>
                  <w:vAlign w:val="center"/>
                </w:tcPr>
                <w:p>
                  <w:pPr>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2</w:t>
                  </w:r>
                </w:p>
              </w:tc>
              <w:tc>
                <w:tcPr>
                  <w:tcW w:w="2897" w:type="dxa"/>
                  <w:tcBorders>
                    <w:top w:val="single" w:color="auto" w:sz="4" w:space="0"/>
                    <w:left w:val="nil"/>
                    <w:bottom w:val="single" w:color="auto" w:sz="4" w:space="0"/>
                    <w:right w:val="single" w:color="000000" w:sz="4" w:space="0"/>
                  </w:tcBorders>
                  <w:noWrap/>
                  <w:vAlign w:val="center"/>
                </w:tcPr>
                <w:p>
                  <w:pPr>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运输车辆</w:t>
                  </w:r>
                </w:p>
              </w:tc>
              <w:tc>
                <w:tcPr>
                  <w:tcW w:w="1830" w:type="dxa"/>
                  <w:tcBorders>
                    <w:top w:val="single" w:color="auto" w:sz="4" w:space="0"/>
                    <w:left w:val="single" w:color="000000" w:sz="4" w:space="0"/>
                    <w:bottom w:val="single" w:color="auto" w:sz="4" w:space="0"/>
                    <w:right w:val="single" w:color="000000" w:sz="4" w:space="0"/>
                  </w:tcBorders>
                  <w:noWrap/>
                  <w:vAlign w:val="center"/>
                </w:tcPr>
                <w:p>
                  <w:pPr>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国Ⅴ</w:t>
                  </w:r>
                </w:p>
              </w:tc>
              <w:tc>
                <w:tcPr>
                  <w:tcW w:w="1017" w:type="dxa"/>
                  <w:tcBorders>
                    <w:top w:val="single" w:color="auto" w:sz="4" w:space="0"/>
                    <w:left w:val="single" w:color="000000" w:sz="4" w:space="0"/>
                    <w:bottom w:val="single" w:color="auto" w:sz="4" w:space="0"/>
                    <w:right w:val="single" w:color="000000" w:sz="4" w:space="0"/>
                  </w:tcBorders>
                  <w:noWrap w:val="0"/>
                  <w:vAlign w:val="center"/>
                </w:tcPr>
                <w:p>
                  <w:pPr>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辆</w:t>
                  </w:r>
                </w:p>
              </w:tc>
              <w:tc>
                <w:tcPr>
                  <w:tcW w:w="1604" w:type="dxa"/>
                  <w:tcBorders>
                    <w:top w:val="single" w:color="auto" w:sz="4" w:space="0"/>
                    <w:left w:val="single" w:color="000000" w:sz="4" w:space="0"/>
                    <w:bottom w:val="single" w:color="auto" w:sz="4" w:space="0"/>
                    <w:right w:val="single" w:color="000000" w:sz="4" w:space="0"/>
                  </w:tcBorders>
                  <w:noWrap/>
                  <w:vAlign w:val="center"/>
                </w:tcPr>
                <w:p>
                  <w:pPr>
                    <w:jc w:val="center"/>
                    <w:rPr>
                      <w:rFonts w:hint="eastAsia" w:cs="Times New Roman"/>
                      <w:color w:val="auto"/>
                      <w:kern w:val="0"/>
                      <w:szCs w:val="21"/>
                      <w:lang w:val="en-US" w:eastAsia="zh-CN"/>
                    </w:rPr>
                  </w:pPr>
                  <w:r>
                    <w:rPr>
                      <w:rFonts w:hint="eastAsia" w:cs="Times New Roman"/>
                      <w:color w:val="auto"/>
                      <w:kern w:val="0"/>
                      <w:szCs w:val="21"/>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1029" w:type="dxa"/>
                  <w:tcBorders>
                    <w:top w:val="single" w:color="auto"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3</w:t>
                  </w:r>
                </w:p>
              </w:tc>
              <w:tc>
                <w:tcPr>
                  <w:tcW w:w="2897" w:type="dxa"/>
                  <w:tcBorders>
                    <w:top w:val="single" w:color="auto" w:sz="4" w:space="0"/>
                    <w:left w:val="nil"/>
                    <w:bottom w:val="single" w:color="000000" w:sz="4" w:space="0"/>
                    <w:right w:val="single" w:color="000000" w:sz="4" w:space="0"/>
                  </w:tcBorders>
                  <w:noWrap/>
                  <w:vAlign w:val="center"/>
                </w:tcPr>
                <w:p>
                  <w:pPr>
                    <w:jc w:val="center"/>
                    <w:rPr>
                      <w:rFonts w:hint="default" w:cs="Times New Roman"/>
                      <w:color w:val="auto"/>
                      <w:kern w:val="0"/>
                      <w:szCs w:val="21"/>
                      <w:lang w:val="en-US" w:eastAsia="zh-CN"/>
                    </w:rPr>
                  </w:pPr>
                  <w:r>
                    <w:rPr>
                      <w:rFonts w:hint="eastAsia" w:cs="Times New Roman"/>
                      <w:color w:val="auto"/>
                      <w:kern w:val="0"/>
                      <w:szCs w:val="21"/>
                      <w:lang w:val="en-US" w:eastAsia="zh-CN"/>
                    </w:rPr>
                    <w:t>水洗喷淋设备</w:t>
                  </w:r>
                </w:p>
              </w:tc>
              <w:tc>
                <w:tcPr>
                  <w:tcW w:w="1830" w:type="dxa"/>
                  <w:tcBorders>
                    <w:top w:val="single" w:color="auto"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w:t>
                  </w:r>
                </w:p>
              </w:tc>
              <w:tc>
                <w:tcPr>
                  <w:tcW w:w="1017" w:type="dxa"/>
                  <w:tcBorders>
                    <w:top w:val="single" w:color="auto"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套</w:t>
                  </w:r>
                </w:p>
              </w:tc>
              <w:tc>
                <w:tcPr>
                  <w:tcW w:w="1604" w:type="dxa"/>
                  <w:tcBorders>
                    <w:top w:val="single" w:color="auto" w:sz="4" w:space="0"/>
                    <w:left w:val="single" w:color="000000" w:sz="4" w:space="0"/>
                    <w:bottom w:val="single" w:color="000000" w:sz="4" w:space="0"/>
                    <w:right w:val="single" w:color="000000" w:sz="4" w:space="0"/>
                  </w:tcBorders>
                  <w:noWrap/>
                  <w:vAlign w:val="center"/>
                </w:tcPr>
                <w:p>
                  <w:pPr>
                    <w:jc w:val="center"/>
                    <w:rPr>
                      <w:rFonts w:hint="default" w:cs="Times New Roman"/>
                      <w:color w:val="auto"/>
                      <w:kern w:val="0"/>
                      <w:szCs w:val="21"/>
                      <w:lang w:val="en-US" w:eastAsia="zh-CN"/>
                    </w:rPr>
                  </w:pPr>
                  <w:r>
                    <w:rPr>
                      <w:rFonts w:hint="eastAsia" w:cs="Times New Roman"/>
                      <w:color w:val="auto"/>
                      <w:kern w:val="0"/>
                      <w:szCs w:val="21"/>
                      <w:lang w:val="en-US" w:eastAsia="zh-CN"/>
                    </w:rPr>
                    <w:t>1</w:t>
                  </w:r>
                </w:p>
              </w:tc>
            </w:tr>
          </w:tbl>
          <w:p>
            <w:pPr>
              <w:snapToGrid w:val="0"/>
              <w:spacing w:line="520" w:lineRule="exact"/>
              <w:ind w:firstLine="482" w:firstLineChars="200"/>
              <w:rPr>
                <w:rFonts w:ascii="Times New Roman" w:hAnsi="Times New Roman" w:cs="Times New Roman"/>
                <w:b/>
                <w:color w:val="auto"/>
                <w:sz w:val="24"/>
              </w:rPr>
            </w:pPr>
            <w:r>
              <w:rPr>
                <w:rFonts w:hint="eastAsia" w:cs="Times New Roman"/>
                <w:b/>
                <w:color w:val="auto"/>
                <w:sz w:val="24"/>
                <w:lang w:val="en-US" w:eastAsia="zh-CN"/>
              </w:rPr>
              <w:t>7</w:t>
            </w:r>
            <w:r>
              <w:rPr>
                <w:rFonts w:ascii="Times New Roman" w:hAnsi="Times New Roman" w:cs="Times New Roman"/>
                <w:b/>
                <w:color w:val="auto"/>
                <w:sz w:val="24"/>
              </w:rPr>
              <w:t>原辅材料及能源消耗</w:t>
            </w:r>
          </w:p>
          <w:p>
            <w:pPr>
              <w:adjustRightInd w:val="0"/>
              <w:snapToGrid w:val="0"/>
              <w:spacing w:line="520" w:lineRule="exact"/>
              <w:ind w:firstLine="588" w:firstLineChars="245"/>
              <w:rPr>
                <w:rFonts w:hint="eastAsia" w:ascii="Times New Roman" w:hAnsi="Times New Roman" w:cs="Times New Roman"/>
                <w:color w:val="auto"/>
                <w:sz w:val="24"/>
              </w:rPr>
            </w:pPr>
            <w:r>
              <w:rPr>
                <w:rFonts w:ascii="Times New Roman" w:hAnsi="Times New Roman" w:cs="Times New Roman"/>
                <w:color w:val="auto"/>
                <w:sz w:val="24"/>
              </w:rPr>
              <w:t>项目原辅材料及能源消耗情况详见</w:t>
            </w:r>
            <w:r>
              <w:rPr>
                <w:rFonts w:hint="eastAsia" w:ascii="Times New Roman" w:hAnsi="Times New Roman" w:cs="Times New Roman"/>
                <w:color w:val="auto"/>
                <w:sz w:val="24"/>
                <w:lang w:val="en-US" w:eastAsia="zh-CN"/>
              </w:rPr>
              <w:t>以下</w:t>
            </w:r>
            <w:r>
              <w:rPr>
                <w:rFonts w:ascii="Times New Roman" w:hAnsi="Times New Roman" w:cs="Times New Roman"/>
                <w:color w:val="auto"/>
                <w:sz w:val="24"/>
              </w:rPr>
              <w:t>表。</w:t>
            </w:r>
          </w:p>
          <w:p>
            <w:pPr>
              <w:adjustRightInd w:val="0"/>
              <w:snapToGrid w:val="0"/>
              <w:spacing w:line="520" w:lineRule="exact"/>
              <w:jc w:val="center"/>
              <w:rPr>
                <w:rFonts w:hint="eastAsia" w:ascii="Times New Roman" w:hAnsi="Times New Roman" w:eastAsia="黑体" w:cs="Times New Roman"/>
                <w:color w:val="auto"/>
                <w:kern w:val="2"/>
                <w:sz w:val="24"/>
                <w:szCs w:val="24"/>
                <w:lang w:val="en-US" w:eastAsia="zh-CN" w:bidi="ar-SA"/>
              </w:rPr>
            </w:pPr>
            <w:r>
              <w:rPr>
                <w:rFonts w:hint="eastAsia" w:ascii="Times New Roman" w:hAnsi="Times New Roman" w:eastAsia="黑体" w:cs="Times New Roman"/>
                <w:color w:val="auto"/>
                <w:kern w:val="2"/>
                <w:sz w:val="24"/>
                <w:szCs w:val="24"/>
                <w:lang w:val="en-US" w:eastAsia="zh-CN" w:bidi="ar-SA"/>
              </w:rPr>
              <w:t>表</w:t>
            </w:r>
            <w:r>
              <w:rPr>
                <w:rFonts w:hint="eastAsia" w:eastAsia="黑体" w:cs="Times New Roman"/>
                <w:color w:val="auto"/>
                <w:kern w:val="2"/>
                <w:sz w:val="24"/>
                <w:szCs w:val="24"/>
                <w:lang w:val="en-US" w:eastAsia="zh-CN" w:bidi="ar-SA"/>
              </w:rPr>
              <w:t>14</w:t>
            </w:r>
            <w:r>
              <w:rPr>
                <w:rFonts w:hint="eastAsia" w:ascii="Times New Roman" w:hAnsi="Times New Roman" w:eastAsia="黑体" w:cs="Times New Roman"/>
                <w:color w:val="auto"/>
                <w:kern w:val="2"/>
                <w:sz w:val="24"/>
                <w:szCs w:val="24"/>
                <w:lang w:val="en-US" w:eastAsia="zh-CN" w:bidi="ar-SA"/>
              </w:rPr>
              <w:t xml:space="preserve"> </w:t>
            </w:r>
            <w:r>
              <w:rPr>
                <w:rFonts w:hint="eastAsia" w:eastAsia="黑体" w:cs="Times New Roman"/>
                <w:color w:val="auto"/>
                <w:kern w:val="2"/>
                <w:sz w:val="24"/>
                <w:szCs w:val="24"/>
                <w:lang w:val="en-US" w:eastAsia="zh-CN" w:bidi="ar-SA"/>
              </w:rPr>
              <w:t xml:space="preserve">       </w:t>
            </w:r>
            <w:r>
              <w:rPr>
                <w:rFonts w:hint="eastAsia" w:ascii="Times New Roman" w:hAnsi="Times New Roman" w:eastAsia="黑体" w:cs="Times New Roman"/>
                <w:color w:val="auto"/>
                <w:kern w:val="2"/>
                <w:sz w:val="24"/>
                <w:szCs w:val="24"/>
                <w:lang w:val="en-US" w:eastAsia="zh-CN" w:bidi="ar-SA"/>
              </w:rPr>
              <w:t>原辅材料</w:t>
            </w:r>
            <w:r>
              <w:rPr>
                <w:rFonts w:hint="eastAsia" w:eastAsia="黑体" w:cs="Times New Roman"/>
                <w:color w:val="auto"/>
                <w:kern w:val="2"/>
                <w:sz w:val="24"/>
                <w:szCs w:val="24"/>
                <w:lang w:val="en-US" w:eastAsia="zh-CN" w:bidi="ar-SA"/>
              </w:rPr>
              <w:t>及能源</w:t>
            </w:r>
            <w:r>
              <w:rPr>
                <w:rFonts w:hint="eastAsia" w:ascii="Times New Roman" w:hAnsi="Times New Roman" w:eastAsia="黑体" w:cs="Times New Roman"/>
                <w:color w:val="auto"/>
                <w:kern w:val="2"/>
                <w:sz w:val="24"/>
                <w:szCs w:val="24"/>
                <w:lang w:val="en-US" w:eastAsia="zh-CN" w:bidi="ar-SA"/>
              </w:rPr>
              <w:t>消耗情况一览表</w:t>
            </w:r>
          </w:p>
          <w:tbl>
            <w:tblPr>
              <w:tblStyle w:val="29"/>
              <w:tblW w:w="83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3610"/>
              <w:gridCol w:w="3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119" w:type="dxa"/>
                  <w:noWrap w:val="0"/>
                  <w:vAlign w:val="center"/>
                </w:tcPr>
                <w:p>
                  <w:pPr>
                    <w:adjustRightInd w:val="0"/>
                    <w:snapToGrid w:val="0"/>
                    <w:jc w:val="center"/>
                    <w:rPr>
                      <w:rFonts w:hint="eastAsia" w:ascii="Times New Roman" w:hAnsi="Times New Roman" w:eastAsia="黑体" w:cs="Times New Roman"/>
                      <w:color w:val="auto"/>
                      <w:sz w:val="24"/>
                      <w:vertAlign w:val="baseline"/>
                      <w:lang w:val="en-US" w:eastAsia="zh-CN"/>
                    </w:rPr>
                  </w:pPr>
                  <w:r>
                    <w:rPr>
                      <w:rFonts w:ascii="Times New Roman" w:hAnsi="Times New Roman" w:cs="Times New Roman"/>
                      <w:b/>
                      <w:bCs/>
                      <w:color w:val="auto"/>
                      <w:kern w:val="0"/>
                      <w:szCs w:val="21"/>
                    </w:rPr>
                    <w:t>名称</w:t>
                  </w:r>
                </w:p>
              </w:tc>
              <w:tc>
                <w:tcPr>
                  <w:tcW w:w="3610" w:type="dxa"/>
                  <w:noWrap w:val="0"/>
                  <w:vAlign w:val="center"/>
                </w:tcPr>
                <w:p>
                  <w:pPr>
                    <w:adjustRightInd w:val="0"/>
                    <w:snapToGrid w:val="0"/>
                    <w:jc w:val="center"/>
                    <w:rPr>
                      <w:rFonts w:hint="default" w:ascii="Times New Roman" w:hAnsi="Times New Roman" w:eastAsia="宋体" w:cs="Times New Roman"/>
                      <w:b/>
                      <w:bCs/>
                      <w:color w:val="auto"/>
                      <w:kern w:val="0"/>
                      <w:szCs w:val="21"/>
                      <w:lang w:val="en-US" w:eastAsia="zh-CN"/>
                    </w:rPr>
                  </w:pPr>
                  <w:r>
                    <w:rPr>
                      <w:rFonts w:ascii="Times New Roman" w:hAnsi="Times New Roman" w:cs="Times New Roman"/>
                      <w:b/>
                      <w:bCs/>
                      <w:color w:val="auto"/>
                      <w:kern w:val="0"/>
                      <w:szCs w:val="21"/>
                    </w:rPr>
                    <w:t>年用量</w:t>
                  </w:r>
                </w:p>
              </w:tc>
              <w:tc>
                <w:tcPr>
                  <w:tcW w:w="3610" w:type="dxa"/>
                  <w:noWrap w:val="0"/>
                  <w:vAlign w:val="center"/>
                </w:tcPr>
                <w:p>
                  <w:pPr>
                    <w:adjustRightInd w:val="0"/>
                    <w:snapToGrid w:val="0"/>
                    <w:jc w:val="center"/>
                    <w:rPr>
                      <w:rFonts w:hint="eastAsia" w:ascii="Times New Roman" w:hAnsi="Times New Roman" w:eastAsia="宋体" w:cs="Times New Roman"/>
                      <w:b/>
                      <w:bCs/>
                      <w:color w:val="auto"/>
                      <w:kern w:val="0"/>
                      <w:szCs w:val="21"/>
                      <w:lang w:val="en-US" w:eastAsia="zh-CN"/>
                    </w:rPr>
                  </w:pPr>
                  <w:r>
                    <w:rPr>
                      <w:rFonts w:hint="eastAsia" w:cs="Times New Roman"/>
                      <w:b/>
                      <w:bCs/>
                      <w:color w:val="auto"/>
                      <w:kern w:val="0"/>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119" w:type="dxa"/>
                  <w:noWrap w:val="0"/>
                  <w:vAlign w:val="center"/>
                </w:tcPr>
                <w:p>
                  <w:pPr>
                    <w:spacing w:line="300" w:lineRule="exact"/>
                    <w:jc w:val="center"/>
                    <w:rPr>
                      <w:rFonts w:hint="default" w:ascii="Times New Roman" w:hAnsi="Times New Roman" w:eastAsia="宋体" w:cs="Times New Roman"/>
                      <w:bCs/>
                      <w:color w:val="auto"/>
                      <w:kern w:val="0"/>
                      <w:szCs w:val="21"/>
                      <w:lang w:val="en-US" w:eastAsia="zh-CN"/>
                    </w:rPr>
                  </w:pPr>
                  <w:r>
                    <w:rPr>
                      <w:rFonts w:hint="eastAsia"/>
                      <w:color w:val="auto"/>
                    </w:rPr>
                    <w:t>耗水</w:t>
                  </w:r>
                </w:p>
              </w:tc>
              <w:tc>
                <w:tcPr>
                  <w:tcW w:w="3610" w:type="dxa"/>
                  <w:noWrap w:val="0"/>
                  <w:vAlign w:val="center"/>
                </w:tcPr>
                <w:p>
                  <w:pPr>
                    <w:spacing w:line="260" w:lineRule="exact"/>
                    <w:jc w:val="center"/>
                    <w:rPr>
                      <w:rFonts w:hint="default" w:cs="Times New Roman"/>
                      <w:bCs/>
                      <w:color w:val="auto"/>
                      <w:kern w:val="0"/>
                      <w:szCs w:val="21"/>
                      <w:highlight w:val="none"/>
                      <w:lang w:val="en-US" w:eastAsia="zh-CN"/>
                    </w:rPr>
                  </w:pPr>
                  <w:r>
                    <w:rPr>
                      <w:rFonts w:hint="eastAsia" w:cs="Times New Roman"/>
                      <w:bCs/>
                      <w:color w:val="auto"/>
                      <w:kern w:val="0"/>
                      <w:szCs w:val="21"/>
                      <w:highlight w:val="none"/>
                      <w:lang w:val="en-US" w:eastAsia="zh-CN"/>
                    </w:rPr>
                    <w:t>388.65吨</w:t>
                  </w:r>
                </w:p>
              </w:tc>
              <w:tc>
                <w:tcPr>
                  <w:tcW w:w="3610" w:type="dxa"/>
                  <w:noWrap w:val="0"/>
                  <w:vAlign w:val="center"/>
                </w:tcPr>
                <w:p>
                  <w:pPr>
                    <w:spacing w:line="260" w:lineRule="exact"/>
                    <w:jc w:val="center"/>
                    <w:rPr>
                      <w:rFonts w:hint="default" w:cs="Times New Roman"/>
                      <w:bCs/>
                      <w:color w:val="auto"/>
                      <w:kern w:val="0"/>
                      <w:szCs w:val="21"/>
                      <w:highlight w:val="none"/>
                      <w:lang w:val="en-US" w:eastAsia="zh-CN"/>
                    </w:rPr>
                  </w:pPr>
                  <w:r>
                    <w:rPr>
                      <w:rFonts w:hint="eastAsia" w:cs="Times New Roman"/>
                      <w:bCs/>
                      <w:color w:val="auto"/>
                      <w:kern w:val="0"/>
                      <w:szCs w:val="21"/>
                      <w:highlight w:val="none"/>
                      <w:lang w:val="en-US" w:eastAsia="zh-CN"/>
                    </w:rPr>
                    <w:t>本次扩建新增用量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119" w:type="dxa"/>
                  <w:noWrap w:val="0"/>
                  <w:vAlign w:val="center"/>
                </w:tcPr>
                <w:p>
                  <w:pPr>
                    <w:spacing w:line="300" w:lineRule="exact"/>
                    <w:jc w:val="center"/>
                    <w:rPr>
                      <w:rFonts w:hint="eastAsia" w:eastAsia="宋体"/>
                      <w:color w:val="auto"/>
                      <w:lang w:val="en-US" w:eastAsia="zh-CN"/>
                    </w:rPr>
                  </w:pPr>
                  <w:r>
                    <w:rPr>
                      <w:rFonts w:hint="eastAsia"/>
                      <w:color w:val="auto"/>
                      <w:lang w:val="en-US" w:eastAsia="zh-CN"/>
                    </w:rPr>
                    <w:t>电</w:t>
                  </w:r>
                </w:p>
              </w:tc>
              <w:tc>
                <w:tcPr>
                  <w:tcW w:w="3610" w:type="dxa"/>
                  <w:noWrap w:val="0"/>
                  <w:vAlign w:val="center"/>
                </w:tcPr>
                <w:p>
                  <w:pPr>
                    <w:spacing w:line="260" w:lineRule="exact"/>
                    <w:jc w:val="center"/>
                    <w:rPr>
                      <w:rFonts w:hint="eastAsia" w:eastAsia="宋体"/>
                      <w:color w:val="auto"/>
                      <w:szCs w:val="21"/>
                      <w:lang w:val="en-US" w:eastAsia="zh-CN"/>
                    </w:rPr>
                  </w:pPr>
                  <w:r>
                    <w:rPr>
                      <w:rFonts w:hint="eastAsia" w:cs="Times New Roman"/>
                      <w:bCs/>
                      <w:color w:val="auto"/>
                      <w:kern w:val="0"/>
                      <w:szCs w:val="21"/>
                      <w:highlight w:val="none"/>
                      <w:lang w:val="en-US" w:eastAsia="zh-CN"/>
                    </w:rPr>
                    <w:t>2万度</w:t>
                  </w:r>
                </w:p>
              </w:tc>
              <w:tc>
                <w:tcPr>
                  <w:tcW w:w="3610" w:type="dxa"/>
                  <w:noWrap w:val="0"/>
                  <w:vAlign w:val="center"/>
                </w:tcPr>
                <w:p>
                  <w:pPr>
                    <w:spacing w:line="260" w:lineRule="exact"/>
                    <w:jc w:val="center"/>
                    <w:rPr>
                      <w:rFonts w:hint="eastAsia" w:cs="Times New Roman"/>
                      <w:bCs/>
                      <w:color w:val="auto"/>
                      <w:kern w:val="0"/>
                      <w:szCs w:val="21"/>
                      <w:highlight w:val="none"/>
                      <w:lang w:val="en-US" w:eastAsia="zh-CN"/>
                    </w:rPr>
                  </w:pPr>
                  <w:r>
                    <w:rPr>
                      <w:rFonts w:hint="eastAsia" w:cs="Times New Roman"/>
                      <w:bCs/>
                      <w:color w:val="auto"/>
                      <w:kern w:val="0"/>
                      <w:szCs w:val="21"/>
                      <w:highlight w:val="none"/>
                      <w:lang w:val="en-US" w:eastAsia="zh-CN"/>
                    </w:rPr>
                    <w:t>本次扩建新增用量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1119" w:type="dxa"/>
                  <w:noWrap w:val="0"/>
                  <w:vAlign w:val="center"/>
                </w:tcPr>
                <w:p>
                  <w:pPr>
                    <w:spacing w:line="300" w:lineRule="exact"/>
                    <w:jc w:val="center"/>
                    <w:rPr>
                      <w:rFonts w:hint="default"/>
                      <w:color w:val="auto"/>
                      <w:lang w:val="en-US" w:eastAsia="zh-CN"/>
                    </w:rPr>
                  </w:pPr>
                  <w:r>
                    <w:rPr>
                      <w:rFonts w:hint="eastAsia"/>
                      <w:color w:val="auto"/>
                      <w:lang w:val="en-US" w:eastAsia="zh-CN"/>
                    </w:rPr>
                    <w:t>吨袋</w:t>
                  </w:r>
                </w:p>
              </w:tc>
              <w:tc>
                <w:tcPr>
                  <w:tcW w:w="3610" w:type="dxa"/>
                  <w:noWrap w:val="0"/>
                  <w:vAlign w:val="center"/>
                </w:tcPr>
                <w:p>
                  <w:pPr>
                    <w:spacing w:line="260" w:lineRule="exact"/>
                    <w:jc w:val="center"/>
                    <w:rPr>
                      <w:rFonts w:hint="default"/>
                      <w:color w:val="auto"/>
                      <w:szCs w:val="21"/>
                      <w:lang w:val="en-US" w:eastAsia="zh-CN"/>
                    </w:rPr>
                  </w:pPr>
                  <w:r>
                    <w:rPr>
                      <w:rFonts w:hint="eastAsia"/>
                      <w:color w:val="auto"/>
                      <w:szCs w:val="21"/>
                      <w:lang w:val="en-US" w:eastAsia="zh-CN"/>
                    </w:rPr>
                    <w:t>约8000个</w:t>
                  </w:r>
                </w:p>
              </w:tc>
              <w:tc>
                <w:tcPr>
                  <w:tcW w:w="3610" w:type="dxa"/>
                  <w:noWrap w:val="0"/>
                  <w:vAlign w:val="center"/>
                </w:tcPr>
                <w:p>
                  <w:pPr>
                    <w:spacing w:line="260" w:lineRule="exact"/>
                    <w:jc w:val="center"/>
                    <w:rPr>
                      <w:rFonts w:hint="default"/>
                      <w:color w:val="auto"/>
                      <w:szCs w:val="21"/>
                      <w:lang w:val="en-US" w:eastAsia="zh-CN"/>
                    </w:rPr>
                  </w:pPr>
                  <w:r>
                    <w:rPr>
                      <w:rFonts w:hint="eastAsia"/>
                      <w:color w:val="auto"/>
                      <w:szCs w:val="21"/>
                      <w:lang w:val="en-US" w:eastAsia="zh-CN"/>
                    </w:rPr>
                    <w:t>未新增、与现有工程一致</w:t>
                  </w:r>
                </w:p>
              </w:tc>
            </w:tr>
          </w:tbl>
          <w:p>
            <w:pPr>
              <w:pStyle w:val="23"/>
              <w:rPr>
                <w:rFonts w:hint="eastAsia" w:ascii="Times New Roman" w:hAnsi="Times New Roman" w:cs="Times New Roman"/>
                <w:b/>
                <w:color w:val="auto"/>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s="Times New Roman"/>
                <w:b/>
                <w:color w:val="auto"/>
                <w:sz w:val="24"/>
              </w:rPr>
            </w:pPr>
            <w:r>
              <w:rPr>
                <w:rFonts w:hint="eastAsia" w:cs="Times New Roman"/>
                <w:b/>
                <w:color w:val="auto"/>
                <w:sz w:val="24"/>
                <w:lang w:val="en-US" w:eastAsia="zh-CN"/>
              </w:rPr>
              <w:t>8</w:t>
            </w:r>
            <w:r>
              <w:rPr>
                <w:rFonts w:ascii="Times New Roman" w:hAnsi="Times New Roman" w:cs="Times New Roman"/>
                <w:b/>
                <w:color w:val="auto"/>
                <w:sz w:val="24"/>
              </w:rPr>
              <w:t>劳动定员和生产制度</w:t>
            </w:r>
          </w:p>
          <w:p>
            <w:pPr>
              <w:adjustRightInd w:val="0"/>
              <w:snapToGrid w:val="0"/>
              <w:spacing w:line="360" w:lineRule="auto"/>
              <w:ind w:firstLine="588" w:firstLineChars="245"/>
              <w:rPr>
                <w:rFonts w:hint="eastAsia" w:ascii="Times New Roman" w:hAnsi="Times New Roman" w:cs="Times New Roman"/>
                <w:color w:val="auto"/>
                <w:sz w:val="24"/>
              </w:rPr>
            </w:pPr>
            <w:r>
              <w:rPr>
                <w:rFonts w:ascii="Times New Roman" w:hAnsi="Times New Roman" w:cs="Times New Roman"/>
                <w:color w:val="auto"/>
                <w:sz w:val="24"/>
              </w:rPr>
              <w:t>（1）工作制度：年工作</w:t>
            </w:r>
            <w:r>
              <w:rPr>
                <w:rFonts w:hint="eastAsia" w:cs="Times New Roman"/>
                <w:color w:val="auto"/>
                <w:sz w:val="24"/>
                <w:lang w:val="en-US" w:eastAsia="zh-CN"/>
              </w:rPr>
              <w:t>8000小时</w:t>
            </w:r>
            <w:r>
              <w:rPr>
                <w:rFonts w:ascii="Times New Roman" w:hAnsi="Times New Roman" w:cs="Times New Roman"/>
                <w:color w:val="auto"/>
                <w:sz w:val="24"/>
              </w:rPr>
              <w:t>。</w:t>
            </w:r>
          </w:p>
          <w:p>
            <w:pPr>
              <w:adjustRightInd w:val="0"/>
              <w:snapToGrid w:val="0"/>
              <w:spacing w:line="360" w:lineRule="auto"/>
              <w:ind w:firstLine="588" w:firstLineChars="245"/>
              <w:rPr>
                <w:rFonts w:ascii="Times New Roman" w:hAnsi="Times New Roman" w:cs="Times New Roman"/>
                <w:color w:val="auto"/>
                <w:sz w:val="24"/>
              </w:rPr>
            </w:pPr>
            <w:r>
              <w:rPr>
                <w:rFonts w:ascii="Times New Roman" w:hAnsi="Times New Roman" w:cs="Times New Roman"/>
                <w:color w:val="auto"/>
                <w:sz w:val="24"/>
                <w:highlight w:val="none"/>
              </w:rPr>
              <w:t>（2）劳动定员：</w:t>
            </w:r>
            <w:r>
              <w:rPr>
                <w:rFonts w:hint="eastAsia" w:cs="Times New Roman"/>
                <w:color w:val="auto"/>
                <w:sz w:val="24"/>
                <w:lang w:val="en-US" w:eastAsia="zh-CN"/>
              </w:rPr>
              <w:t>本次扩建项目不新增</w:t>
            </w:r>
            <w:r>
              <w:rPr>
                <w:rFonts w:ascii="Times New Roman" w:hAnsi="Times New Roman" w:cs="Times New Roman"/>
                <w:color w:val="auto"/>
                <w:sz w:val="24"/>
              </w:rPr>
              <w:t>劳动定员。</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cs="Times New Roman"/>
                <w:b/>
                <w:color w:val="auto"/>
                <w:sz w:val="24"/>
                <w:highlight w:val="none"/>
              </w:rPr>
            </w:pPr>
            <w:r>
              <w:rPr>
                <w:rFonts w:hint="eastAsia" w:cs="Times New Roman"/>
                <w:b/>
                <w:color w:val="auto"/>
                <w:sz w:val="24"/>
                <w:highlight w:val="none"/>
                <w:lang w:val="en-US" w:eastAsia="zh-CN"/>
              </w:rPr>
              <w:t>9</w:t>
            </w:r>
            <w:r>
              <w:rPr>
                <w:rFonts w:ascii="Times New Roman" w:hAnsi="Times New Roman" w:cs="Times New Roman"/>
                <w:b/>
                <w:color w:val="auto"/>
                <w:sz w:val="24"/>
                <w:highlight w:val="none"/>
              </w:rPr>
              <w:t>公用设施</w:t>
            </w:r>
          </w:p>
          <w:p>
            <w:pPr>
              <w:adjustRightInd w:val="0"/>
              <w:snapToGrid w:val="0"/>
              <w:spacing w:line="360" w:lineRule="auto"/>
              <w:ind w:firstLine="480" w:firstLineChars="200"/>
              <w:rPr>
                <w:rFonts w:hint="eastAsia" w:ascii="Times New Roman" w:hAnsi="Times New Roman" w:cs="Times New Roman"/>
                <w:color w:val="auto"/>
                <w:sz w:val="24"/>
                <w:highlight w:val="none"/>
                <w:lang w:eastAsia="zh-CN"/>
              </w:rPr>
            </w:pPr>
            <w:r>
              <w:rPr>
                <w:rFonts w:hint="eastAsia" w:cs="Times New Roman"/>
                <w:color w:val="auto"/>
                <w:sz w:val="24"/>
                <w:highlight w:val="none"/>
                <w:lang w:eastAsia="zh-CN"/>
              </w:rPr>
              <w:t>（</w:t>
            </w:r>
            <w:r>
              <w:rPr>
                <w:rFonts w:hint="eastAsia" w:cs="Times New Roman"/>
                <w:color w:val="auto"/>
                <w:sz w:val="24"/>
                <w:highlight w:val="none"/>
                <w:lang w:val="en-US" w:eastAsia="zh-CN"/>
              </w:rPr>
              <w:t>1</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eastAsia="zh-CN"/>
              </w:rPr>
              <w:t>给水：</w:t>
            </w:r>
          </w:p>
          <w:p>
            <w:pPr>
              <w:numPr>
                <w:ilvl w:val="0"/>
                <w:numId w:val="0"/>
              </w:numPr>
              <w:spacing w:line="360" w:lineRule="auto"/>
              <w:ind w:firstLine="480" w:firstLineChars="200"/>
              <w:rPr>
                <w:rFonts w:hint="eastAsia" w:ascii="Times New Roman" w:hAnsi="Times New Roman" w:eastAsia="宋体" w:cs="Times New Roman"/>
                <w:color w:val="auto"/>
                <w:spacing w:val="1"/>
                <w:sz w:val="24"/>
              </w:rPr>
            </w:pPr>
            <w:r>
              <w:rPr>
                <w:rFonts w:hint="eastAsia" w:ascii="Times New Roman" w:hAnsi="Times New Roman" w:eastAsia="宋体" w:cs="Times New Roman"/>
                <w:b w:val="0"/>
                <w:bCs w:val="0"/>
                <w:color w:val="auto"/>
                <w:kern w:val="2"/>
                <w:sz w:val="24"/>
                <w:szCs w:val="24"/>
                <w:highlight w:val="none"/>
                <w:u w:val="none"/>
                <w:lang w:val="en-US" w:eastAsia="zh-CN" w:bidi="ar-SA"/>
              </w:rPr>
              <w:t>本项目营运期</w:t>
            </w:r>
            <w:r>
              <w:rPr>
                <w:rFonts w:hint="eastAsia" w:cs="Times New Roman"/>
                <w:b w:val="0"/>
                <w:bCs w:val="0"/>
                <w:color w:val="auto"/>
                <w:kern w:val="2"/>
                <w:sz w:val="24"/>
                <w:szCs w:val="24"/>
                <w:highlight w:val="none"/>
                <w:u w:val="none"/>
                <w:lang w:val="en-US" w:eastAsia="zh-CN" w:bidi="ar-SA"/>
              </w:rPr>
              <w:t>仅涉及喷干雾装置用水、水洗喷淋塔用水及洒水抑尘用水</w:t>
            </w:r>
            <w:r>
              <w:rPr>
                <w:rFonts w:hint="eastAsia" w:ascii="Times New Roman" w:hAnsi="Times New Roman" w:eastAsia="宋体" w:cs="Times New Roman"/>
                <w:color w:val="auto"/>
                <w:sz w:val="24"/>
                <w:lang w:eastAsia="zh-CN"/>
              </w:rPr>
              <w:t>。</w:t>
            </w:r>
          </w:p>
          <w:p>
            <w:pPr>
              <w:numPr>
                <w:ilvl w:val="0"/>
                <w:numId w:val="0"/>
              </w:numPr>
              <w:spacing w:line="360" w:lineRule="auto"/>
              <w:ind w:firstLine="484" w:firstLineChars="200"/>
              <w:rPr>
                <w:rFonts w:ascii="Times New Roman" w:hAnsi="Times New Roman" w:eastAsia="宋体" w:cs="Times New Roman"/>
                <w:color w:val="auto"/>
                <w:spacing w:val="1"/>
                <w:sz w:val="24"/>
              </w:rPr>
            </w:pPr>
            <w:r>
              <w:rPr>
                <w:rFonts w:hint="eastAsia" w:cs="Times New Roman"/>
                <w:color w:val="auto"/>
                <w:spacing w:val="1"/>
                <w:sz w:val="24"/>
                <w:lang w:eastAsia="zh-CN"/>
              </w:rPr>
              <w:t>（</w:t>
            </w:r>
            <w:r>
              <w:rPr>
                <w:rFonts w:hint="eastAsia" w:cs="Times New Roman"/>
                <w:color w:val="auto"/>
                <w:spacing w:val="1"/>
                <w:sz w:val="24"/>
                <w:lang w:val="en-US" w:eastAsia="zh-CN"/>
              </w:rPr>
              <w:t>2</w:t>
            </w:r>
            <w:r>
              <w:rPr>
                <w:rFonts w:hint="eastAsia" w:cs="Times New Roman"/>
                <w:color w:val="auto"/>
                <w:spacing w:val="1"/>
                <w:sz w:val="24"/>
                <w:lang w:eastAsia="zh-CN"/>
              </w:rPr>
              <w:t>）</w:t>
            </w:r>
            <w:r>
              <w:rPr>
                <w:rFonts w:ascii="Times New Roman" w:hAnsi="Times New Roman" w:eastAsia="宋体" w:cs="Times New Roman"/>
                <w:color w:val="auto"/>
                <w:spacing w:val="1"/>
                <w:sz w:val="24"/>
              </w:rPr>
              <w:t>排水</w:t>
            </w:r>
          </w:p>
          <w:p>
            <w:pPr>
              <w:adjustRightInd w:val="0"/>
              <w:snapToGrid w:val="0"/>
              <w:spacing w:line="360" w:lineRule="auto"/>
              <w:ind w:firstLine="480" w:firstLineChars="200"/>
              <w:rPr>
                <w:rFonts w:hint="eastAsia" w:ascii="Times New Roman" w:hAnsi="Times New Roman" w:cs="Times New Roman"/>
                <w:color w:val="auto"/>
                <w:sz w:val="24"/>
                <w:lang w:eastAsia="zh-CN"/>
              </w:rPr>
            </w:pPr>
            <w:r>
              <w:rPr>
                <w:rFonts w:hint="eastAsia" w:ascii="Times New Roman" w:hAnsi="Times New Roman" w:cs="Times New Roman"/>
                <w:color w:val="auto"/>
                <w:sz w:val="24"/>
                <w:lang w:val="en-US" w:eastAsia="zh-CN"/>
              </w:rPr>
              <w:t>本项目</w:t>
            </w:r>
            <w:r>
              <w:rPr>
                <w:rFonts w:hint="eastAsia" w:cs="Times New Roman"/>
                <w:color w:val="auto"/>
                <w:sz w:val="24"/>
                <w:lang w:val="en-US" w:eastAsia="zh-CN"/>
              </w:rPr>
              <w:t>不涉及废水外排</w:t>
            </w:r>
            <w:r>
              <w:rPr>
                <w:rFonts w:hint="eastAsia" w:ascii="Times New Roman" w:hAnsi="Times New Roman" w:cs="Times New Roman"/>
                <w:color w:val="auto"/>
                <w:sz w:val="24"/>
                <w:lang w:eastAsia="zh-CN"/>
              </w:rPr>
              <w:t>；</w:t>
            </w:r>
          </w:p>
          <w:p>
            <w:pPr>
              <w:adjustRightInd w:val="0"/>
              <w:snapToGrid w:val="0"/>
              <w:spacing w:line="360" w:lineRule="auto"/>
              <w:ind w:firstLine="480" w:firstLineChars="200"/>
              <w:rPr>
                <w:rFonts w:hint="eastAsia" w:ascii="Times New Roman" w:hAnsi="Times New Roman" w:eastAsia="宋体" w:cs="Times New Roman"/>
                <w:color w:val="auto"/>
                <w:sz w:val="24"/>
                <w:szCs w:val="24"/>
              </w:rPr>
            </w:pPr>
            <w:r>
              <w:rPr>
                <w:rFonts w:ascii="Times New Roman" w:hAnsi="Times New Roman" w:eastAsia="宋体" w:cs="Times New Roman"/>
                <w:color w:val="auto"/>
                <w:sz w:val="24"/>
                <w:szCs w:val="24"/>
              </w:rPr>
              <w:t>供电：本项目</w:t>
            </w:r>
            <w:r>
              <w:rPr>
                <w:rFonts w:hint="eastAsia" w:ascii="Times New Roman" w:hAnsi="Times New Roman" w:eastAsia="宋体" w:cs="Times New Roman"/>
                <w:color w:val="auto"/>
                <w:sz w:val="24"/>
                <w:szCs w:val="24"/>
              </w:rPr>
              <w:t>依靠</w:t>
            </w:r>
            <w:r>
              <w:rPr>
                <w:rFonts w:hint="eastAsia" w:cs="Times New Roman"/>
                <w:color w:val="auto"/>
                <w:sz w:val="24"/>
                <w:szCs w:val="24"/>
                <w:lang w:val="en-US" w:eastAsia="zh-CN"/>
              </w:rPr>
              <w:t>鲁山县</w:t>
            </w:r>
            <w:r>
              <w:rPr>
                <w:rFonts w:hint="eastAsia" w:ascii="Times New Roman" w:hAnsi="Times New Roman" w:eastAsia="宋体" w:cs="Times New Roman"/>
                <w:color w:val="auto"/>
                <w:sz w:val="24"/>
                <w:szCs w:val="24"/>
              </w:rPr>
              <w:t>供电线路供电</w:t>
            </w:r>
            <w:r>
              <w:rPr>
                <w:rFonts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s="Times New Roman"/>
                <w:b/>
                <w:color w:val="auto"/>
                <w:sz w:val="24"/>
                <w:szCs w:val="22"/>
                <w:highlight w:val="none"/>
              </w:rPr>
            </w:pPr>
            <w:r>
              <w:rPr>
                <w:rFonts w:hint="eastAsia" w:cs="Times New Roman"/>
                <w:b/>
                <w:color w:val="auto"/>
                <w:sz w:val="24"/>
                <w:szCs w:val="22"/>
                <w:highlight w:val="none"/>
                <w:lang w:val="en-US" w:eastAsia="zh-CN"/>
              </w:rPr>
              <w:t>10</w:t>
            </w:r>
            <w:r>
              <w:rPr>
                <w:rFonts w:hint="eastAsia" w:ascii="Times New Roman" w:hAnsi="Times New Roman" w:cs="Times New Roman"/>
                <w:b/>
                <w:color w:val="auto"/>
                <w:sz w:val="24"/>
                <w:szCs w:val="22"/>
                <w:highlight w:val="none"/>
              </w:rPr>
              <w:t>项目</w:t>
            </w:r>
            <w:r>
              <w:rPr>
                <w:rFonts w:ascii="Times New Roman" w:hAnsi="Times New Roman" w:cs="Times New Roman"/>
                <w:b/>
                <w:color w:val="auto"/>
                <w:sz w:val="24"/>
                <w:szCs w:val="22"/>
                <w:highlight w:val="none"/>
              </w:rPr>
              <w:t>水平衡分析</w:t>
            </w:r>
          </w:p>
          <w:p>
            <w:pPr>
              <w:spacing w:line="520" w:lineRule="exact"/>
              <w:ind w:firstLine="482"/>
              <w:rPr>
                <w:rFonts w:hint="eastAsia"/>
                <w:bCs/>
                <w:color w:val="auto"/>
                <w:sz w:val="24"/>
                <w:szCs w:val="24"/>
              </w:rPr>
            </w:pPr>
            <w:r>
              <w:rPr>
                <w:rFonts w:hint="eastAsia"/>
                <w:bCs/>
                <w:color w:val="auto"/>
                <w:sz w:val="24"/>
                <w:szCs w:val="24"/>
              </w:rPr>
              <w:t>①项目用水</w:t>
            </w:r>
          </w:p>
          <w:p>
            <w:pPr>
              <w:spacing w:line="520" w:lineRule="exact"/>
              <w:ind w:firstLine="480" w:firstLineChars="200"/>
              <w:rPr>
                <w:rFonts w:hint="eastAsia"/>
                <w:bCs/>
                <w:color w:val="auto"/>
                <w:sz w:val="24"/>
                <w:szCs w:val="24"/>
              </w:rPr>
            </w:pPr>
            <w:r>
              <w:rPr>
                <w:rFonts w:hint="eastAsia"/>
                <w:bCs/>
                <w:color w:val="auto"/>
                <w:sz w:val="24"/>
                <w:szCs w:val="24"/>
              </w:rPr>
              <w:t>项目营运期用水主要为</w:t>
            </w:r>
            <w:r>
              <w:rPr>
                <w:rFonts w:hint="eastAsia" w:cs="Times New Roman"/>
                <w:b w:val="0"/>
                <w:bCs w:val="0"/>
                <w:color w:val="auto"/>
                <w:kern w:val="2"/>
                <w:sz w:val="24"/>
                <w:szCs w:val="24"/>
                <w:highlight w:val="none"/>
                <w:u w:val="none"/>
                <w:lang w:val="en-US" w:eastAsia="zh-CN" w:bidi="ar-SA"/>
              </w:rPr>
              <w:t>水喷淋装置用水、抑尘用水、喷干雾装置用水及生活污水</w:t>
            </w:r>
            <w:r>
              <w:rPr>
                <w:rFonts w:hint="eastAsia"/>
                <w:bCs/>
                <w:iCs/>
                <w:color w:val="auto"/>
                <w:sz w:val="24"/>
                <w:szCs w:val="24"/>
              </w:rPr>
              <w:t>。</w:t>
            </w:r>
          </w:p>
          <w:p>
            <w:pPr>
              <w:spacing w:line="520" w:lineRule="exact"/>
              <w:ind w:firstLine="480" w:firstLineChars="200"/>
              <w:rPr>
                <w:color w:val="auto"/>
                <w:sz w:val="24"/>
              </w:rPr>
            </w:pPr>
            <w:r>
              <w:rPr>
                <w:color w:val="auto"/>
                <w:sz w:val="24"/>
              </w:rPr>
              <w:t>本项目</w:t>
            </w:r>
            <w:r>
              <w:rPr>
                <w:rFonts w:hint="eastAsia"/>
                <w:color w:val="auto"/>
                <w:sz w:val="24"/>
              </w:rPr>
              <w:t>运营期</w:t>
            </w:r>
            <w:r>
              <w:rPr>
                <w:color w:val="auto"/>
                <w:sz w:val="24"/>
              </w:rPr>
              <w:t>用</w:t>
            </w:r>
            <w:r>
              <w:rPr>
                <w:rFonts w:hint="eastAsia"/>
                <w:color w:val="auto"/>
                <w:sz w:val="24"/>
              </w:rPr>
              <w:t>排</w:t>
            </w:r>
            <w:r>
              <w:rPr>
                <w:color w:val="auto"/>
                <w:sz w:val="24"/>
              </w:rPr>
              <w:t>水量统计情况见</w:t>
            </w:r>
            <w:r>
              <w:rPr>
                <w:rFonts w:hint="eastAsia"/>
                <w:color w:val="auto"/>
                <w:sz w:val="24"/>
              </w:rPr>
              <w:t>下</w:t>
            </w:r>
            <w:r>
              <w:rPr>
                <w:color w:val="auto"/>
                <w:sz w:val="24"/>
              </w:rPr>
              <w:t>表</w:t>
            </w:r>
            <w:r>
              <w:rPr>
                <w:rFonts w:hint="eastAsia"/>
                <w:color w:val="auto"/>
                <w:sz w:val="24"/>
              </w:rPr>
              <w:t>。</w:t>
            </w:r>
          </w:p>
          <w:p>
            <w:pPr>
              <w:spacing w:line="520" w:lineRule="exact"/>
              <w:ind w:firstLine="480" w:firstLineChars="200"/>
              <w:jc w:val="center"/>
              <w:rPr>
                <w:rFonts w:eastAsia="黑体"/>
                <w:color w:val="auto"/>
                <w:sz w:val="24"/>
              </w:rPr>
            </w:pPr>
            <w:r>
              <w:rPr>
                <w:rFonts w:eastAsia="黑体"/>
                <w:color w:val="auto"/>
                <w:sz w:val="24"/>
              </w:rPr>
              <w:t>表</w:t>
            </w:r>
            <w:r>
              <w:rPr>
                <w:rFonts w:hint="eastAsia" w:eastAsia="黑体"/>
                <w:color w:val="auto"/>
                <w:sz w:val="24"/>
                <w:lang w:val="en-US" w:eastAsia="zh-CN"/>
              </w:rPr>
              <w:t>15</w:t>
            </w:r>
            <w:r>
              <w:rPr>
                <w:rFonts w:eastAsia="黑体"/>
                <w:color w:val="auto"/>
                <w:sz w:val="24"/>
              </w:rPr>
              <w:t xml:space="preserve">               本项目营运期用</w:t>
            </w:r>
            <w:r>
              <w:rPr>
                <w:rFonts w:hint="eastAsia" w:eastAsia="黑体"/>
                <w:color w:val="auto"/>
                <w:sz w:val="24"/>
              </w:rPr>
              <w:t>排</w:t>
            </w:r>
            <w:r>
              <w:rPr>
                <w:rFonts w:eastAsia="黑体"/>
                <w:color w:val="auto"/>
                <w:sz w:val="24"/>
              </w:rPr>
              <w:t>水统计一览表</w:t>
            </w:r>
          </w:p>
          <w:tbl>
            <w:tblPr>
              <w:tblStyle w:val="28"/>
              <w:tblW w:w="837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2439"/>
              <w:gridCol w:w="2371"/>
              <w:gridCol w:w="22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3758" w:type="dxa"/>
                  <w:gridSpan w:val="2"/>
                  <w:vAlign w:val="center"/>
                </w:tcPr>
                <w:p>
                  <w:pPr>
                    <w:pStyle w:val="14"/>
                    <w:spacing w:line="240" w:lineRule="auto"/>
                    <w:ind w:left="420" w:leftChars="200" w:firstLine="0" w:firstLineChars="0"/>
                    <w:jc w:val="center"/>
                    <w:rPr>
                      <w:color w:val="auto"/>
                      <w:szCs w:val="21"/>
                    </w:rPr>
                  </w:pPr>
                  <w:r>
                    <w:rPr>
                      <w:b/>
                      <w:color w:val="auto"/>
                      <w:sz w:val="21"/>
                      <w:szCs w:val="21"/>
                    </w:rPr>
                    <w:t>类别</w:t>
                  </w:r>
                </w:p>
              </w:tc>
              <w:tc>
                <w:tcPr>
                  <w:tcW w:w="2371" w:type="dxa"/>
                  <w:vAlign w:val="center"/>
                </w:tcPr>
                <w:p>
                  <w:pPr>
                    <w:pStyle w:val="14"/>
                    <w:spacing w:line="340" w:lineRule="exact"/>
                    <w:ind w:left="631" w:leftChars="200" w:hanging="211" w:hangingChars="100"/>
                    <w:rPr>
                      <w:color w:val="auto"/>
                      <w:szCs w:val="21"/>
                    </w:rPr>
                  </w:pPr>
                  <w:r>
                    <w:rPr>
                      <w:b/>
                      <w:color w:val="auto"/>
                      <w:sz w:val="21"/>
                      <w:szCs w:val="21"/>
                    </w:rPr>
                    <w:t>用排水情况（m</w:t>
                  </w:r>
                  <w:r>
                    <w:rPr>
                      <w:b/>
                      <w:color w:val="auto"/>
                      <w:sz w:val="21"/>
                      <w:szCs w:val="21"/>
                      <w:vertAlign w:val="superscript"/>
                    </w:rPr>
                    <w:t>3</w:t>
                  </w:r>
                  <w:r>
                    <w:rPr>
                      <w:b/>
                      <w:color w:val="auto"/>
                      <w:sz w:val="21"/>
                      <w:szCs w:val="21"/>
                    </w:rPr>
                    <w:t>/d）</w:t>
                  </w:r>
                </w:p>
              </w:tc>
              <w:tc>
                <w:tcPr>
                  <w:tcW w:w="2249" w:type="dxa"/>
                  <w:vAlign w:val="center"/>
                </w:tcPr>
                <w:p>
                  <w:pPr>
                    <w:pStyle w:val="14"/>
                    <w:spacing w:line="340" w:lineRule="exact"/>
                    <w:ind w:left="420" w:leftChars="200" w:firstLine="0" w:firstLineChars="0"/>
                    <w:jc w:val="center"/>
                    <w:rPr>
                      <w:color w:val="auto"/>
                      <w:szCs w:val="21"/>
                    </w:rPr>
                  </w:pPr>
                  <w:r>
                    <w:rPr>
                      <w:b/>
                      <w:color w:val="auto"/>
                      <w:sz w:val="21"/>
                      <w:szCs w:val="21"/>
                    </w:rPr>
                    <w:t>全年合计（m</w:t>
                  </w:r>
                  <w:r>
                    <w:rPr>
                      <w:b/>
                      <w:color w:val="auto"/>
                      <w:sz w:val="21"/>
                      <w:szCs w:val="21"/>
                      <w:vertAlign w:val="superscript"/>
                    </w:rPr>
                    <w:t>3</w:t>
                  </w:r>
                  <w:r>
                    <w:rPr>
                      <w:b/>
                      <w:color w:val="auto"/>
                      <w:sz w:val="21"/>
                      <w:szCs w:val="21"/>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1319" w:type="dxa"/>
                  <w:vMerge w:val="restart"/>
                  <w:vAlign w:val="center"/>
                </w:tcPr>
                <w:p>
                  <w:pPr>
                    <w:pStyle w:val="14"/>
                    <w:spacing w:line="240" w:lineRule="auto"/>
                    <w:ind w:left="420" w:leftChars="200" w:firstLine="0" w:firstLineChars="0"/>
                    <w:jc w:val="center"/>
                    <w:rPr>
                      <w:rFonts w:hint="eastAsia" w:eastAsia="宋体"/>
                      <w:color w:val="auto"/>
                      <w:sz w:val="21"/>
                      <w:szCs w:val="21"/>
                      <w:lang w:val="en-US" w:eastAsia="zh-CN"/>
                    </w:rPr>
                  </w:pPr>
                  <w:r>
                    <w:rPr>
                      <w:rFonts w:hint="eastAsia"/>
                      <w:color w:val="auto"/>
                      <w:sz w:val="21"/>
                      <w:szCs w:val="21"/>
                      <w:lang w:val="en-US" w:eastAsia="zh-CN"/>
                    </w:rPr>
                    <w:t>用水量</w:t>
                  </w:r>
                </w:p>
              </w:tc>
              <w:tc>
                <w:tcPr>
                  <w:tcW w:w="2439" w:type="dxa"/>
                  <w:vAlign w:val="center"/>
                </w:tcPr>
                <w:p>
                  <w:pPr>
                    <w:pStyle w:val="14"/>
                    <w:spacing w:line="240" w:lineRule="auto"/>
                    <w:ind w:left="420" w:leftChars="200" w:firstLine="210" w:firstLineChars="100"/>
                    <w:jc w:val="both"/>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新鲜水用量</w:t>
                  </w:r>
                </w:p>
              </w:tc>
              <w:tc>
                <w:tcPr>
                  <w:tcW w:w="2371" w:type="dxa"/>
                  <w:vAlign w:val="center"/>
                </w:tcPr>
                <w:p>
                  <w:pPr>
                    <w:pStyle w:val="14"/>
                    <w:spacing w:line="240" w:lineRule="auto"/>
                    <w:ind w:left="420" w:leftChars="20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1.067</w:t>
                  </w:r>
                </w:p>
              </w:tc>
              <w:tc>
                <w:tcPr>
                  <w:tcW w:w="2249" w:type="dxa"/>
                  <w:vAlign w:val="center"/>
                </w:tcPr>
                <w:p>
                  <w:pPr>
                    <w:pStyle w:val="14"/>
                    <w:spacing w:line="240" w:lineRule="auto"/>
                    <w:ind w:left="420" w:leftChars="20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388.65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319" w:type="dxa"/>
                  <w:vMerge w:val="continue"/>
                  <w:vAlign w:val="center"/>
                </w:tcPr>
                <w:p>
                  <w:pPr>
                    <w:pStyle w:val="14"/>
                    <w:spacing w:line="240" w:lineRule="auto"/>
                    <w:ind w:left="420" w:leftChars="200" w:firstLine="0" w:firstLineChars="0"/>
                    <w:jc w:val="center"/>
                    <w:rPr>
                      <w:color w:val="auto"/>
                      <w:szCs w:val="21"/>
                    </w:rPr>
                  </w:pPr>
                </w:p>
              </w:tc>
              <w:tc>
                <w:tcPr>
                  <w:tcW w:w="2439" w:type="dxa"/>
                  <w:vAlign w:val="center"/>
                </w:tcPr>
                <w:p>
                  <w:pPr>
                    <w:pStyle w:val="14"/>
                    <w:spacing w:line="240" w:lineRule="auto"/>
                    <w:ind w:left="420" w:leftChars="200" w:firstLine="210" w:firstLineChars="100"/>
                    <w:jc w:val="both"/>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喷淋塔用水</w:t>
                  </w:r>
                </w:p>
              </w:tc>
              <w:tc>
                <w:tcPr>
                  <w:tcW w:w="2371" w:type="dxa"/>
                  <w:vAlign w:val="center"/>
                </w:tcPr>
                <w:p>
                  <w:pPr>
                    <w:pStyle w:val="14"/>
                    <w:spacing w:line="240" w:lineRule="auto"/>
                    <w:ind w:left="420" w:leftChars="20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1.01</w:t>
                  </w:r>
                </w:p>
              </w:tc>
              <w:tc>
                <w:tcPr>
                  <w:tcW w:w="2249" w:type="dxa"/>
                  <w:vAlign w:val="center"/>
                </w:tcPr>
                <w:p>
                  <w:pPr>
                    <w:pStyle w:val="14"/>
                    <w:spacing w:line="240" w:lineRule="auto"/>
                    <w:ind w:left="420" w:leftChars="20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368.65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319" w:type="dxa"/>
                  <w:vMerge w:val="continue"/>
                  <w:vAlign w:val="center"/>
                </w:tcPr>
                <w:p>
                  <w:pPr>
                    <w:pStyle w:val="14"/>
                    <w:spacing w:line="240" w:lineRule="auto"/>
                    <w:ind w:left="420" w:leftChars="200" w:firstLine="0" w:firstLineChars="0"/>
                    <w:jc w:val="center"/>
                    <w:rPr>
                      <w:color w:val="auto"/>
                      <w:szCs w:val="21"/>
                    </w:rPr>
                  </w:pPr>
                </w:p>
              </w:tc>
              <w:tc>
                <w:tcPr>
                  <w:tcW w:w="2439" w:type="dxa"/>
                  <w:vAlign w:val="center"/>
                </w:tcPr>
                <w:p>
                  <w:pPr>
                    <w:pStyle w:val="14"/>
                    <w:spacing w:line="240" w:lineRule="auto"/>
                    <w:ind w:left="420" w:leftChars="200" w:firstLine="210" w:firstLineChars="100"/>
                    <w:jc w:val="both"/>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喷干雾装置用水</w:t>
                  </w:r>
                </w:p>
              </w:tc>
              <w:tc>
                <w:tcPr>
                  <w:tcW w:w="2371" w:type="dxa"/>
                  <w:vAlign w:val="center"/>
                </w:tcPr>
                <w:p>
                  <w:pPr>
                    <w:pStyle w:val="14"/>
                    <w:spacing w:line="240" w:lineRule="auto"/>
                    <w:ind w:left="420" w:leftChars="20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0.041</w:t>
                  </w:r>
                </w:p>
              </w:tc>
              <w:tc>
                <w:tcPr>
                  <w:tcW w:w="2249" w:type="dxa"/>
                  <w:vAlign w:val="center"/>
                </w:tcPr>
                <w:p>
                  <w:pPr>
                    <w:pStyle w:val="14"/>
                    <w:spacing w:line="240" w:lineRule="auto"/>
                    <w:ind w:left="420" w:leftChars="20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1319" w:type="dxa"/>
                  <w:vMerge w:val="continue"/>
                  <w:vAlign w:val="center"/>
                </w:tcPr>
                <w:p>
                  <w:pPr>
                    <w:pStyle w:val="14"/>
                    <w:spacing w:line="240" w:lineRule="auto"/>
                    <w:ind w:left="420" w:leftChars="200" w:firstLine="0" w:firstLineChars="0"/>
                    <w:jc w:val="center"/>
                    <w:rPr>
                      <w:color w:val="auto"/>
                      <w:szCs w:val="21"/>
                    </w:rPr>
                  </w:pPr>
                </w:p>
              </w:tc>
              <w:tc>
                <w:tcPr>
                  <w:tcW w:w="2439" w:type="dxa"/>
                  <w:vAlign w:val="center"/>
                </w:tcPr>
                <w:p>
                  <w:pPr>
                    <w:pStyle w:val="14"/>
                    <w:spacing w:line="240" w:lineRule="auto"/>
                    <w:ind w:left="420" w:leftChars="200" w:firstLine="210" w:firstLineChars="10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洒水抑尘用水</w:t>
                  </w:r>
                </w:p>
              </w:tc>
              <w:tc>
                <w:tcPr>
                  <w:tcW w:w="2371" w:type="dxa"/>
                  <w:vAlign w:val="center"/>
                </w:tcPr>
                <w:p>
                  <w:pPr>
                    <w:pStyle w:val="14"/>
                    <w:spacing w:line="240" w:lineRule="auto"/>
                    <w:ind w:left="420" w:leftChars="20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0.013</w:t>
                  </w:r>
                  <w:r>
                    <w:rPr>
                      <w:rFonts w:hint="eastAsia" w:cs="Times New Roman"/>
                      <w:color w:val="auto"/>
                      <w:sz w:val="21"/>
                      <w:szCs w:val="21"/>
                      <w:lang w:val="en-US" w:eastAsia="zh-CN"/>
                    </w:rPr>
                    <w:t>7</w:t>
                  </w:r>
                </w:p>
              </w:tc>
              <w:tc>
                <w:tcPr>
                  <w:tcW w:w="2249" w:type="dxa"/>
                  <w:vAlign w:val="center"/>
                </w:tcPr>
                <w:p>
                  <w:pPr>
                    <w:pStyle w:val="14"/>
                    <w:spacing w:line="240" w:lineRule="auto"/>
                    <w:ind w:left="420" w:leftChars="20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319" w:type="dxa"/>
                  <w:vAlign w:val="center"/>
                </w:tcPr>
                <w:p>
                  <w:pPr>
                    <w:pStyle w:val="14"/>
                    <w:spacing w:line="240" w:lineRule="auto"/>
                    <w:ind w:left="420" w:leftChars="200" w:firstLine="0" w:firstLineChars="0"/>
                    <w:jc w:val="center"/>
                    <w:rPr>
                      <w:color w:val="auto"/>
                      <w:szCs w:val="21"/>
                    </w:rPr>
                  </w:pPr>
                  <w:r>
                    <w:rPr>
                      <w:color w:val="auto"/>
                      <w:sz w:val="21"/>
                      <w:szCs w:val="21"/>
                    </w:rPr>
                    <w:t>排水量</w:t>
                  </w:r>
                </w:p>
              </w:tc>
              <w:tc>
                <w:tcPr>
                  <w:tcW w:w="2439" w:type="dxa"/>
                  <w:vAlign w:val="center"/>
                </w:tcPr>
                <w:p>
                  <w:pPr>
                    <w:pStyle w:val="14"/>
                    <w:spacing w:line="240" w:lineRule="auto"/>
                    <w:ind w:left="420" w:leftChars="200"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排放水量</w:t>
                  </w:r>
                </w:p>
              </w:tc>
              <w:tc>
                <w:tcPr>
                  <w:tcW w:w="2371" w:type="dxa"/>
                  <w:vAlign w:val="center"/>
                </w:tcPr>
                <w:p>
                  <w:pPr>
                    <w:pStyle w:val="14"/>
                    <w:spacing w:line="240" w:lineRule="auto"/>
                    <w:ind w:left="420" w:leftChars="200"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0</w:t>
                  </w:r>
                </w:p>
              </w:tc>
              <w:tc>
                <w:tcPr>
                  <w:tcW w:w="2249" w:type="dxa"/>
                  <w:vAlign w:val="center"/>
                </w:tcPr>
                <w:p>
                  <w:pPr>
                    <w:pStyle w:val="14"/>
                    <w:spacing w:line="240" w:lineRule="auto"/>
                    <w:ind w:left="420" w:leftChars="200"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0</w:t>
                  </w:r>
                </w:p>
              </w:tc>
            </w:tr>
          </w:tbl>
          <w:p>
            <w:pPr>
              <w:spacing w:line="520" w:lineRule="exact"/>
              <w:rPr>
                <w:rFonts w:hint="eastAsia"/>
                <w:color w:val="auto"/>
                <w:sz w:val="24"/>
                <w:highlight w:val="none"/>
              </w:rPr>
            </w:pPr>
            <w:r>
              <w:rPr>
                <w:rFonts w:hint="eastAsia"/>
                <w:color w:val="auto"/>
                <w:sz w:val="24"/>
                <w:highlight w:val="none"/>
              </w:rPr>
              <w:t>项目用排水平衡见图</w:t>
            </w:r>
            <w:r>
              <w:rPr>
                <w:rFonts w:hint="eastAsia"/>
                <w:color w:val="auto"/>
                <w:sz w:val="24"/>
                <w:highlight w:val="none"/>
                <w:lang w:val="en-US" w:eastAsia="zh-CN"/>
              </w:rPr>
              <w:t>2</w:t>
            </w:r>
            <w:r>
              <w:rPr>
                <w:rFonts w:hint="eastAsia"/>
                <w:color w:val="auto"/>
                <w:sz w:val="24"/>
                <w:highlight w:val="none"/>
              </w:rPr>
              <w:t>。</w:t>
            </w:r>
          </w:p>
          <w:p>
            <w:pPr>
              <w:spacing w:line="520" w:lineRule="exact"/>
              <w:rPr>
                <w:rFonts w:hint="eastAsia"/>
                <w:bCs/>
                <w:color w:val="auto"/>
              </w:rPr>
            </w:pP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2235835</wp:posOffset>
                      </wp:positionH>
                      <wp:positionV relativeFrom="paragraph">
                        <wp:posOffset>314960</wp:posOffset>
                      </wp:positionV>
                      <wp:extent cx="741680" cy="236855"/>
                      <wp:effectExtent l="0" t="0" r="1270" b="10795"/>
                      <wp:wrapNone/>
                      <wp:docPr id="52" name="文本框 52"/>
                      <wp:cNvGraphicFramePr/>
                      <a:graphic xmlns:a="http://schemas.openxmlformats.org/drawingml/2006/main">
                        <a:graphicData uri="http://schemas.microsoft.com/office/word/2010/wordprocessingShape">
                          <wps:wsp>
                            <wps:cNvSpPr txBox="1"/>
                            <wps:spPr>
                              <a:xfrm>
                                <a:off x="0" y="0"/>
                                <a:ext cx="741680" cy="236855"/>
                              </a:xfrm>
                              <a:prstGeom prst="rect">
                                <a:avLst/>
                              </a:prstGeom>
                              <a:solidFill>
                                <a:srgbClr val="FFFFFF"/>
                              </a:solidFill>
                              <a:ln>
                                <a:noFill/>
                              </a:ln>
                            </wps:spPr>
                            <wps:txbx>
                              <w:txbxContent>
                                <w:p>
                                  <w:pPr>
                                    <w:rPr>
                                      <w:rFonts w:hint="default" w:eastAsia="宋体"/>
                                      <w:sz w:val="15"/>
                                      <w:szCs w:val="13"/>
                                      <w:lang w:val="en-US" w:eastAsia="zh-CN"/>
                                    </w:rPr>
                                  </w:pPr>
                                  <w:r>
                                    <w:rPr>
                                      <w:rFonts w:hint="eastAsia"/>
                                      <w:sz w:val="15"/>
                                      <w:szCs w:val="13"/>
                                      <w:lang w:val="en-US" w:eastAsia="zh-CN"/>
                                    </w:rPr>
                                    <w:t>循环水</w:t>
                                  </w:r>
                                  <w:r>
                                    <w:rPr>
                                      <w:rFonts w:hint="eastAsia"/>
                                      <w:sz w:val="15"/>
                                      <w:szCs w:val="13"/>
                                      <w:highlight w:val="none"/>
                                      <w:lang w:val="en-US" w:eastAsia="zh-CN"/>
                                    </w:rPr>
                                    <w:t>10</w:t>
                                  </w:r>
                                </w:p>
                              </w:txbxContent>
                            </wps:txbx>
                            <wps:bodyPr upright="1"/>
                          </wps:wsp>
                        </a:graphicData>
                      </a:graphic>
                    </wp:anchor>
                  </w:drawing>
                </mc:Choice>
                <mc:Fallback>
                  <w:pict>
                    <v:shape id="_x0000_s1026" o:spid="_x0000_s1026" o:spt="202" type="#_x0000_t202" style="position:absolute;left:0pt;margin-left:176.05pt;margin-top:24.8pt;height:18.65pt;width:58.4pt;z-index:251703296;mso-width-relative:page;mso-height-relative:page;" fillcolor="#FFFFFF" filled="t" stroked="f" coordsize="21600,21600" o:gfxdata="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L0ymX2AAAAAkBAAAPAAAAAAAAAAEAIAAAACIAAABkcnMvZG93bnJldi54&#10;bWxQSwECFAAUAAAACACHTuJAQw6CZ8EBAAB4AwAADgAAAAAAAAABACAAAAAnAQAAZHJzL2Uyb0Rv&#10;Yy54bWxQSwUGAAAAAAYABgBZAQAAWgUAAAAA&#10;">
                      <v:fill on="t" focussize="0,0"/>
                      <v:stroke on="f"/>
                      <v:imagedata o:title=""/>
                      <o:lock v:ext="edit" aspectratio="f"/>
                      <v:textbox>
                        <w:txbxContent>
                          <w:p>
                            <w:pPr>
                              <w:rPr>
                                <w:rFonts w:hint="default" w:eastAsia="宋体"/>
                                <w:sz w:val="15"/>
                                <w:szCs w:val="13"/>
                                <w:lang w:val="en-US" w:eastAsia="zh-CN"/>
                              </w:rPr>
                            </w:pPr>
                            <w:r>
                              <w:rPr>
                                <w:rFonts w:hint="eastAsia"/>
                                <w:sz w:val="15"/>
                                <w:szCs w:val="13"/>
                                <w:lang w:val="en-US" w:eastAsia="zh-CN"/>
                              </w:rPr>
                              <w:t>循环水</w:t>
                            </w:r>
                            <w:r>
                              <w:rPr>
                                <w:rFonts w:hint="eastAsia"/>
                                <w:sz w:val="15"/>
                                <w:szCs w:val="13"/>
                                <w:highlight w:val="none"/>
                                <w:lang w:val="en-US" w:eastAsia="zh-CN"/>
                              </w:rPr>
                              <w:t>10</w:t>
                            </w:r>
                          </w:p>
                        </w:txbxContent>
                      </v:textbox>
                    </v:shape>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187960</wp:posOffset>
                      </wp:positionH>
                      <wp:positionV relativeFrom="paragraph">
                        <wp:posOffset>314960</wp:posOffset>
                      </wp:positionV>
                      <wp:extent cx="820420" cy="236855"/>
                      <wp:effectExtent l="0" t="0" r="17780" b="10795"/>
                      <wp:wrapNone/>
                      <wp:docPr id="66" name="文本框 66"/>
                      <wp:cNvGraphicFramePr/>
                      <a:graphic xmlns:a="http://schemas.openxmlformats.org/drawingml/2006/main">
                        <a:graphicData uri="http://schemas.microsoft.com/office/word/2010/wordprocessingShape">
                          <wps:wsp>
                            <wps:cNvSpPr txBox="1"/>
                            <wps:spPr>
                              <a:xfrm>
                                <a:off x="0" y="0"/>
                                <a:ext cx="820420" cy="236855"/>
                              </a:xfrm>
                              <a:prstGeom prst="rect">
                                <a:avLst/>
                              </a:prstGeom>
                              <a:solidFill>
                                <a:srgbClr val="FFFFFF"/>
                              </a:solidFill>
                              <a:ln>
                                <a:noFill/>
                              </a:ln>
                            </wps:spPr>
                            <wps:txbx>
                              <w:txbxContent>
                                <w:p>
                                  <w:pPr>
                                    <w:rPr>
                                      <w:rFonts w:hint="default" w:eastAsia="宋体"/>
                                      <w:sz w:val="15"/>
                                      <w:szCs w:val="13"/>
                                      <w:lang w:val="en-US" w:eastAsia="zh-CN"/>
                                    </w:rPr>
                                  </w:pPr>
                                  <w:r>
                                    <w:rPr>
                                      <w:rFonts w:hint="eastAsia"/>
                                      <w:sz w:val="15"/>
                                      <w:szCs w:val="13"/>
                                      <w:lang w:val="en-US" w:eastAsia="zh-CN"/>
                                    </w:rPr>
                                    <w:t>新鲜水1.0647</w:t>
                                  </w:r>
                                </w:p>
                              </w:txbxContent>
                            </wps:txbx>
                            <wps:bodyPr upright="1"/>
                          </wps:wsp>
                        </a:graphicData>
                      </a:graphic>
                    </wp:anchor>
                  </w:drawing>
                </mc:Choice>
                <mc:Fallback>
                  <w:pict>
                    <v:shape id="_x0000_s1026" o:spid="_x0000_s1026" o:spt="202" type="#_x0000_t202" style="position:absolute;left:0pt;margin-left:14.8pt;margin-top:24.8pt;height:18.65pt;width:64.6pt;z-index:251686912;mso-width-relative:page;mso-height-relative:page;" fillcolor="#FFFFFF" filled="t" stroked="f" coordsize="21600,21600" o:gfxdata="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aSww9YAAAAIAQAADwAAAAAAAAABACAAAAAiAAAAZHJzL2Rvd25yZXYueG1s&#10;UEsBAhQAFAAAAAgAh07iQBBjayTBAQAAeAMAAA4AAAAAAAAAAQAgAAAAJQEAAGRycy9lMm9Eb2Mu&#10;eG1sUEsFBgAAAAAGAAYAWQEAAFgFAAAAAA==&#10;">
                      <v:fill on="t" focussize="0,0"/>
                      <v:stroke on="f"/>
                      <v:imagedata o:title=""/>
                      <o:lock v:ext="edit" aspectratio="f"/>
                      <v:textbox>
                        <w:txbxContent>
                          <w:p>
                            <w:pPr>
                              <w:rPr>
                                <w:rFonts w:hint="default" w:eastAsia="宋体"/>
                                <w:sz w:val="15"/>
                                <w:szCs w:val="13"/>
                                <w:lang w:val="en-US" w:eastAsia="zh-CN"/>
                              </w:rPr>
                            </w:pPr>
                            <w:r>
                              <w:rPr>
                                <w:rFonts w:hint="eastAsia"/>
                                <w:sz w:val="15"/>
                                <w:szCs w:val="13"/>
                                <w:lang w:val="en-US" w:eastAsia="zh-CN"/>
                              </w:rPr>
                              <w:t>新鲜水1.0647</w:t>
                            </w:r>
                          </w:p>
                        </w:txbxContent>
                      </v:textbox>
                    </v:shape>
                  </w:pict>
                </mc:Fallback>
              </mc:AlternateContent>
            </w:r>
          </w:p>
          <w:p>
            <w:pPr>
              <w:spacing w:line="360" w:lineRule="auto"/>
              <w:rPr>
                <w:rFonts w:hint="eastAsia"/>
                <w:bCs/>
                <w:color w:val="auto"/>
              </w:rPr>
            </w:pP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1522730</wp:posOffset>
                      </wp:positionH>
                      <wp:positionV relativeFrom="paragraph">
                        <wp:posOffset>219710</wp:posOffset>
                      </wp:positionV>
                      <wp:extent cx="856615" cy="27495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856615" cy="274955"/>
                              </a:xfrm>
                              <a:prstGeom prst="rect">
                                <a:avLst/>
                              </a:prstGeom>
                              <a:noFill/>
                              <a:ln>
                                <a:noFill/>
                              </a:ln>
                            </wps:spPr>
                            <wps:txbx>
                              <w:txbxContent>
                                <w:p>
                                  <w:pPr>
                                    <w:ind w:firstLine="150" w:firstLineChars="100"/>
                                    <w:rPr>
                                      <w:rFonts w:hint="default" w:eastAsia="宋体"/>
                                      <w:sz w:val="15"/>
                                      <w:szCs w:val="13"/>
                                      <w:lang w:val="en-US" w:eastAsia="zh-CN"/>
                                    </w:rPr>
                                  </w:pPr>
                                  <w:r>
                                    <w:rPr>
                                      <w:rFonts w:hint="eastAsia"/>
                                      <w:sz w:val="15"/>
                                      <w:szCs w:val="13"/>
                                      <w:lang w:val="en-US" w:eastAsia="zh-CN"/>
                                    </w:rPr>
                                    <w:t>损耗0.01</w:t>
                                  </w:r>
                                </w:p>
                              </w:txbxContent>
                            </wps:txbx>
                            <wps:bodyPr upright="1"/>
                          </wps:wsp>
                        </a:graphicData>
                      </a:graphic>
                    </wp:anchor>
                  </w:drawing>
                </mc:Choice>
                <mc:Fallback>
                  <w:pict>
                    <v:shape id="_x0000_s1026" o:spid="_x0000_s1026" o:spt="202" type="#_x0000_t202" style="position:absolute;left:0pt;margin-left:119.9pt;margin-top:17.3pt;height:21.65pt;width:67.45pt;z-index:251705344;mso-width-relative:page;mso-height-relative:page;" filled="f" stroked="f" coordsize="21600,21600" o:gfxdata="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BmpGdgA&#10;AAAJAQAADwAAAAAAAAABACAAAAAiAAAAZHJzL2Rvd25yZXYueG1sUEsBAhQAFAAAAAgAh07iQM/s&#10;aXetAQAATwMAAA4AAAAAAAAAAQAgAAAAJwEAAGRycy9lMm9Eb2MueG1sUEsFBgAAAAAGAAYAWQEA&#10;AEYFAAAAAA==&#10;">
                      <v:fill on="f" focussize="0,0"/>
                      <v:stroke on="f"/>
                      <v:imagedata o:title=""/>
                      <o:lock v:ext="edit" aspectratio="f"/>
                      <v:textbox>
                        <w:txbxContent>
                          <w:p>
                            <w:pPr>
                              <w:ind w:firstLine="150" w:firstLineChars="100"/>
                              <w:rPr>
                                <w:rFonts w:hint="default" w:eastAsia="宋体"/>
                                <w:sz w:val="15"/>
                                <w:szCs w:val="13"/>
                                <w:lang w:val="en-US" w:eastAsia="zh-CN"/>
                              </w:rPr>
                            </w:pPr>
                            <w:r>
                              <w:rPr>
                                <w:rFonts w:hint="eastAsia"/>
                                <w:sz w:val="15"/>
                                <w:szCs w:val="13"/>
                                <w:lang w:val="en-US" w:eastAsia="zh-CN"/>
                              </w:rPr>
                              <w:t>损耗0.01</w:t>
                            </w:r>
                          </w:p>
                        </w:txbxContent>
                      </v:textbox>
                    </v:shap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548640</wp:posOffset>
                      </wp:positionH>
                      <wp:positionV relativeFrom="paragraph">
                        <wp:posOffset>226060</wp:posOffset>
                      </wp:positionV>
                      <wp:extent cx="0" cy="1578610"/>
                      <wp:effectExtent l="4445" t="0" r="14605" b="2540"/>
                      <wp:wrapNone/>
                      <wp:docPr id="43" name="直接连接符 43"/>
                      <wp:cNvGraphicFramePr/>
                      <a:graphic xmlns:a="http://schemas.openxmlformats.org/drawingml/2006/main">
                        <a:graphicData uri="http://schemas.microsoft.com/office/word/2010/wordprocessingShape">
                          <wps:wsp>
                            <wps:cNvCnPr/>
                            <wps:spPr>
                              <a:xfrm>
                                <a:off x="0" y="0"/>
                                <a:ext cx="0" cy="1578610"/>
                              </a:xfrm>
                              <a:prstGeom prst="line">
                                <a:avLst/>
                              </a:prstGeom>
                              <a:ln w="317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43.2pt;margin-top:17.8pt;height:124.3pt;width:0pt;z-index:251677696;mso-width-relative:page;mso-height-relative:page;" filled="f" stroked="t" coordsize="21600,21600" o:gfxdata="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RTfN3YAAAACAEAAA8AAAAAAAAAAQAgAAAAIgAAAGRycy9kb3ducmV2LnhtbFBL&#10;AQIUABQAAAAIAIdO4kD3nkId9gEAAOYDAAAOAAAAAAAAAAEAIAAAACcBAABkcnMvZTJvRG9jLnht&#10;bFBLBQYAAAAABgAGAFkBAACPBQAAAAA=&#10;">
                      <v:fill on="f" focussize="0,0"/>
                      <v:stroke weight="0.25pt" color="#000000" joinstyle="round"/>
                      <v:imagedata o:title=""/>
                      <o:lock v:ext="edit" aspectratio="f"/>
                    </v:line>
                  </w:pict>
                </mc:Fallback>
              </mc:AlternateContent>
            </w:r>
          </w:p>
          <w:p>
            <w:pPr>
              <w:spacing w:line="360" w:lineRule="auto"/>
              <w:rPr>
                <w:rFonts w:hint="eastAsia"/>
                <w:bCs/>
                <w:color w:val="auto"/>
              </w:rPr>
            </w:pP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1387475</wp:posOffset>
                      </wp:positionH>
                      <wp:positionV relativeFrom="paragraph">
                        <wp:posOffset>124460</wp:posOffset>
                      </wp:positionV>
                      <wp:extent cx="323850" cy="147320"/>
                      <wp:effectExtent l="1905" t="3175" r="0" b="20955"/>
                      <wp:wrapNone/>
                      <wp:docPr id="53" name="任意多边形 53"/>
                      <wp:cNvGraphicFramePr/>
                      <a:graphic xmlns:a="http://schemas.openxmlformats.org/drawingml/2006/main">
                        <a:graphicData uri="http://schemas.microsoft.com/office/word/2010/wordprocessingShape">
                          <wps:wsp>
                            <wps:cNvSpPr/>
                            <wps:spPr>
                              <a:xfrm>
                                <a:off x="0" y="0"/>
                                <a:ext cx="323850" cy="147320"/>
                              </a:xfrm>
                              <a:custGeom>
                                <a:avLst/>
                                <a:gdLst/>
                                <a:ahLst/>
                                <a:cxnLst/>
                                <a:pathLst>
                                  <a:path w="660" h="307">
                                    <a:moveTo>
                                      <a:pt x="0" y="307"/>
                                    </a:moveTo>
                                    <a:cubicBezTo>
                                      <a:pt x="74" y="277"/>
                                      <a:pt x="300" y="198"/>
                                      <a:pt x="369" y="145"/>
                                    </a:cubicBezTo>
                                    <a:cubicBezTo>
                                      <a:pt x="438" y="92"/>
                                      <a:pt x="300" y="69"/>
                                      <a:pt x="346" y="41"/>
                                    </a:cubicBezTo>
                                    <a:cubicBezTo>
                                      <a:pt x="392" y="13"/>
                                      <a:pt x="540" y="14"/>
                                      <a:pt x="600" y="7"/>
                                    </a:cubicBezTo>
                                    <a:cubicBezTo>
                                      <a:pt x="660" y="0"/>
                                      <a:pt x="642" y="6"/>
                                      <a:pt x="646" y="7"/>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09.25pt;margin-top:9.8pt;height:11.6pt;width:25.5pt;z-index:251704320;mso-width-relative:page;mso-height-relative:page;" filled="f" stroked="t" coordsize="660,307" o:gfxdata="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HDqgt2QAAAAkBAAAPAAAAAAAAAAEAIAAAACIAAABkcnMvZG93bnJldi54bWxQ&#10;SwECFAAUAAAACACHTuJAg8BitqECAADkBQAADgAAAAAAAAABACAAAAAoAQAAZHJzL2Uyb0RvYy54&#10;bWxQSwUGAAAAAAYABgBZAQAAOwYAAAAA&#10;" path="m0,307c74,277,300,198,369,145c438,92,300,69,346,41c392,13,540,14,600,7c660,0,642,6,646,7e">
                      <v:fill on="f" focussize="0,0"/>
                      <v:stroke color="#000000" joinstyle="round"/>
                      <v:imagedata o:title=""/>
                      <o:lock v:ext="edit" aspectratio="f"/>
                    </v:shape>
                  </w:pict>
                </mc:Fallback>
              </mc:AlternateContent>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2305050</wp:posOffset>
                      </wp:positionH>
                      <wp:positionV relativeFrom="paragraph">
                        <wp:posOffset>20955</wp:posOffset>
                      </wp:positionV>
                      <wp:extent cx="0" cy="238125"/>
                      <wp:effectExtent l="50800" t="0" r="63500" b="9525"/>
                      <wp:wrapNone/>
                      <wp:docPr id="50" name="直接箭头连接符 50"/>
                      <wp:cNvGraphicFramePr/>
                      <a:graphic xmlns:a="http://schemas.openxmlformats.org/drawingml/2006/main">
                        <a:graphicData uri="http://schemas.microsoft.com/office/word/2010/wordprocessingShape">
                          <wps:wsp>
                            <wps:cNvCnPr/>
                            <wps:spPr>
                              <a:xfrm>
                                <a:off x="3658235" y="2232025"/>
                                <a:ext cx="0" cy="23812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1.5pt;margin-top:1.65pt;height:18.75pt;width:0pt;z-index:251702272;mso-width-relative:page;mso-height-relative:page;" filled="f" stroked="t" coordsize="21600,21600" o:gfxdata="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zXhgU1AAAAAgBAAAPAAAAAAAAAAEAIAAA&#10;ACIAAABkcnMvZG93bnJldi54bWxQSwECFAAUAAAACACHTuJASEIl7hACAADsAwAADgAAAAAAAAAB&#10;ACAAAAAjAQAAZHJzL2Uyb0RvYy54bWxQSwUGAAAAAAYABgBZAQAApQUAAAAA&#10;">
                      <v:fill on="f" focussize="0,0"/>
                      <v:stroke weight="1pt" color="#000000 [3213]"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2295525</wp:posOffset>
                      </wp:positionH>
                      <wp:positionV relativeFrom="paragraph">
                        <wp:posOffset>11430</wp:posOffset>
                      </wp:positionV>
                      <wp:extent cx="533400" cy="0"/>
                      <wp:effectExtent l="0" t="6350" r="0" b="6350"/>
                      <wp:wrapNone/>
                      <wp:docPr id="49" name="直接连接符 49"/>
                      <wp:cNvGraphicFramePr/>
                      <a:graphic xmlns:a="http://schemas.openxmlformats.org/drawingml/2006/main">
                        <a:graphicData uri="http://schemas.microsoft.com/office/word/2010/wordprocessingShape">
                          <wps:wsp>
                            <wps:cNvCnPr/>
                            <wps:spPr>
                              <a:xfrm flipH="1">
                                <a:off x="3658235" y="2260600"/>
                                <a:ext cx="533400"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80.75pt;margin-top:0.9pt;height:0pt;width:42pt;z-index:251701248;mso-width-relative:page;mso-height-relative:page;" filled="f" stroked="t" coordsize="21600,21600" o:gfxdata="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9y0yB0wAAAAcBAAAPAAAAAAAAAAEAIAAAACIAAABkcnMvZG93bnJldi54bWxQSwEC&#10;FAAUAAAACACHTuJA9ZnpPfkBAADJAwAADgAAAAAAAAABACAAAAAiAQAAZHJzL2Uyb0RvYy54bWxQ&#10;SwUGAAAAAAYABgBZAQAAjQUAAAAA&#10;">
                      <v:fill on="f" focussize="0,0"/>
                      <v:stroke weight="1pt" color="#000000 [3213]"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2819400</wp:posOffset>
                      </wp:positionH>
                      <wp:positionV relativeFrom="paragraph">
                        <wp:posOffset>11430</wp:posOffset>
                      </wp:positionV>
                      <wp:extent cx="0" cy="409575"/>
                      <wp:effectExtent l="6350" t="0" r="12700" b="9525"/>
                      <wp:wrapNone/>
                      <wp:docPr id="48" name="直接连接符 48"/>
                      <wp:cNvGraphicFramePr/>
                      <a:graphic xmlns:a="http://schemas.openxmlformats.org/drawingml/2006/main">
                        <a:graphicData uri="http://schemas.microsoft.com/office/word/2010/wordprocessingShape">
                          <wps:wsp>
                            <wps:cNvCnPr/>
                            <wps:spPr>
                              <a:xfrm flipV="1">
                                <a:off x="4182110" y="2241550"/>
                                <a:ext cx="0" cy="40957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22pt;margin-top:0.9pt;height:32.25pt;width:0pt;z-index:251700224;mso-width-relative:page;mso-height-relative:page;" filled="f" stroked="t" coordsize="21600,21600" o:gfxdata="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lRyp9MAAAAIAQAADwAAAAAAAAABACAAAAAiAAAAZHJzL2Rvd25yZXYueG1sUEsBAhQA&#10;FAAAAAgAh07iQLtOGIn3AQAAyQMAAA4AAAAAAAAAAQAgAAAAIgEAAGRycy9lMm9Eb2MueG1sUEsF&#10;BgAAAAAGAAYAWQEAAIsFAAAAAA==&#10;">
                      <v:fill on="f" focussize="0,0"/>
                      <v:stroke weight="1pt" color="#000000 [3213]"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599440</wp:posOffset>
                      </wp:positionH>
                      <wp:positionV relativeFrom="paragraph">
                        <wp:posOffset>155575</wp:posOffset>
                      </wp:positionV>
                      <wp:extent cx="782955" cy="274955"/>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782955" cy="274955"/>
                              </a:xfrm>
                              <a:prstGeom prst="rect">
                                <a:avLst/>
                              </a:prstGeom>
                              <a:noFill/>
                              <a:ln>
                                <a:noFill/>
                              </a:ln>
                            </wps:spPr>
                            <wps:txbx>
                              <w:txbxContent>
                                <w:p>
                                  <w:pPr>
                                    <w:rPr>
                                      <w:rFonts w:hint="default" w:eastAsia="宋体"/>
                                      <w:sz w:val="15"/>
                                      <w:szCs w:val="13"/>
                                      <w:lang w:val="en-US" w:eastAsia="zh-CN"/>
                                    </w:rPr>
                                  </w:pPr>
                                  <w:r>
                                    <w:rPr>
                                      <w:rFonts w:hint="eastAsia"/>
                                      <w:sz w:val="15"/>
                                      <w:szCs w:val="13"/>
                                      <w:lang w:val="en-US" w:eastAsia="zh-CN"/>
                                    </w:rPr>
                                    <w:t>新鲜水1.01</w:t>
                                  </w:r>
                                </w:p>
                              </w:txbxContent>
                            </wps:txbx>
                            <wps:bodyPr upright="1"/>
                          </wps:wsp>
                        </a:graphicData>
                      </a:graphic>
                    </wp:anchor>
                  </w:drawing>
                </mc:Choice>
                <mc:Fallback>
                  <w:pict>
                    <v:shape id="_x0000_s1026" o:spid="_x0000_s1026" o:spt="202" type="#_x0000_t202" style="position:absolute;left:0pt;margin-left:47.2pt;margin-top:12.25pt;height:21.65pt;width:61.65pt;z-index:251682816;mso-width-relative:page;mso-height-relative:page;" filled="f" stroked="f" coordsize="21600,21600" o:gfxdata="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KPB6wXWAAAA&#10;CAEAAA8AAAAAAAAAAQAgAAAAIgAAAGRycy9kb3ducmV2LnhtbFBLAQIUABQAAAAIAIdO4kDZuGEM&#10;rQEAAE8DAAAOAAAAAAAAAAEAIAAAACUBAABkcnMvZTJvRG9jLnhtbFBLBQYAAAAABgAGAFkBAABE&#10;BQAAAAA=&#10;">
                      <v:fill on="f" focussize="0,0"/>
                      <v:stroke on="f"/>
                      <v:imagedata o:title=""/>
                      <o:lock v:ext="edit" aspectratio="f"/>
                      <v:textbox>
                        <w:txbxContent>
                          <w:p>
                            <w:pPr>
                              <w:rPr>
                                <w:rFonts w:hint="default" w:eastAsia="宋体"/>
                                <w:sz w:val="15"/>
                                <w:szCs w:val="13"/>
                                <w:lang w:val="en-US" w:eastAsia="zh-CN"/>
                              </w:rPr>
                            </w:pPr>
                            <w:r>
                              <w:rPr>
                                <w:rFonts w:hint="eastAsia"/>
                                <w:sz w:val="15"/>
                                <w:szCs w:val="13"/>
                                <w:lang w:val="en-US" w:eastAsia="zh-CN"/>
                              </w:rPr>
                              <w:t>新鲜水1.01</w:t>
                            </w:r>
                          </w:p>
                        </w:txbxContent>
                      </v:textbox>
                    </v:shape>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1292225</wp:posOffset>
                      </wp:positionH>
                      <wp:positionV relativeFrom="paragraph">
                        <wp:posOffset>269875</wp:posOffset>
                      </wp:positionV>
                      <wp:extent cx="1186815" cy="301625"/>
                      <wp:effectExtent l="4445" t="4445" r="8890" b="17780"/>
                      <wp:wrapNone/>
                      <wp:docPr id="60" name="文本框 60"/>
                      <wp:cNvGraphicFramePr/>
                      <a:graphic xmlns:a="http://schemas.openxmlformats.org/drawingml/2006/main">
                        <a:graphicData uri="http://schemas.microsoft.com/office/word/2010/wordprocessingShape">
                          <wps:wsp>
                            <wps:cNvSpPr txBox="1"/>
                            <wps:spPr>
                              <a:xfrm>
                                <a:off x="0" y="0"/>
                                <a:ext cx="1186815"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rPr>
                                      <w:rFonts w:hint="default" w:ascii="Times New Roman" w:hAnsi="Times New Roman" w:eastAsia="宋体" w:cs="Times New Roman"/>
                                      <w:color w:val="auto"/>
                                      <w:lang w:val="en-US" w:eastAsia="zh-CN"/>
                                    </w:rPr>
                                  </w:pPr>
                                  <w:r>
                                    <w:rPr>
                                      <w:rFonts w:hint="eastAsia" w:cs="Times New Roman"/>
                                      <w:color w:val="auto"/>
                                      <w:lang w:val="en-US" w:eastAsia="zh-CN"/>
                                    </w:rPr>
                                    <w:t>水喷淋</w:t>
                                  </w:r>
                                  <w:r>
                                    <w:rPr>
                                      <w:rFonts w:hint="eastAsia" w:ascii="Times New Roman" w:hAnsi="Times New Roman" w:eastAsia="宋体" w:cs="Times New Roman"/>
                                      <w:color w:val="auto"/>
                                      <w:lang w:val="en-US" w:eastAsia="zh-CN"/>
                                    </w:rPr>
                                    <w:t>装置</w:t>
                                  </w:r>
                                </w:p>
                              </w:txbxContent>
                            </wps:txbx>
                            <wps:bodyPr upright="1"/>
                          </wps:wsp>
                        </a:graphicData>
                      </a:graphic>
                    </wp:anchor>
                  </w:drawing>
                </mc:Choice>
                <mc:Fallback>
                  <w:pict>
                    <v:shape id="_x0000_s1026" o:spid="_x0000_s1026" o:spt="202" type="#_x0000_t202" style="position:absolute;left:0pt;margin-left:101.75pt;margin-top:21.25pt;height:23.75pt;width:93.45pt;z-index:251679744;mso-width-relative:page;mso-height-relative:page;" fillcolor="#FFFFFF" filled="t" stroked="t" coordsize="21600,21600" o:gfxdata="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zKiDvZAAAACQEAAA8AAAAAAAAAAQAgAAAA&#10;IgAAAGRycy9kb3ducmV2LnhtbFBLAQIUABQAAAAIAIdO4kBVoRcgCgIAADgEAAAOAAAAAAAAAAEA&#10;IAAAACgBAABkcnMvZTJvRG9jLnhtbFBLBQYAAAAABgAGAFkBAACkBQAAAAA=&#10;">
                      <v:fill on="t" focussize="0,0"/>
                      <v:stroke color="#000000" joinstyle="miter"/>
                      <v:imagedata o:title=""/>
                      <o:lock v:ext="edit" aspectratio="f"/>
                      <v:textbox>
                        <w:txbxContent>
                          <w:p>
                            <w:pPr>
                              <w:ind w:firstLine="210" w:firstLineChars="100"/>
                              <w:rPr>
                                <w:rFonts w:hint="default" w:ascii="Times New Roman" w:hAnsi="Times New Roman" w:eastAsia="宋体" w:cs="Times New Roman"/>
                                <w:color w:val="auto"/>
                                <w:lang w:val="en-US" w:eastAsia="zh-CN"/>
                              </w:rPr>
                            </w:pPr>
                            <w:r>
                              <w:rPr>
                                <w:rFonts w:hint="eastAsia" w:cs="Times New Roman"/>
                                <w:color w:val="auto"/>
                                <w:lang w:val="en-US" w:eastAsia="zh-CN"/>
                              </w:rPr>
                              <w:t>水喷淋</w:t>
                            </w:r>
                            <w:r>
                              <w:rPr>
                                <w:rFonts w:hint="eastAsia" w:ascii="Times New Roman" w:hAnsi="Times New Roman" w:eastAsia="宋体" w:cs="Times New Roman"/>
                                <w:color w:val="auto"/>
                                <w:lang w:val="en-US" w:eastAsia="zh-CN"/>
                              </w:rPr>
                              <w:t>装置</w:t>
                            </w:r>
                          </w:p>
                        </w:txbxContent>
                      </v:textbox>
                    </v:shape>
                  </w:pict>
                </mc:Fallback>
              </mc:AlternateContent>
            </w:r>
          </w:p>
          <w:p>
            <w:pPr>
              <w:spacing w:line="360" w:lineRule="auto"/>
              <w:rPr>
                <w:rFonts w:hint="eastAsia"/>
                <w:bCs/>
                <w:color w:val="auto"/>
              </w:rPr>
            </w:pP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2553970</wp:posOffset>
                      </wp:positionH>
                      <wp:positionV relativeFrom="paragraph">
                        <wp:posOffset>191135</wp:posOffset>
                      </wp:positionV>
                      <wp:extent cx="799465" cy="27495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799465" cy="274955"/>
                              </a:xfrm>
                              <a:prstGeom prst="rect">
                                <a:avLst/>
                              </a:prstGeom>
                              <a:noFill/>
                              <a:ln>
                                <a:noFill/>
                              </a:ln>
                            </wps:spPr>
                            <wps:txbx>
                              <w:txbxContent>
                                <w:p>
                                  <w:pPr>
                                    <w:ind w:firstLine="150" w:firstLineChars="100"/>
                                    <w:rPr>
                                      <w:rFonts w:hint="default" w:eastAsia="宋体"/>
                                      <w:sz w:val="15"/>
                                      <w:szCs w:val="13"/>
                                      <w:lang w:val="en-US" w:eastAsia="zh-CN"/>
                                    </w:rPr>
                                  </w:pPr>
                                  <w:r>
                                    <w:rPr>
                                      <w:rFonts w:hint="eastAsia"/>
                                      <w:sz w:val="15"/>
                                      <w:szCs w:val="13"/>
                                      <w:lang w:val="en-US" w:eastAsia="zh-CN"/>
                                    </w:rPr>
                                    <w:t>排水1</w:t>
                                  </w:r>
                                </w:p>
                              </w:txbxContent>
                            </wps:txbx>
                            <wps:bodyPr upright="1"/>
                          </wps:wsp>
                        </a:graphicData>
                      </a:graphic>
                    </wp:anchor>
                  </w:drawing>
                </mc:Choice>
                <mc:Fallback>
                  <w:pict>
                    <v:shape id="_x0000_s1026" o:spid="_x0000_s1026" o:spt="202" type="#_x0000_t202" style="position:absolute;left:0pt;margin-left:201.1pt;margin-top:15.05pt;height:21.65pt;width:62.95pt;z-index:251696128;mso-width-relative:page;mso-height-relative:page;" filled="f" stroked="f" coordsize="21600,21600" o:gfxdata="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7rPaJ1gAA&#10;AAkBAAAPAAAAAAAAAAEAIAAAACIAAABkcnMvZG93bnJldi54bWxQSwECFAAUAAAACACHTuJAEdsx&#10;ua4BAABPAwAADgAAAAAAAAABACAAAAAlAQAAZHJzL2Uyb0RvYy54bWxQSwUGAAAAAAYABgBZAQAA&#10;RQUAAAAA&#10;">
                      <v:fill on="f" focussize="0,0"/>
                      <v:stroke on="f"/>
                      <v:imagedata o:title=""/>
                      <o:lock v:ext="edit" aspectratio="f"/>
                      <v:textbox>
                        <w:txbxContent>
                          <w:p>
                            <w:pPr>
                              <w:ind w:firstLine="150" w:firstLineChars="100"/>
                              <w:rPr>
                                <w:rFonts w:hint="default" w:eastAsia="宋体"/>
                                <w:sz w:val="15"/>
                                <w:szCs w:val="13"/>
                                <w:lang w:val="en-US" w:eastAsia="zh-CN"/>
                              </w:rPr>
                            </w:pPr>
                            <w:r>
                              <w:rPr>
                                <w:rFonts w:hint="eastAsia"/>
                                <w:sz w:val="15"/>
                                <w:szCs w:val="13"/>
                                <w:lang w:val="en-US" w:eastAsia="zh-CN"/>
                              </w:rPr>
                              <w:t>排水1</w:t>
                            </w:r>
                          </w:p>
                        </w:txbxContent>
                      </v:textbox>
                    </v:shape>
                  </w:pict>
                </mc:Fallback>
              </mc:AlternateContent>
            </w: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2479040</wp:posOffset>
                      </wp:positionH>
                      <wp:positionV relativeFrom="paragraph">
                        <wp:posOffset>191135</wp:posOffset>
                      </wp:positionV>
                      <wp:extent cx="330835" cy="0"/>
                      <wp:effectExtent l="0" t="6350" r="0" b="6350"/>
                      <wp:wrapNone/>
                      <wp:docPr id="37" name="直接连接符 37"/>
                      <wp:cNvGraphicFramePr/>
                      <a:graphic xmlns:a="http://schemas.openxmlformats.org/drawingml/2006/main">
                        <a:graphicData uri="http://schemas.microsoft.com/office/word/2010/wordprocessingShape">
                          <wps:wsp>
                            <wps:cNvCnPr>
                              <a:stCxn id="60" idx="3"/>
                            </wps:cNvCnPr>
                            <wps:spPr>
                              <a:xfrm>
                                <a:off x="3841750" y="2651125"/>
                                <a:ext cx="330835"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95.2pt;margin-top:15.05pt;height:0pt;width:26.05pt;z-index:251699200;mso-width-relative:page;mso-height-relative:page;" filled="f" stroked="t" coordsize="21600,21600" o:gfxdata="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DFBKnYAAAACQEAAA8AAAAAAAAAAQAgAAAAIgAAAGRycy9k&#10;b3ducmV2LnhtbFBLAQIUABQAAAAIAIdO4kDN4wcxAgIAAOYDAAAOAAAAAAAAAAEAIAAAACcBAABk&#10;cnMvZTJvRG9jLnhtbFBLBQYAAAAABgAGAFkBAACbBQAAAAA=&#10;">
                      <v:fill on="f" focussize="0,0"/>
                      <v:stroke weight="1pt" color="#000000 [3213]"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3225800</wp:posOffset>
                      </wp:positionH>
                      <wp:positionV relativeFrom="paragraph">
                        <wp:posOffset>1905</wp:posOffset>
                      </wp:positionV>
                      <wp:extent cx="2120265" cy="453390"/>
                      <wp:effectExtent l="5080" t="4445" r="8255" b="18415"/>
                      <wp:wrapNone/>
                      <wp:docPr id="47" name="文本框 47"/>
                      <wp:cNvGraphicFramePr/>
                      <a:graphic xmlns:a="http://schemas.openxmlformats.org/drawingml/2006/main">
                        <a:graphicData uri="http://schemas.microsoft.com/office/word/2010/wordprocessingShape">
                          <wps:wsp>
                            <wps:cNvSpPr txBox="1"/>
                            <wps:spPr>
                              <a:xfrm>
                                <a:off x="0" y="0"/>
                                <a:ext cx="2120265" cy="4533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lang w:val="en-US" w:eastAsia="zh-CN"/>
                                    </w:rPr>
                                  </w:pPr>
                                  <w:r>
                                    <w:rPr>
                                      <w:rFonts w:hint="eastAsia" w:ascii="Times New Roman" w:hAnsi="Times New Roman" w:eastAsia="宋体" w:cs="Times New Roman"/>
                                      <w:color w:val="auto"/>
                                      <w:szCs w:val="21"/>
                                      <w:highlight w:val="none"/>
                                      <w:lang w:val="en-US" w:eastAsia="zh-CN"/>
                                    </w:rPr>
                                    <w:t>鲁山首创环保能源有限公司现有</w:t>
                                  </w:r>
                                  <w:r>
                                    <w:rPr>
                                      <w:rFonts w:hint="eastAsia" w:cs="Times New Roman"/>
                                      <w:color w:val="auto"/>
                                      <w:szCs w:val="21"/>
                                      <w:highlight w:val="none"/>
                                      <w:lang w:val="en-US" w:eastAsia="zh-CN"/>
                                    </w:rPr>
                                    <w:t>生产</w:t>
                                  </w:r>
                                  <w:r>
                                    <w:rPr>
                                      <w:rFonts w:hint="eastAsia"/>
                                      <w:color w:val="auto"/>
                                      <w:lang w:val="en-US" w:eastAsia="zh-CN"/>
                                    </w:rPr>
                                    <w:t>废水处理系统处理</w:t>
                                  </w:r>
                                </w:p>
                              </w:txbxContent>
                            </wps:txbx>
                            <wps:bodyPr upright="1"/>
                          </wps:wsp>
                        </a:graphicData>
                      </a:graphic>
                    </wp:anchor>
                  </w:drawing>
                </mc:Choice>
                <mc:Fallback>
                  <w:pict>
                    <v:shape id="_x0000_s1026" o:spid="_x0000_s1026" o:spt="202" type="#_x0000_t202" style="position:absolute;left:0pt;margin-left:254pt;margin-top:0.15pt;height:35.7pt;width:166.95pt;z-index:251697152;mso-width-relative:page;mso-height-relative:page;" fillcolor="#FFFFFF" filled="t" stroked="t" coordsize="21600,21600" o:gfxdata="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NeoNrXAAAABwEAAA8AAAAAAAAAAQAg&#10;AAAAIgAAAGRycy9kb3ducmV2LnhtbFBLAQIUABQAAAAIAIdO4kAyjO05DwIAADgEAAAOAAAAAAAA&#10;AAEAIAAAACYBAABkcnMvZTJvRG9jLnhtbFBLBQYAAAAABgAGAFkBAACnBQAAAAA=&#10;">
                      <v:fill on="t" focussize="0,0"/>
                      <v:stroke color="#000000" joinstyle="miter"/>
                      <v:imagedata o:title=""/>
                      <o:lock v:ext="edit" aspectratio="f"/>
                      <v:textbox>
                        <w:txbxContent>
                          <w:p>
                            <w:pPr>
                              <w:rPr>
                                <w:rFonts w:hint="default"/>
                                <w:lang w:val="en-US" w:eastAsia="zh-CN"/>
                              </w:rPr>
                            </w:pPr>
                            <w:r>
                              <w:rPr>
                                <w:rFonts w:hint="eastAsia" w:ascii="Times New Roman" w:hAnsi="Times New Roman" w:eastAsia="宋体" w:cs="Times New Roman"/>
                                <w:color w:val="auto"/>
                                <w:szCs w:val="21"/>
                                <w:highlight w:val="none"/>
                                <w:lang w:val="en-US" w:eastAsia="zh-CN"/>
                              </w:rPr>
                              <w:t>鲁山首创环保能源有限公司现有</w:t>
                            </w:r>
                            <w:r>
                              <w:rPr>
                                <w:rFonts w:hint="eastAsia" w:cs="Times New Roman"/>
                                <w:color w:val="auto"/>
                                <w:szCs w:val="21"/>
                                <w:highlight w:val="none"/>
                                <w:lang w:val="en-US" w:eastAsia="zh-CN"/>
                              </w:rPr>
                              <w:t>生产</w:t>
                            </w:r>
                            <w:r>
                              <w:rPr>
                                <w:rFonts w:hint="eastAsia"/>
                                <w:color w:val="auto"/>
                                <w:lang w:val="en-US" w:eastAsia="zh-CN"/>
                              </w:rPr>
                              <w:t>废水处理系统处理</w:t>
                            </w:r>
                          </w:p>
                        </w:txbxContent>
                      </v:textbox>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2501900</wp:posOffset>
                      </wp:positionH>
                      <wp:positionV relativeFrom="paragraph">
                        <wp:posOffset>206375</wp:posOffset>
                      </wp:positionV>
                      <wp:extent cx="732790" cy="635"/>
                      <wp:effectExtent l="0" t="48895" r="10160" b="64770"/>
                      <wp:wrapNone/>
                      <wp:docPr id="44" name="直接连接符 44"/>
                      <wp:cNvGraphicFramePr/>
                      <a:graphic xmlns:a="http://schemas.openxmlformats.org/drawingml/2006/main">
                        <a:graphicData uri="http://schemas.microsoft.com/office/word/2010/wordprocessingShape">
                          <wps:wsp>
                            <wps:cNvCnPr/>
                            <wps:spPr>
                              <a:xfrm>
                                <a:off x="0" y="0"/>
                                <a:ext cx="732790"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197pt;margin-top:16.25pt;height:0.05pt;width:57.7pt;z-index:251695104;mso-width-relative:page;mso-height-relative:page;" filled="f" stroked="t" coordsize="21600,21600" o:gfxdata="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KNTdzYAAAACQEAAA8AAAAAAAAAAQAgAAAAIgAAAGRycy9kb3ducmV2&#10;LnhtbFBLAQIUABQAAAAIAIdO4kAx26Ku/AEAAOgDAAAOAAAAAAAAAAEAIAAAACcBAABkcnMvZTJv&#10;RG9jLnhtbFBLBQYAAAAABgAGAFkBAACVBQAAAAA=&#10;">
                      <v:fill on="f" focussize="0,0"/>
                      <v:stroke weight="0.25pt" color="#000000" joinstyle="round" endarrow="open"/>
                      <v:imagedata o:title=""/>
                      <o:lock v:ext="edit" aspectratio="f"/>
                    </v:line>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549275</wp:posOffset>
                      </wp:positionH>
                      <wp:positionV relativeFrom="paragraph">
                        <wp:posOffset>130175</wp:posOffset>
                      </wp:positionV>
                      <wp:extent cx="732790" cy="635"/>
                      <wp:effectExtent l="0" t="48895" r="10160" b="64770"/>
                      <wp:wrapNone/>
                      <wp:docPr id="68" name="直接连接符 68"/>
                      <wp:cNvGraphicFramePr/>
                      <a:graphic xmlns:a="http://schemas.openxmlformats.org/drawingml/2006/main">
                        <a:graphicData uri="http://schemas.microsoft.com/office/word/2010/wordprocessingShape">
                          <wps:wsp>
                            <wps:cNvCnPr/>
                            <wps:spPr>
                              <a:xfrm>
                                <a:off x="0" y="0"/>
                                <a:ext cx="732790"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43.25pt;margin-top:10.25pt;height:0.05pt;width:57.7pt;z-index:251678720;mso-width-relative:page;mso-height-relative:page;" filled="f" stroked="t" coordsize="21600,21600" o:gfxdata="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KsLZP1wAAAAgBAAAPAAAAAAAAAAEAIAAAACIAAABkcnMvZG93bnJldi54&#10;bWxQSwECFAAUAAAACACHTuJA27f2b/sBAADoAwAADgAAAAAAAAABACAAAAAmAQAAZHJzL2Uyb0Rv&#10;Yy54bWxQSwUGAAAAAAYABgBZAQAAkwUAAAAA&#10;">
                      <v:fill on="f" focussize="0,0"/>
                      <v:stroke weight="0.25pt" color="#000000" joinstyle="round" endarrow="open"/>
                      <v:imagedata o:title=""/>
                      <o:lock v:ext="edit" aspectratio="f"/>
                    </v:line>
                  </w:pict>
                </mc:Fallback>
              </mc:AlternateContent>
            </w:r>
          </w:p>
          <w:p>
            <w:pPr>
              <w:spacing w:line="360" w:lineRule="auto"/>
              <w:rPr>
                <w:rFonts w:hint="eastAsia"/>
                <w:bCs/>
                <w:color w:val="auto"/>
              </w:rPr>
            </w:pPr>
            <w:r>
              <w:rPr>
                <w:color w:val="auto"/>
                <w:sz w:val="21"/>
              </w:rPr>
              <mc:AlternateContent>
                <mc:Choice Requires="wps">
                  <w:drawing>
                    <wp:anchor distT="0" distB="0" distL="114300" distR="114300" simplePos="0" relativeHeight="251684864" behindDoc="0" locked="0" layoutInCell="1" allowOverlap="1">
                      <wp:simplePos x="0" y="0"/>
                      <wp:positionH relativeFrom="column">
                        <wp:posOffset>1760855</wp:posOffset>
                      </wp:positionH>
                      <wp:positionV relativeFrom="paragraph">
                        <wp:posOffset>206375</wp:posOffset>
                      </wp:positionV>
                      <wp:extent cx="856615" cy="27495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856615" cy="274955"/>
                              </a:xfrm>
                              <a:prstGeom prst="rect">
                                <a:avLst/>
                              </a:prstGeom>
                              <a:noFill/>
                              <a:ln>
                                <a:noFill/>
                              </a:ln>
                            </wps:spPr>
                            <wps:txbx>
                              <w:txbxContent>
                                <w:p>
                                  <w:pPr>
                                    <w:ind w:firstLine="150" w:firstLineChars="100"/>
                                    <w:rPr>
                                      <w:rFonts w:hint="default" w:eastAsia="宋体"/>
                                      <w:sz w:val="15"/>
                                      <w:szCs w:val="13"/>
                                      <w:lang w:val="en-US" w:eastAsia="zh-CN"/>
                                    </w:rPr>
                                  </w:pPr>
                                  <w:r>
                                    <w:rPr>
                                      <w:rFonts w:hint="eastAsia"/>
                                      <w:sz w:val="15"/>
                                      <w:szCs w:val="13"/>
                                      <w:lang w:val="en-US" w:eastAsia="zh-CN"/>
                                    </w:rPr>
                                    <w:t>损耗0.0137</w:t>
                                  </w:r>
                                </w:p>
                              </w:txbxContent>
                            </wps:txbx>
                            <wps:bodyPr upright="1"/>
                          </wps:wsp>
                        </a:graphicData>
                      </a:graphic>
                    </wp:anchor>
                  </w:drawing>
                </mc:Choice>
                <mc:Fallback>
                  <w:pict>
                    <v:shape id="_x0000_s1026" o:spid="_x0000_s1026" o:spt="202" type="#_x0000_t202" style="position:absolute;left:0pt;margin-left:138.65pt;margin-top:16.25pt;height:21.65pt;width:67.45pt;z-index:251684864;mso-width-relative:page;mso-height-relative:page;" filled="f" stroked="f" coordsize="21600,21600" o:gfxdata="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rqT6SdcA&#10;AAAJAQAADwAAAAAAAAABACAAAAAiAAAAZHJzL2Rvd25yZXYueG1sUEsBAhQAFAAAAAgAh07iQAb7&#10;Az2uAQAATwMAAA4AAAAAAAAAAQAgAAAAJgEAAGRycy9lMm9Eb2MueG1sUEsFBgAAAAAGAAYAWQEA&#10;AEYFAAAAAA==&#10;">
                      <v:fill on="f" focussize="0,0"/>
                      <v:stroke on="f"/>
                      <v:imagedata o:title=""/>
                      <o:lock v:ext="edit" aspectratio="f"/>
                      <v:textbox>
                        <w:txbxContent>
                          <w:p>
                            <w:pPr>
                              <w:ind w:firstLine="150" w:firstLineChars="100"/>
                              <w:rPr>
                                <w:rFonts w:hint="default" w:eastAsia="宋体"/>
                                <w:sz w:val="15"/>
                                <w:szCs w:val="13"/>
                                <w:lang w:val="en-US" w:eastAsia="zh-CN"/>
                              </w:rPr>
                            </w:pPr>
                            <w:r>
                              <w:rPr>
                                <w:rFonts w:hint="eastAsia"/>
                                <w:sz w:val="15"/>
                                <w:szCs w:val="13"/>
                                <w:lang w:val="en-US" w:eastAsia="zh-CN"/>
                              </w:rPr>
                              <w:t>损耗0.0137</w:t>
                            </w:r>
                          </w:p>
                        </w:txbxContent>
                      </v:textbox>
                    </v:shape>
                  </w:pict>
                </mc:Fallback>
              </mc:AlternateContent>
            </w:r>
          </w:p>
          <w:p>
            <w:pPr>
              <w:spacing w:line="360" w:lineRule="auto"/>
              <w:rPr>
                <w:rFonts w:hint="eastAsia"/>
                <w:bCs/>
                <w:color w:val="auto"/>
              </w:rPr>
            </w:pP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241300</wp:posOffset>
                      </wp:positionH>
                      <wp:positionV relativeFrom="paragraph">
                        <wp:posOffset>188595</wp:posOffset>
                      </wp:positionV>
                      <wp:extent cx="898525" cy="274955"/>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898525" cy="274955"/>
                              </a:xfrm>
                              <a:prstGeom prst="rect">
                                <a:avLst/>
                              </a:prstGeom>
                              <a:noFill/>
                              <a:ln>
                                <a:noFill/>
                              </a:ln>
                            </wps:spPr>
                            <wps:txbx>
                              <w:txbxContent>
                                <w:p>
                                  <w:pPr>
                                    <w:rPr>
                                      <w:rFonts w:hint="default" w:eastAsia="宋体"/>
                                      <w:sz w:val="15"/>
                                      <w:szCs w:val="13"/>
                                      <w:lang w:val="en-US" w:eastAsia="zh-CN"/>
                                    </w:rPr>
                                  </w:pPr>
                                  <w:r>
                                    <w:rPr>
                                      <w:rFonts w:hint="eastAsia"/>
                                      <w:sz w:val="15"/>
                                      <w:szCs w:val="13"/>
                                      <w:lang w:val="en-US" w:eastAsia="zh-CN"/>
                                    </w:rPr>
                                    <w:t>洒水抑尘0.0137</w:t>
                                  </w:r>
                                </w:p>
                              </w:txbxContent>
                            </wps:txbx>
                            <wps:bodyPr upright="1"/>
                          </wps:wsp>
                        </a:graphicData>
                      </a:graphic>
                    </wp:anchor>
                  </w:drawing>
                </mc:Choice>
                <mc:Fallback>
                  <w:pict>
                    <v:shape id="_x0000_s1026" o:spid="_x0000_s1026" o:spt="202" type="#_x0000_t202" style="position:absolute;left:0pt;margin-left:19pt;margin-top:14.85pt;height:21.65pt;width:70.75pt;z-index:251683840;mso-width-relative:page;mso-height-relative:page;" filled="f" stroked="f" coordsize="21600,21600" o:gfxdata="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ES6T/tYA&#10;AAAIAQAADwAAAAAAAAABACAAAAAiAAAAZHJzL2Rvd25yZXYueG1sUEsBAhQAFAAAAAgAh07iQBMe&#10;gcKvAQAATwMAAA4AAAAAAAAAAQAgAAAAJQEAAGRycy9lMm9Eb2MueG1sUEsFBgAAAAAGAAYAWQEA&#10;AEYFAAAAAA==&#10;">
                      <v:fill on="f" focussize="0,0"/>
                      <v:stroke on="f"/>
                      <v:imagedata o:title=""/>
                      <o:lock v:ext="edit" aspectratio="f"/>
                      <v:textbox>
                        <w:txbxContent>
                          <w:p>
                            <w:pPr>
                              <w:rPr>
                                <w:rFonts w:hint="default" w:eastAsia="宋体"/>
                                <w:sz w:val="15"/>
                                <w:szCs w:val="13"/>
                                <w:lang w:val="en-US" w:eastAsia="zh-CN"/>
                              </w:rPr>
                            </w:pPr>
                            <w:r>
                              <w:rPr>
                                <w:rFonts w:hint="eastAsia"/>
                                <w:sz w:val="15"/>
                                <w:szCs w:val="13"/>
                                <w:lang w:val="en-US" w:eastAsia="zh-CN"/>
                              </w:rPr>
                              <w:t>洒水抑尘0.0137</w:t>
                            </w:r>
                          </w:p>
                        </w:txbxContent>
                      </v:textbox>
                    </v:shape>
                  </w:pict>
                </mc:Fallback>
              </mc:AlternateContent>
            </w: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1577975</wp:posOffset>
                      </wp:positionH>
                      <wp:positionV relativeFrom="paragraph">
                        <wp:posOffset>91440</wp:posOffset>
                      </wp:positionV>
                      <wp:extent cx="323850" cy="147320"/>
                      <wp:effectExtent l="1905" t="3175" r="0" b="20955"/>
                      <wp:wrapNone/>
                      <wp:docPr id="75" name="任意多边形 75"/>
                      <wp:cNvGraphicFramePr/>
                      <a:graphic xmlns:a="http://schemas.openxmlformats.org/drawingml/2006/main">
                        <a:graphicData uri="http://schemas.microsoft.com/office/word/2010/wordprocessingShape">
                          <wps:wsp>
                            <wps:cNvSpPr/>
                            <wps:spPr>
                              <a:xfrm>
                                <a:off x="0" y="0"/>
                                <a:ext cx="323850" cy="147320"/>
                              </a:xfrm>
                              <a:custGeom>
                                <a:avLst/>
                                <a:gdLst/>
                                <a:ahLst/>
                                <a:cxnLst/>
                                <a:pathLst>
                                  <a:path w="660" h="307">
                                    <a:moveTo>
                                      <a:pt x="0" y="307"/>
                                    </a:moveTo>
                                    <a:cubicBezTo>
                                      <a:pt x="74" y="277"/>
                                      <a:pt x="300" y="198"/>
                                      <a:pt x="369" y="145"/>
                                    </a:cubicBezTo>
                                    <a:cubicBezTo>
                                      <a:pt x="438" y="92"/>
                                      <a:pt x="300" y="69"/>
                                      <a:pt x="346" y="41"/>
                                    </a:cubicBezTo>
                                    <a:cubicBezTo>
                                      <a:pt x="392" y="13"/>
                                      <a:pt x="540" y="14"/>
                                      <a:pt x="600" y="7"/>
                                    </a:cubicBezTo>
                                    <a:cubicBezTo>
                                      <a:pt x="660" y="0"/>
                                      <a:pt x="642" y="6"/>
                                      <a:pt x="646" y="7"/>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24.25pt;margin-top:7.2pt;height:11.6pt;width:25.5pt;z-index:251685888;mso-width-relative:page;mso-height-relative:page;" filled="f" stroked="t" coordsize="660,307" o:gfxdata="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ojIJP9oAAAAJAQAADwAAAAAAAAABACAAAAAiAAAAZHJzL2Rvd25yZXYu&#10;eG1sUEsBAhQAFAAAAAgAh07iQAR0zzmkAgAA5AUAAA4AAAAAAAAAAQAgAAAAKQEAAGRycy9lMm9E&#10;b2MueG1sUEsFBgAAAAAGAAYAWQEAAD8GAAAAAA==&#10;" path="m0,307c74,277,300,198,369,145c438,92,300,69,346,41c392,13,540,14,600,7c660,0,642,6,646,7e">
                      <v:fill on="f" focussize="0,0"/>
                      <v:stroke color="#000000" joinstyle="round"/>
                      <v:imagedata o:title=""/>
                      <o:lock v:ext="edit" aspectratio="f"/>
                    </v:shape>
                  </w:pict>
                </mc:Fallback>
              </mc:AlternateContent>
            </w:r>
          </w:p>
          <w:p>
            <w:pPr>
              <w:spacing w:line="360" w:lineRule="auto"/>
              <w:rPr>
                <w:rFonts w:hint="eastAsia"/>
                <w:bCs/>
                <w:color w:val="auto"/>
              </w:rPr>
            </w:pP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1026795</wp:posOffset>
                      </wp:positionH>
                      <wp:positionV relativeFrom="paragraph">
                        <wp:posOffset>12065</wp:posOffset>
                      </wp:positionV>
                      <wp:extent cx="1221740" cy="282575"/>
                      <wp:effectExtent l="4445" t="4445" r="12065" b="17780"/>
                      <wp:wrapNone/>
                      <wp:docPr id="72" name="文本框 72"/>
                      <wp:cNvGraphicFramePr/>
                      <a:graphic xmlns:a="http://schemas.openxmlformats.org/drawingml/2006/main">
                        <a:graphicData uri="http://schemas.microsoft.com/office/word/2010/wordprocessingShape">
                          <wps:wsp>
                            <wps:cNvSpPr txBox="1"/>
                            <wps:spPr>
                              <a:xfrm>
                                <a:off x="0" y="0"/>
                                <a:ext cx="1221740" cy="2825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rPr>
                                      <w:rFonts w:hint="default" w:eastAsia="宋体"/>
                                      <w:color w:val="auto"/>
                                      <w:lang w:val="en-US" w:eastAsia="zh-CN"/>
                                    </w:rPr>
                                  </w:pPr>
                                  <w:r>
                                    <w:rPr>
                                      <w:rFonts w:hint="eastAsia"/>
                                      <w:color w:val="auto"/>
                                      <w:lang w:val="en-US" w:eastAsia="zh-CN"/>
                                    </w:rPr>
                                    <w:t>抑尘洒水用水</w:t>
                                  </w:r>
                                </w:p>
                              </w:txbxContent>
                            </wps:txbx>
                            <wps:bodyPr upright="1"/>
                          </wps:wsp>
                        </a:graphicData>
                      </a:graphic>
                    </wp:anchor>
                  </w:drawing>
                </mc:Choice>
                <mc:Fallback>
                  <w:pict>
                    <v:shape id="_x0000_s1026" o:spid="_x0000_s1026" o:spt="202" type="#_x0000_t202" style="position:absolute;left:0pt;margin-left:80.85pt;margin-top:0.95pt;height:22.25pt;width:96.2pt;z-index:251681792;mso-width-relative:page;mso-height-relative:page;" fillcolor="#FFFFFF" filled="t" stroked="t" coordsize="21600,21600" o:gfxdata="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DHhhC1wAAAAgBAAAPAAAAAAAAAAEAIAAAACIA&#10;AABkcnMvZG93bnJldi54bWxQSwECFAAUAAAACACHTuJASLHjiAoCAAA4BAAADgAAAAAAAAABACAA&#10;AAAmAQAAZHJzL2Uyb0RvYy54bWxQSwUGAAAAAAYABgBZAQAAogUAAAAA&#10;">
                      <v:fill on="t" focussize="0,0"/>
                      <v:stroke color="#000000" joinstyle="miter"/>
                      <v:imagedata o:title=""/>
                      <o:lock v:ext="edit" aspectratio="f"/>
                      <v:textbox>
                        <w:txbxContent>
                          <w:p>
                            <w:pPr>
                              <w:ind w:firstLine="210" w:firstLineChars="100"/>
                              <w:rPr>
                                <w:rFonts w:hint="default" w:eastAsia="宋体"/>
                                <w:color w:val="auto"/>
                                <w:lang w:val="en-US" w:eastAsia="zh-CN"/>
                              </w:rPr>
                            </w:pPr>
                            <w:r>
                              <w:rPr>
                                <w:rFonts w:hint="eastAsia"/>
                                <w:color w:val="auto"/>
                                <w:lang w:val="en-US" w:eastAsia="zh-CN"/>
                              </w:rPr>
                              <w:t>抑尘洒水用水</w:t>
                            </w:r>
                          </w:p>
                        </w:txbxContent>
                      </v:textbox>
                    </v:shape>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566420</wp:posOffset>
                      </wp:positionH>
                      <wp:positionV relativeFrom="paragraph">
                        <wp:posOffset>128270</wp:posOffset>
                      </wp:positionV>
                      <wp:extent cx="417830" cy="635"/>
                      <wp:effectExtent l="0" t="48895" r="1270" b="64770"/>
                      <wp:wrapNone/>
                      <wp:docPr id="77" name="直接连接符 77"/>
                      <wp:cNvGraphicFramePr/>
                      <a:graphic xmlns:a="http://schemas.openxmlformats.org/drawingml/2006/main">
                        <a:graphicData uri="http://schemas.microsoft.com/office/word/2010/wordprocessingShape">
                          <wps:wsp>
                            <wps:cNvCnPr/>
                            <wps:spPr>
                              <a:xfrm>
                                <a:off x="0" y="0"/>
                                <a:ext cx="417830"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44.6pt;margin-top:10.1pt;height:0.05pt;width:32.9pt;z-index:251680768;mso-width-relative:page;mso-height-relative:page;" filled="f" stroked="t" coordsize="21600,21600" o:gfxdata="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JSj4dYAAAAIAQAADwAAAAAAAAABACAAAAAiAAAAZHJzL2Rvd25yZXYu&#10;eG1sUEsBAhQAFAAAAAgAh07iQDCAwFP9AQAA6AMAAA4AAAAAAAAAAQAgAAAAJQEAAGRycy9lMm9E&#10;b2MueG1sUEsFBgAAAAAGAAYAWQEAAJQFAAAAAA==&#10;">
                      <v:fill on="f" focussize="0,0"/>
                      <v:stroke weight="0.25pt" color="#000000" joinstyle="round" endarrow="open"/>
                      <v:imagedata o:title=""/>
                      <o:lock v:ext="edit" aspectratio="f"/>
                    </v:line>
                  </w:pict>
                </mc:Fallback>
              </mc:AlternateContent>
            </w:r>
          </w:p>
          <w:p>
            <w:pPr>
              <w:spacing w:line="276" w:lineRule="auto"/>
              <w:jc w:val="both"/>
              <w:rPr>
                <w:rFonts w:hAnsi="黑体" w:eastAsia="黑体"/>
                <w:color w:val="auto"/>
                <w:sz w:val="24"/>
                <w:szCs w:val="24"/>
                <w:u w:val="none"/>
              </w:rPr>
            </w:pP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2418080</wp:posOffset>
                      </wp:positionH>
                      <wp:positionV relativeFrom="paragraph">
                        <wp:posOffset>31115</wp:posOffset>
                      </wp:positionV>
                      <wp:extent cx="856615" cy="27495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856615" cy="274955"/>
                              </a:xfrm>
                              <a:prstGeom prst="rect">
                                <a:avLst/>
                              </a:prstGeom>
                              <a:noFill/>
                              <a:ln>
                                <a:noFill/>
                              </a:ln>
                            </wps:spPr>
                            <wps:txbx>
                              <w:txbxContent>
                                <w:p>
                                  <w:pPr>
                                    <w:ind w:firstLine="150" w:firstLineChars="100"/>
                                    <w:rPr>
                                      <w:rFonts w:hint="default" w:eastAsia="宋体"/>
                                      <w:sz w:val="15"/>
                                      <w:szCs w:val="13"/>
                                      <w:lang w:val="en-US" w:eastAsia="zh-CN"/>
                                    </w:rPr>
                                  </w:pPr>
                                  <w:r>
                                    <w:rPr>
                                      <w:rFonts w:hint="eastAsia"/>
                                      <w:sz w:val="15"/>
                                      <w:szCs w:val="13"/>
                                      <w:lang w:val="en-US" w:eastAsia="zh-CN"/>
                                    </w:rPr>
                                    <w:t>损耗0.041</w:t>
                                  </w:r>
                                </w:p>
                              </w:txbxContent>
                            </wps:txbx>
                            <wps:bodyPr upright="1"/>
                          </wps:wsp>
                        </a:graphicData>
                      </a:graphic>
                    </wp:anchor>
                  </w:drawing>
                </mc:Choice>
                <mc:Fallback>
                  <w:pict>
                    <v:shape id="_x0000_s1026" o:spid="_x0000_s1026" o:spt="202" type="#_x0000_t202" style="position:absolute;left:0pt;margin-left:190.4pt;margin-top:2.45pt;height:21.65pt;width:67.45pt;z-index:251694080;mso-width-relative:page;mso-height-relative:page;" filled="f" stroked="f" coordsize="21600,21600" o:gfxdata="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Fdzz31gAA&#10;AAgBAAAPAAAAAAAAAAEAIAAAACIAAABkcnMvZG93bnJldi54bWxQSwECFAAUAAAACACHTuJAmZ6E&#10;Rq4BAABPAwAADgAAAAAAAAABACAAAAAlAQAAZHJzL2Uyb0RvYy54bWxQSwUGAAAAAAYABgBZAQAA&#10;RQUAAAAA&#10;">
                      <v:fill on="f" focussize="0,0"/>
                      <v:stroke on="f"/>
                      <v:imagedata o:title=""/>
                      <o:lock v:ext="edit" aspectratio="f"/>
                      <v:textbox>
                        <w:txbxContent>
                          <w:p>
                            <w:pPr>
                              <w:ind w:firstLine="150" w:firstLineChars="100"/>
                              <w:rPr>
                                <w:rFonts w:hint="default" w:eastAsia="宋体"/>
                                <w:sz w:val="15"/>
                                <w:szCs w:val="13"/>
                                <w:lang w:val="en-US" w:eastAsia="zh-CN"/>
                              </w:rPr>
                            </w:pPr>
                            <w:r>
                              <w:rPr>
                                <w:rFonts w:hint="eastAsia"/>
                                <w:sz w:val="15"/>
                                <w:szCs w:val="13"/>
                                <w:lang w:val="en-US" w:eastAsia="zh-CN"/>
                              </w:rPr>
                              <w:t>损耗0.041</w:t>
                            </w:r>
                          </w:p>
                        </w:txbxContent>
                      </v:textbox>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2263775</wp:posOffset>
                      </wp:positionH>
                      <wp:positionV relativeFrom="paragraph">
                        <wp:posOffset>146050</wp:posOffset>
                      </wp:positionV>
                      <wp:extent cx="323850" cy="147320"/>
                      <wp:effectExtent l="1905" t="3175" r="0" b="20955"/>
                      <wp:wrapNone/>
                      <wp:docPr id="41" name="任意多边形 41"/>
                      <wp:cNvGraphicFramePr/>
                      <a:graphic xmlns:a="http://schemas.openxmlformats.org/drawingml/2006/main">
                        <a:graphicData uri="http://schemas.microsoft.com/office/word/2010/wordprocessingShape">
                          <wps:wsp>
                            <wps:cNvSpPr/>
                            <wps:spPr>
                              <a:xfrm>
                                <a:off x="0" y="0"/>
                                <a:ext cx="323850" cy="147320"/>
                              </a:xfrm>
                              <a:custGeom>
                                <a:avLst/>
                                <a:gdLst/>
                                <a:ahLst/>
                                <a:cxnLst/>
                                <a:pathLst>
                                  <a:path w="660" h="307">
                                    <a:moveTo>
                                      <a:pt x="0" y="307"/>
                                    </a:moveTo>
                                    <a:cubicBezTo>
                                      <a:pt x="74" y="277"/>
                                      <a:pt x="300" y="198"/>
                                      <a:pt x="369" y="145"/>
                                    </a:cubicBezTo>
                                    <a:cubicBezTo>
                                      <a:pt x="438" y="92"/>
                                      <a:pt x="300" y="69"/>
                                      <a:pt x="346" y="41"/>
                                    </a:cubicBezTo>
                                    <a:cubicBezTo>
                                      <a:pt x="392" y="13"/>
                                      <a:pt x="540" y="14"/>
                                      <a:pt x="600" y="7"/>
                                    </a:cubicBezTo>
                                    <a:cubicBezTo>
                                      <a:pt x="660" y="0"/>
                                      <a:pt x="642" y="6"/>
                                      <a:pt x="646" y="7"/>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78.25pt;margin-top:11.5pt;height:11.6pt;width:25.5pt;z-index:251693056;mso-width-relative:page;mso-height-relative:page;" filled="f" stroked="t" coordsize="660,307" o:gfxdata="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o/IaLaAAAACQEAAA8AAAAAAAAAAQAgAAAAIgAAAGRycy9kb3ducmV2&#10;LnhtbFBLAQIUABQAAAAIAIdO4kC8waBbpQIAAOQFAAAOAAAAAAAAAAEAIAAAACkBAABkcnMvZTJv&#10;RG9jLnhtbFBLBQYAAAAABgAGAFkBAABABgAAAAA=&#10;" path="m0,307c74,277,300,198,369,145c438,92,300,69,346,41c392,13,540,14,600,7c660,0,642,6,646,7e">
                      <v:fill on="f" focussize="0,0"/>
                      <v:stroke color="#000000" joinstyle="round"/>
                      <v:imagedata o:title=""/>
                      <o:lock v:ext="edit" aspectratio="f"/>
                    </v:shape>
                  </w:pict>
                </mc:Fallback>
              </mc:AlternateContent>
            </w:r>
          </w:p>
          <w:p>
            <w:pPr>
              <w:spacing w:line="276" w:lineRule="auto"/>
              <w:jc w:val="center"/>
              <w:rPr>
                <w:rFonts w:hAnsi="黑体" w:eastAsia="黑体"/>
                <w:color w:val="auto"/>
                <w:sz w:val="24"/>
                <w:szCs w:val="24"/>
                <w:u w:val="none"/>
              </w:rPr>
            </w:pP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346075</wp:posOffset>
                      </wp:positionH>
                      <wp:positionV relativeFrom="paragraph">
                        <wp:posOffset>41275</wp:posOffset>
                      </wp:positionV>
                      <wp:extent cx="898525" cy="27495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898525" cy="274955"/>
                              </a:xfrm>
                              <a:prstGeom prst="rect">
                                <a:avLst/>
                              </a:prstGeom>
                              <a:noFill/>
                              <a:ln>
                                <a:noFill/>
                              </a:ln>
                            </wps:spPr>
                            <wps:txbx>
                              <w:txbxContent>
                                <w:p>
                                  <w:pPr>
                                    <w:rPr>
                                      <w:rFonts w:hint="default" w:eastAsia="宋体"/>
                                      <w:sz w:val="15"/>
                                      <w:szCs w:val="13"/>
                                      <w:lang w:val="en-US" w:eastAsia="zh-CN"/>
                                    </w:rPr>
                                  </w:pPr>
                                  <w:r>
                                    <w:rPr>
                                      <w:rFonts w:hint="eastAsia"/>
                                      <w:sz w:val="15"/>
                                      <w:szCs w:val="13"/>
                                      <w:lang w:val="en-US" w:eastAsia="zh-CN"/>
                                    </w:rPr>
                                    <w:t>喷干雾抑尘0.041</w:t>
                                  </w:r>
                                </w:p>
                              </w:txbxContent>
                            </wps:txbx>
                            <wps:bodyPr upright="1"/>
                          </wps:wsp>
                        </a:graphicData>
                      </a:graphic>
                    </wp:anchor>
                  </w:drawing>
                </mc:Choice>
                <mc:Fallback>
                  <w:pict>
                    <v:shape id="_x0000_s1026" o:spid="_x0000_s1026" o:spt="202" type="#_x0000_t202" style="position:absolute;left:0pt;margin-left:27.25pt;margin-top:3.25pt;height:21.65pt;width:70.75pt;z-index:251689984;mso-width-relative:page;mso-height-relative:page;" filled="f" stroked="f" coordsize="21600,21600" o:gfxdata="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Npw5zNQAAAAH&#10;AQAADwAAAAAAAAABACAAAAAiAAAAZHJzL2Rvd25yZXYueG1sUEsBAhQAFAAAAAgAh07iQKmuptqu&#10;AQAATwMAAA4AAAAAAAAAAQAgAAAAIwEAAGRycy9lMm9Eb2MueG1sUEsFBgAAAAAGAAYAWQEAAEMF&#10;AAAAAA==&#10;">
                      <v:fill on="f" focussize="0,0"/>
                      <v:stroke on="f"/>
                      <v:imagedata o:title=""/>
                      <o:lock v:ext="edit" aspectratio="f"/>
                      <v:textbox>
                        <w:txbxContent>
                          <w:p>
                            <w:pPr>
                              <w:rPr>
                                <w:rFonts w:hint="default" w:eastAsia="宋体"/>
                                <w:sz w:val="15"/>
                                <w:szCs w:val="13"/>
                                <w:lang w:val="en-US" w:eastAsia="zh-CN"/>
                              </w:rPr>
                            </w:pPr>
                            <w:r>
                              <w:rPr>
                                <w:rFonts w:hint="eastAsia"/>
                                <w:sz w:val="15"/>
                                <w:szCs w:val="13"/>
                                <w:lang w:val="en-US" w:eastAsia="zh-CN"/>
                              </w:rPr>
                              <w:t>喷干雾抑尘0.041</w:t>
                            </w:r>
                          </w:p>
                        </w:txbxContent>
                      </v:textbox>
                    </v:shape>
                  </w:pict>
                </mc:Fallback>
              </mc:AlternateContent>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1283970</wp:posOffset>
                      </wp:positionH>
                      <wp:positionV relativeFrom="paragraph">
                        <wp:posOffset>85090</wp:posOffset>
                      </wp:positionV>
                      <wp:extent cx="1478280" cy="282575"/>
                      <wp:effectExtent l="4445" t="4445" r="22225" b="17780"/>
                      <wp:wrapNone/>
                      <wp:docPr id="40" name="文本框 40"/>
                      <wp:cNvGraphicFramePr/>
                      <a:graphic xmlns:a="http://schemas.openxmlformats.org/drawingml/2006/main">
                        <a:graphicData uri="http://schemas.microsoft.com/office/word/2010/wordprocessingShape">
                          <wps:wsp>
                            <wps:cNvSpPr txBox="1"/>
                            <wps:spPr>
                              <a:xfrm>
                                <a:off x="0" y="0"/>
                                <a:ext cx="1478280" cy="2825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rPr>
                                      <w:rFonts w:hint="default" w:eastAsia="宋体"/>
                                      <w:color w:val="auto"/>
                                      <w:lang w:val="en-US" w:eastAsia="zh-CN"/>
                                    </w:rPr>
                                  </w:pPr>
                                  <w:r>
                                    <w:rPr>
                                      <w:rFonts w:hint="eastAsia"/>
                                      <w:color w:val="auto"/>
                                      <w:lang w:val="en-US" w:eastAsia="zh-CN"/>
                                    </w:rPr>
                                    <w:t>喷干雾装置用水</w:t>
                                  </w:r>
                                </w:p>
                              </w:txbxContent>
                            </wps:txbx>
                            <wps:bodyPr upright="1"/>
                          </wps:wsp>
                        </a:graphicData>
                      </a:graphic>
                    </wp:anchor>
                  </w:drawing>
                </mc:Choice>
                <mc:Fallback>
                  <w:pict>
                    <v:shape id="_x0000_s1026" o:spid="_x0000_s1026" o:spt="202" type="#_x0000_t202" style="position:absolute;left:0pt;margin-left:101.1pt;margin-top:6.7pt;height:22.25pt;width:116.4pt;z-index:251692032;mso-width-relative:page;mso-height-relative:page;" fillcolor="#FFFFFF" filled="t" stroked="t" coordsize="21600,21600" o:gfxdata="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ACoD7YAAAACQEAAA8AAAAAAAAAAQAgAAAA&#10;IgAAAGRycy9kb3ducmV2LnhtbFBLAQIUABQAAAAIAIdO4kDKTQhwCwIAADgEAAAOAAAAAAAAAAEA&#10;IAAAACcBAABkcnMvZTJvRG9jLnhtbFBLBQYAAAAABgAGAFkBAACkBQAAAAA=&#10;">
                      <v:fill on="t" focussize="0,0"/>
                      <v:stroke color="#000000" joinstyle="miter"/>
                      <v:imagedata o:title=""/>
                      <o:lock v:ext="edit" aspectratio="f"/>
                      <v:textbox>
                        <w:txbxContent>
                          <w:p>
                            <w:pPr>
                              <w:ind w:firstLine="210" w:firstLineChars="100"/>
                              <w:rPr>
                                <w:rFonts w:hint="default" w:eastAsia="宋体"/>
                                <w:color w:val="auto"/>
                                <w:lang w:val="en-US" w:eastAsia="zh-CN"/>
                              </w:rPr>
                            </w:pPr>
                            <w:r>
                              <w:rPr>
                                <w:rFonts w:hint="eastAsia"/>
                                <w:color w:val="auto"/>
                                <w:lang w:val="en-US" w:eastAsia="zh-CN"/>
                              </w:rPr>
                              <w:t>喷干雾装置用水</w:t>
                            </w:r>
                          </w:p>
                        </w:txbxContent>
                      </v:textbox>
                    </v:shape>
                  </w:pict>
                </mc:Fallback>
              </mc:AlternateContent>
            </w:r>
          </w:p>
          <w:p>
            <w:pPr>
              <w:spacing w:line="276" w:lineRule="auto"/>
              <w:jc w:val="center"/>
              <w:rPr>
                <w:rFonts w:hAnsi="黑体" w:eastAsia="黑体"/>
                <w:color w:val="auto"/>
                <w:sz w:val="24"/>
                <w:szCs w:val="24"/>
                <w:u w:val="none"/>
              </w:rPr>
            </w:pP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549275</wp:posOffset>
                      </wp:positionH>
                      <wp:positionV relativeFrom="paragraph">
                        <wp:posOffset>16510</wp:posOffset>
                      </wp:positionV>
                      <wp:extent cx="732790" cy="635"/>
                      <wp:effectExtent l="0" t="48895" r="10160" b="64770"/>
                      <wp:wrapNone/>
                      <wp:docPr id="39" name="直接连接符 39"/>
                      <wp:cNvGraphicFramePr/>
                      <a:graphic xmlns:a="http://schemas.openxmlformats.org/drawingml/2006/main">
                        <a:graphicData uri="http://schemas.microsoft.com/office/word/2010/wordprocessingShape">
                          <wps:wsp>
                            <wps:cNvCnPr/>
                            <wps:spPr>
                              <a:xfrm>
                                <a:off x="0" y="0"/>
                                <a:ext cx="732790"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43.25pt;margin-top:1.3pt;height:0.05pt;width:57.7pt;z-index:251691008;mso-width-relative:page;mso-height-relative:page;" filled="f" stroked="t" coordsize="21600,21600" o:gfxdata="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Q2bijVAAAABgEAAA8AAAAAAAAAAQAgAAAAIgAAAGRycy9kb3ducmV2Lnht&#10;bFBLAQIUABQAAAAIAIdO4kBrPtE3/AEAAOgDAAAOAAAAAAAAAAEAIAAAACQBAABkcnMvZTJvRG9j&#10;LnhtbFBLBQYAAAAABgAGAFkBAACSBQAAAAA=&#10;">
                      <v:fill on="f" focussize="0,0"/>
                      <v:stroke weight="0.25pt" color="#000000" joinstyle="round" endarrow="open"/>
                      <v:imagedata o:title=""/>
                      <o:lock v:ext="edit" aspectratio="f"/>
                    </v:line>
                  </w:pict>
                </mc:Fallback>
              </mc:AlternateContent>
            </w:r>
          </w:p>
          <w:p>
            <w:pPr>
              <w:spacing w:line="276" w:lineRule="auto"/>
              <w:jc w:val="center"/>
              <w:rPr>
                <w:rFonts w:hint="eastAsia"/>
                <w:b/>
                <w:color w:val="auto"/>
                <w:sz w:val="24"/>
                <w:szCs w:val="24"/>
                <w:u w:val="none"/>
              </w:rPr>
            </w:pPr>
            <w:r>
              <w:rPr>
                <w:rFonts w:hAnsi="黑体" w:eastAsia="黑体"/>
                <w:color w:val="auto"/>
                <w:sz w:val="24"/>
                <w:szCs w:val="24"/>
                <w:u w:val="none"/>
              </w:rPr>
              <w:t>图</w:t>
            </w:r>
            <w:r>
              <w:rPr>
                <w:rFonts w:hint="eastAsia" w:eastAsia="黑体"/>
                <w:color w:val="auto"/>
                <w:sz w:val="24"/>
                <w:szCs w:val="24"/>
                <w:u w:val="none"/>
                <w:lang w:val="en-US" w:eastAsia="zh-CN"/>
              </w:rPr>
              <w:t>1</w:t>
            </w:r>
            <w:r>
              <w:rPr>
                <w:rFonts w:eastAsia="黑体"/>
                <w:color w:val="auto"/>
                <w:sz w:val="24"/>
                <w:szCs w:val="24"/>
                <w:u w:val="none"/>
              </w:rPr>
              <w:t xml:space="preserve">                   </w:t>
            </w:r>
            <w:r>
              <w:rPr>
                <w:rFonts w:hint="eastAsia" w:eastAsia="黑体"/>
                <w:color w:val="auto"/>
                <w:sz w:val="24"/>
                <w:szCs w:val="24"/>
                <w:u w:val="none"/>
              </w:rPr>
              <w:t xml:space="preserve"> </w:t>
            </w:r>
            <w:r>
              <w:rPr>
                <w:rFonts w:hAnsi="黑体" w:eastAsia="黑体"/>
                <w:color w:val="auto"/>
                <w:sz w:val="24"/>
                <w:szCs w:val="24"/>
                <w:u w:val="none"/>
              </w:rPr>
              <w:t>项目水平衡图</w:t>
            </w:r>
            <w:r>
              <w:rPr>
                <w:rFonts w:eastAsia="黑体"/>
                <w:color w:val="auto"/>
                <w:sz w:val="24"/>
                <w:szCs w:val="24"/>
                <w:u w:val="none"/>
              </w:rPr>
              <w:t xml:space="preserve">        </w:t>
            </w:r>
            <w:r>
              <w:rPr>
                <w:rFonts w:hint="eastAsia" w:eastAsia="黑体"/>
                <w:color w:val="auto"/>
                <w:sz w:val="24"/>
                <w:szCs w:val="24"/>
                <w:u w:val="none"/>
              </w:rPr>
              <w:t xml:space="preserve">      </w:t>
            </w:r>
            <w:r>
              <w:rPr>
                <w:rFonts w:eastAsia="黑体"/>
                <w:color w:val="auto"/>
                <w:sz w:val="24"/>
                <w:szCs w:val="24"/>
                <w:u w:val="none"/>
              </w:rPr>
              <w:t xml:space="preserve"> </w:t>
            </w:r>
            <w:r>
              <w:rPr>
                <w:rFonts w:hAnsi="黑体" w:eastAsia="黑体"/>
                <w:color w:val="auto"/>
                <w:szCs w:val="21"/>
                <w:u w:val="none"/>
              </w:rPr>
              <w:t>单位：</w:t>
            </w:r>
            <w:r>
              <w:rPr>
                <w:rFonts w:hint="eastAsia" w:eastAsia="黑体"/>
                <w:color w:val="auto"/>
                <w:szCs w:val="21"/>
                <w:u w:val="none"/>
              </w:rPr>
              <w:t>m</w:t>
            </w:r>
            <w:r>
              <w:rPr>
                <w:rFonts w:hint="eastAsia" w:eastAsia="黑体"/>
                <w:color w:val="auto"/>
                <w:szCs w:val="21"/>
                <w:u w:val="none"/>
                <w:vertAlign w:val="superscript"/>
              </w:rPr>
              <w:t>3</w:t>
            </w:r>
            <w:r>
              <w:rPr>
                <w:rFonts w:eastAsia="黑体"/>
                <w:color w:val="auto"/>
                <w:szCs w:val="21"/>
                <w:u w:val="none"/>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1"/>
                <w:highlight w:val="none"/>
                <w:lang w:val="en-US" w:eastAsia="zh-CN" w:bidi="ar-SA"/>
              </w:rPr>
            </w:pPr>
            <w:r>
              <w:rPr>
                <w:rFonts w:hint="eastAsia" w:ascii="Times New Roman" w:hAnsi="Times New Roman" w:eastAsia="宋体" w:cs="Times New Roman"/>
                <w:color w:val="auto"/>
                <w:kern w:val="0"/>
                <w:sz w:val="24"/>
                <w:szCs w:val="21"/>
                <w:highlight w:val="none"/>
                <w:lang w:val="en-US" w:eastAsia="zh-CN" w:bidi="ar-SA"/>
              </w:rPr>
              <w:t>根据水喷淋塔设计情况，按照氨气浓度0.016mg/Nm³，废气处理量20000m³/h。计算吸收塔内可以储至少10m³的吸收液，这个吸收液可以循环使用，约循环10天更换一次</w:t>
            </w:r>
            <w:r>
              <w:rPr>
                <w:rFonts w:hint="eastAsia" w:cs="Times New Roman"/>
                <w:color w:val="auto"/>
                <w:kern w:val="0"/>
                <w:sz w:val="24"/>
                <w:szCs w:val="21"/>
                <w:highlight w:val="none"/>
                <w:lang w:val="en-US" w:eastAsia="zh-CN" w:bidi="ar-SA"/>
              </w:rPr>
              <w:t>，每十天更换10</w:t>
            </w:r>
            <w:r>
              <w:rPr>
                <w:rFonts w:hint="eastAsia" w:ascii="Times New Roman" w:hAnsi="Times New Roman" w:eastAsia="宋体" w:cs="Times New Roman"/>
                <w:color w:val="auto"/>
                <w:kern w:val="0"/>
                <w:sz w:val="24"/>
                <w:szCs w:val="21"/>
                <w:highlight w:val="none"/>
                <w:lang w:val="en-US" w:eastAsia="zh-CN" w:bidi="ar-SA"/>
              </w:rPr>
              <w:t>m³。</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cs="Times New Roman"/>
                <w:b/>
                <w:color w:val="auto"/>
                <w:sz w:val="24"/>
                <w:szCs w:val="24"/>
                <w:lang w:val="en-US" w:eastAsia="zh-CN"/>
              </w:rPr>
            </w:pPr>
            <w:r>
              <w:rPr>
                <w:rFonts w:hint="default" w:ascii="Calibri" w:hAnsi="Calibri" w:cs="Calibri"/>
                <w:b/>
                <w:color w:val="auto"/>
                <w:sz w:val="24"/>
                <w:szCs w:val="24"/>
              </w:rPr>
              <w:t>②</w:t>
            </w:r>
            <w:r>
              <w:rPr>
                <w:rFonts w:hint="eastAsia" w:cs="Times New Roman"/>
                <w:b/>
                <w:color w:val="auto"/>
                <w:sz w:val="24"/>
                <w:szCs w:val="24"/>
                <w:lang w:val="en-US" w:eastAsia="zh-CN"/>
              </w:rPr>
              <w:t>项目排水</w:t>
            </w:r>
          </w:p>
          <w:p>
            <w:pPr>
              <w:pStyle w:val="27"/>
              <w:spacing w:line="360" w:lineRule="auto"/>
              <w:ind w:left="0" w:leftChars="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w:t>
            </w:r>
            <w:r>
              <w:rPr>
                <w:rFonts w:hint="eastAsia" w:cs="Times New Roman"/>
                <w:color w:val="auto"/>
                <w:kern w:val="2"/>
                <w:sz w:val="24"/>
                <w:szCs w:val="24"/>
                <w:lang w:val="en-US" w:eastAsia="zh-CN" w:bidi="ar-SA"/>
              </w:rPr>
              <w:t>喷淋塔</w:t>
            </w:r>
            <w:r>
              <w:rPr>
                <w:rFonts w:hint="eastAsia" w:ascii="Times New Roman" w:hAnsi="Times New Roman" w:eastAsia="宋体" w:cs="Times New Roman"/>
                <w:color w:val="auto"/>
                <w:kern w:val="2"/>
                <w:sz w:val="24"/>
                <w:szCs w:val="24"/>
                <w:lang w:val="en-US" w:eastAsia="zh-CN" w:bidi="ar-SA"/>
              </w:rPr>
              <w:t>排水</w:t>
            </w:r>
            <w:r>
              <w:rPr>
                <w:rFonts w:hint="eastAsia"/>
                <w:color w:val="auto"/>
                <w:lang w:val="en-US" w:eastAsia="zh-CN"/>
              </w:rPr>
              <w:t>依托</w:t>
            </w:r>
            <w:r>
              <w:rPr>
                <w:rFonts w:hint="eastAsia" w:ascii="Times New Roman" w:hAnsi="Times New Roman" w:eastAsia="宋体" w:cs="Times New Roman"/>
                <w:color w:val="auto"/>
                <w:szCs w:val="21"/>
                <w:highlight w:val="none"/>
                <w:lang w:val="en-US" w:eastAsia="zh-CN"/>
              </w:rPr>
              <w:t>鲁山首创环保能源有限公司现有</w:t>
            </w:r>
            <w:r>
              <w:rPr>
                <w:rFonts w:hint="eastAsia" w:cs="Times New Roman"/>
                <w:color w:val="auto"/>
                <w:szCs w:val="21"/>
                <w:highlight w:val="none"/>
                <w:lang w:val="en-US" w:eastAsia="zh-CN"/>
              </w:rPr>
              <w:t>工程生产</w:t>
            </w:r>
            <w:r>
              <w:rPr>
                <w:rFonts w:hint="eastAsia"/>
                <w:color w:val="auto"/>
                <w:lang w:val="en-US" w:eastAsia="zh-CN"/>
              </w:rPr>
              <w:t>废水处理系统</w:t>
            </w:r>
            <w:r>
              <w:rPr>
                <w:rFonts w:hint="eastAsia" w:ascii="Times New Roman" w:hAnsi="Times New Roman" w:eastAsia="宋体" w:cs="Times New Roman"/>
                <w:color w:val="auto"/>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s="Times New Roman"/>
                <w:b/>
                <w:color w:val="auto"/>
                <w:sz w:val="24"/>
                <w:szCs w:val="24"/>
              </w:rPr>
            </w:pPr>
            <w:r>
              <w:rPr>
                <w:rFonts w:hint="eastAsia" w:cs="Times New Roman"/>
                <w:b/>
                <w:color w:val="auto"/>
                <w:sz w:val="24"/>
                <w:szCs w:val="24"/>
                <w:lang w:val="en-US" w:eastAsia="zh-CN"/>
              </w:rPr>
              <w:t>11</w:t>
            </w:r>
            <w:r>
              <w:rPr>
                <w:rFonts w:ascii="Times New Roman" w:hAnsi="Times New Roman" w:cs="Times New Roman"/>
                <w:b/>
                <w:color w:val="auto"/>
                <w:sz w:val="24"/>
                <w:szCs w:val="24"/>
                <w:highlight w:val="none"/>
              </w:rPr>
              <w:t>平面布局</w:t>
            </w:r>
            <w:r>
              <w:rPr>
                <w:rFonts w:hint="eastAsia" w:ascii="Times New Roman" w:hAnsi="Times New Roman" w:cs="Times New Roman"/>
                <w:b/>
                <w:color w:val="auto"/>
                <w:sz w:val="24"/>
                <w:szCs w:val="24"/>
                <w:highlight w:val="none"/>
                <w:lang w:val="en-US" w:eastAsia="zh-CN"/>
              </w:rPr>
              <w:t>合理性</w:t>
            </w:r>
            <w:r>
              <w:rPr>
                <w:rFonts w:ascii="Times New Roman" w:hAnsi="Times New Roman" w:cs="Times New Roman"/>
                <w:b/>
                <w:color w:val="auto"/>
                <w:sz w:val="24"/>
                <w:szCs w:val="24"/>
                <w:highlight w:val="none"/>
              </w:rPr>
              <w:t>分析</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厂区总平面布置原则</w:t>
            </w:r>
            <w:r>
              <w:rPr>
                <w:rFonts w:hint="eastAsia" w:ascii="Times New Roman" w:hAnsi="Times New Roman" w:cs="Times New Roman"/>
                <w:color w:val="auto"/>
                <w:sz w:val="24"/>
                <w:szCs w:val="24"/>
              </w:rPr>
              <w:t>：</w:t>
            </w:r>
            <w:r>
              <w:rPr>
                <w:rFonts w:ascii="Times New Roman" w:hAnsi="Times New Roman" w:cs="Times New Roman"/>
                <w:color w:val="auto"/>
                <w:sz w:val="24"/>
                <w:szCs w:val="24"/>
              </w:rPr>
              <w:t>建设项目必须符合生产行业要求</w:t>
            </w:r>
            <w:r>
              <w:rPr>
                <w:rFonts w:hint="eastAsia" w:ascii="Times New Roman" w:hAnsi="Times New Roman" w:cs="Times New Roman"/>
                <w:color w:val="auto"/>
                <w:sz w:val="24"/>
                <w:szCs w:val="24"/>
              </w:rPr>
              <w:t>，</w:t>
            </w:r>
            <w:r>
              <w:rPr>
                <w:rFonts w:ascii="Times New Roman" w:hAnsi="Times New Roman" w:cs="Times New Roman"/>
                <w:color w:val="auto"/>
                <w:sz w:val="24"/>
                <w:szCs w:val="24"/>
              </w:rPr>
              <w:t>满足生产工艺需求和安全生产要求。</w:t>
            </w:r>
          </w:p>
          <w:p>
            <w:pPr>
              <w:spacing w:line="360" w:lineRule="auto"/>
              <w:ind w:firstLine="480" w:firstLineChars="200"/>
              <w:rPr>
                <w:rFonts w:hint="default" w:ascii="Times New Roman" w:hAnsi="Times New Roman" w:eastAsia="宋体" w:cs="Times New Roman"/>
                <w:i w:val="0"/>
                <w:iCs w:val="0"/>
                <w:color w:val="auto"/>
                <w:kern w:val="2"/>
                <w:sz w:val="24"/>
                <w:szCs w:val="24"/>
                <w:u w:val="none"/>
                <w:lang w:val="en-US" w:eastAsia="zh-CN" w:bidi="ar-SA"/>
              </w:rPr>
            </w:pPr>
            <w:r>
              <w:rPr>
                <w:rFonts w:hint="eastAsia" w:ascii="Times New Roman" w:hAnsi="Times New Roman" w:eastAsia="宋体" w:cs="Times New Roman"/>
                <w:color w:val="auto"/>
                <w:sz w:val="24"/>
                <w:szCs w:val="24"/>
              </w:rPr>
              <w:t>本项目位于</w:t>
            </w:r>
            <w:r>
              <w:rPr>
                <w:rFonts w:hint="eastAsia" w:ascii="Times New Roman" w:hAnsi="Times New Roman" w:eastAsia="宋体" w:cs="Times New Roman"/>
                <w:color w:val="auto"/>
                <w:sz w:val="24"/>
                <w:szCs w:val="24"/>
                <w:lang w:val="en-US" w:eastAsia="zh-CN"/>
              </w:rPr>
              <w:t>鲁山首创生物质能源有限公司现有生物质料棚</w:t>
            </w:r>
            <w:r>
              <w:rPr>
                <w:rFonts w:hint="eastAsia" w:ascii="Times New Roman" w:hAnsi="Times New Roman" w:eastAsia="宋体" w:cs="Times New Roman"/>
                <w:color w:val="auto"/>
                <w:sz w:val="24"/>
                <w:szCs w:val="24"/>
              </w:rPr>
              <w:t>内，是服务于</w:t>
            </w:r>
            <w:r>
              <w:rPr>
                <w:rFonts w:hint="eastAsia" w:ascii="Times New Roman" w:hAnsi="Times New Roman" w:eastAsia="宋体" w:cs="Times New Roman"/>
                <w:color w:val="auto"/>
                <w:sz w:val="24"/>
                <w:szCs w:val="24"/>
                <w:lang w:val="en-US" w:eastAsia="zh-CN"/>
              </w:rPr>
              <w:t>鲁山县生活垃圾焚烧发电项目</w:t>
            </w:r>
            <w:r>
              <w:rPr>
                <w:rFonts w:hint="eastAsia" w:ascii="Times New Roman" w:hAnsi="Times New Roman" w:eastAsia="宋体" w:cs="Times New Roman"/>
                <w:color w:val="auto"/>
                <w:sz w:val="24"/>
                <w:szCs w:val="24"/>
              </w:rPr>
              <w:t>所产生的危险废物</w:t>
            </w:r>
            <w:r>
              <w:rPr>
                <w:rFonts w:hint="eastAsia" w:ascii="Times New Roman" w:hAnsi="Times New Roman" w:eastAsia="宋体" w:cs="Times New Roman"/>
                <w:color w:val="auto"/>
                <w:sz w:val="24"/>
                <w:szCs w:val="24"/>
                <w:lang w:val="en-US" w:eastAsia="zh-CN"/>
              </w:rPr>
              <w:t>飞灰</w:t>
            </w:r>
            <w:r>
              <w:rPr>
                <w:rFonts w:hint="eastAsia" w:ascii="Times New Roman" w:hAnsi="Times New Roman" w:eastAsia="宋体" w:cs="Times New Roman"/>
                <w:color w:val="auto"/>
                <w:sz w:val="24"/>
                <w:szCs w:val="24"/>
              </w:rPr>
              <w:t>的配套环保工程。在现有</w:t>
            </w:r>
            <w:r>
              <w:rPr>
                <w:rFonts w:hint="eastAsia" w:ascii="Times New Roman" w:hAnsi="Times New Roman" w:eastAsia="宋体" w:cs="Times New Roman"/>
                <w:color w:val="auto"/>
                <w:sz w:val="24"/>
                <w:szCs w:val="24"/>
                <w:lang w:val="en-US" w:eastAsia="zh-CN"/>
              </w:rPr>
              <w:t>鲁山首创生物质能源有限公司现有生物质料棚</w:t>
            </w:r>
            <w:r>
              <w:rPr>
                <w:rFonts w:hint="eastAsia" w:ascii="Times New Roman" w:hAnsi="Times New Roman" w:eastAsia="宋体" w:cs="Times New Roman"/>
                <w:color w:val="auto"/>
                <w:sz w:val="24"/>
                <w:szCs w:val="24"/>
              </w:rPr>
              <w:t>基础上进行改造，本项目用地地块，内设危险废物暂存区、标识标牌、通风系统等。项目建设所需用电、通信等基础设施条件均较完善，外部交通便利，区位优势十分明显。项目平面布置合理可行</w:t>
            </w:r>
            <w:r>
              <w:rPr>
                <w:rFonts w:hint="eastAsia" w:cs="Times New Roman"/>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12" w:hRule="atLeast"/>
          <w:jc w:val="center"/>
        </w:trPr>
        <w:tc>
          <w:tcPr>
            <w:tcW w:w="396" w:type="pct"/>
            <w:vAlign w:val="center"/>
          </w:tcPr>
          <w:p>
            <w:pPr>
              <w:pStyle w:val="24"/>
              <w:adjustRightInd w:val="0"/>
              <w:snapToGrid w:val="0"/>
              <w:spacing w:before="0" w:beforeAutospacing="0" w:after="0" w:afterAutospacing="0" w:line="400" w:lineRule="exact"/>
              <w:jc w:val="center"/>
              <w:rPr>
                <w:rFonts w:ascii="Times New Roman" w:hAnsi="Times New Roman" w:cs="Times New Roman"/>
                <w:b/>
                <w:bCs/>
                <w:color w:val="auto"/>
                <w:sz w:val="28"/>
                <w:szCs w:val="28"/>
              </w:rPr>
            </w:pPr>
            <w:r>
              <w:rPr>
                <w:rFonts w:hint="eastAsia" w:ascii="Times New Roman" w:hAnsi="Times New Roman" w:cs="Times New Roman"/>
                <w:b/>
                <w:bCs/>
                <w:color w:val="auto"/>
                <w:szCs w:val="24"/>
              </w:rPr>
              <w:t>工艺流程和产排污环节</w:t>
            </w:r>
          </w:p>
        </w:tc>
        <w:tc>
          <w:tcPr>
            <w:tcW w:w="4603" w:type="pct"/>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1" w:leftChars="229" w:firstLine="0" w:firstLineChars="0"/>
              <w:textAlignment w:val="baseline"/>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1 施工期工艺流程及产污环节</w:t>
            </w:r>
          </w:p>
          <w:p>
            <w:pPr>
              <w:spacing w:line="360" w:lineRule="auto"/>
              <w:ind w:firstLine="480" w:firstLineChars="200"/>
              <w:jc w:val="both"/>
              <w:rPr>
                <w:rFonts w:hint="default" w:cs="Times New Roman"/>
                <w:color w:val="auto"/>
                <w:sz w:val="24"/>
                <w:lang w:val="en-US" w:eastAsia="zh-CN"/>
              </w:rPr>
            </w:pPr>
            <w:r>
              <w:rPr>
                <w:rFonts w:hint="eastAsia" w:cs="Times New Roman"/>
                <w:color w:val="auto"/>
                <w:sz w:val="24"/>
                <w:lang w:val="en-US" w:eastAsia="zh-CN"/>
              </w:rPr>
              <w:t>由于本项目所用地为租用</w:t>
            </w:r>
            <w:r>
              <w:rPr>
                <w:rFonts w:hint="eastAsia" w:ascii="Times New Roman" w:hAnsi="Times New Roman" w:eastAsia="宋体" w:cs="Times New Roman"/>
                <w:color w:val="auto"/>
                <w:sz w:val="24"/>
                <w:szCs w:val="24"/>
                <w:lang w:val="en-US" w:eastAsia="zh-CN"/>
              </w:rPr>
              <w:t>鲁山首创生物质能源有限公司现有</w:t>
            </w:r>
            <w:r>
              <w:rPr>
                <w:rFonts w:hint="eastAsia" w:cs="Times New Roman"/>
                <w:b w:val="0"/>
                <w:bCs w:val="0"/>
                <w:color w:val="auto"/>
                <w:sz w:val="24"/>
                <w:szCs w:val="24"/>
                <w:u w:val="none"/>
                <w:lang w:val="en-US" w:eastAsia="zh-CN"/>
              </w:rPr>
              <w:t>生物质料棚</w:t>
            </w:r>
            <w:r>
              <w:rPr>
                <w:rFonts w:hint="eastAsia" w:cs="Times New Roman"/>
                <w:color w:val="auto"/>
                <w:sz w:val="24"/>
                <w:lang w:val="en-US" w:eastAsia="zh-CN"/>
              </w:rPr>
              <w:t>进行改造，达到存储飞灰的条件。因此施工期工艺较为简单，主要为：</w:t>
            </w:r>
          </w:p>
          <w:p>
            <w:pPr>
              <w:spacing w:line="360" w:lineRule="auto"/>
              <w:ind w:firstLine="480" w:firstLineChars="200"/>
              <w:jc w:val="both"/>
              <w:rPr>
                <w:rFonts w:hint="default" w:cs="Times New Roman"/>
                <w:color w:val="auto"/>
                <w:sz w:val="24"/>
                <w:lang w:val="en-US" w:eastAsia="zh-CN"/>
              </w:rPr>
            </w:pPr>
            <w:r>
              <w:rPr>
                <w:rFonts w:hint="eastAsia" w:cs="Times New Roman"/>
                <w:color w:val="auto"/>
                <w:sz w:val="24"/>
                <w:lang w:val="en-US" w:eastAsia="zh-CN"/>
              </w:rPr>
              <w:t>在生物质料棚约二分之一处，1.使用300m</w:t>
            </w:r>
            <w:r>
              <w:rPr>
                <w:rFonts w:hint="eastAsia" w:cs="Times New Roman"/>
                <w:color w:val="auto"/>
                <w:sz w:val="24"/>
                <w:vertAlign w:val="superscript"/>
                <w:lang w:val="en-US" w:eastAsia="zh-CN"/>
              </w:rPr>
              <w:t>2</w:t>
            </w:r>
            <w:r>
              <w:rPr>
                <w:rFonts w:hint="eastAsia" w:cs="Times New Roman"/>
                <w:color w:val="auto"/>
                <w:sz w:val="24"/>
                <w:lang w:val="en-US" w:eastAsia="zh-CN"/>
              </w:rPr>
              <w:t>彩钢瓦进行分区隔离；2.对分区后约4200m</w:t>
            </w:r>
            <w:r>
              <w:rPr>
                <w:rFonts w:hint="eastAsia" w:cs="Times New Roman"/>
                <w:color w:val="auto"/>
                <w:sz w:val="24"/>
                <w:vertAlign w:val="superscript"/>
                <w:lang w:val="en-US" w:eastAsia="zh-CN"/>
              </w:rPr>
              <w:t>2</w:t>
            </w:r>
            <w:r>
              <w:rPr>
                <w:rFonts w:hint="eastAsia" w:cs="Times New Roman"/>
                <w:color w:val="auto"/>
                <w:sz w:val="24"/>
                <w:lang w:val="en-US" w:eastAsia="zh-CN"/>
              </w:rPr>
              <w:t>地面做防渗措施；3.对原有约1000m</w:t>
            </w:r>
            <w:r>
              <w:rPr>
                <w:rFonts w:hint="eastAsia" w:cs="Times New Roman"/>
                <w:color w:val="auto"/>
                <w:sz w:val="24"/>
                <w:vertAlign w:val="superscript"/>
                <w:lang w:val="en-US" w:eastAsia="zh-CN"/>
              </w:rPr>
              <w:t>2</w:t>
            </w:r>
            <w:r>
              <w:rPr>
                <w:rFonts w:hint="eastAsia" w:cs="Times New Roman"/>
                <w:color w:val="auto"/>
                <w:sz w:val="24"/>
                <w:lang w:val="en-US" w:eastAsia="zh-CN"/>
              </w:rPr>
              <w:t>的铁质防飞网再次进行封闭，安装除氨设备。4.新增除氨系统。</w:t>
            </w:r>
          </w:p>
          <w:p>
            <w:pPr>
              <w:spacing w:line="360" w:lineRule="auto"/>
              <w:ind w:firstLine="480" w:firstLineChars="200"/>
              <w:jc w:val="both"/>
              <w:rPr>
                <w:rFonts w:hint="eastAsia" w:ascii="Times New Roman" w:hAnsi="Times New Roman" w:cs="Times New Roman"/>
                <w:b/>
                <w:bCs/>
                <w:color w:val="auto"/>
                <w:sz w:val="24"/>
                <w:szCs w:val="24"/>
                <w:highlight w:val="none"/>
                <w:lang w:val="en-US" w:eastAsia="zh-CN"/>
              </w:rPr>
            </w:pPr>
            <w:r>
              <w:rPr>
                <w:rFonts w:hint="eastAsia" w:cs="Times New Roman"/>
                <w:color w:val="auto"/>
                <w:sz w:val="24"/>
                <w:lang w:val="en-US" w:eastAsia="zh-CN"/>
              </w:rPr>
              <w:t>产污主要为：设备安装噪声</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481" w:leftChars="229" w:firstLine="0" w:firstLineChars="0"/>
              <w:textAlignment w:val="baseline"/>
              <w:rPr>
                <w:rFonts w:hint="eastAsia" w:ascii="Times New Roman" w:hAnsi="Times New Roman" w:eastAsia="宋体" w:cs="Times New Roman"/>
                <w:b/>
                <w:bCs/>
                <w:color w:val="auto"/>
                <w:sz w:val="24"/>
                <w:szCs w:val="24"/>
                <w:highlight w:val="none"/>
                <w:lang w:val="en-US" w:eastAsia="zh-CN"/>
              </w:rPr>
            </w:pP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2420620</wp:posOffset>
                      </wp:positionH>
                      <wp:positionV relativeFrom="paragraph">
                        <wp:posOffset>307975</wp:posOffset>
                      </wp:positionV>
                      <wp:extent cx="728345" cy="29464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728345"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G1、N1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6pt;margin-top:24.25pt;height:23.2pt;width:57.35pt;z-index:251674624;mso-width-relative:page;mso-height-relative:page;" filled="f" stroked="f" coordsize="21600,21600" o:gfxdata="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KMJa9sAAAAJAQAADwAAAAAAAAABACAAAAAiAAAA&#10;ZHJzL2Rvd25yZXYueG1sUEsBAhQAFAAAAAgAh07iQJ5jM3U9AgAAZw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lang w:val="en-US" w:eastAsia="zh-CN"/>
                              </w:rPr>
                              <w:t>G1、N1</w:t>
                            </w:r>
                          </w:p>
                        </w:txbxContent>
                      </v:textbox>
                    </v:shape>
                  </w:pict>
                </mc:Fallback>
              </mc:AlternateContent>
            </w:r>
            <w:r>
              <w:rPr>
                <w:rFonts w:hint="eastAsia" w:cs="Times New Roman"/>
                <w:b/>
                <w:bCs/>
                <w:color w:val="auto"/>
                <w:sz w:val="24"/>
                <w:szCs w:val="24"/>
                <w:highlight w:val="none"/>
                <w:lang w:val="en-US" w:eastAsia="zh-CN"/>
              </w:rPr>
              <w:t>2</w:t>
            </w:r>
            <w:r>
              <w:rPr>
                <w:rFonts w:hint="eastAsia" w:ascii="Times New Roman" w:hAnsi="Times New Roman" w:eastAsia="宋体" w:cs="Times New Roman"/>
                <w:b/>
                <w:bCs/>
                <w:color w:val="auto"/>
                <w:sz w:val="24"/>
                <w:szCs w:val="24"/>
                <w:highlight w:val="none"/>
                <w:lang w:val="en-US" w:eastAsia="zh-CN"/>
              </w:rPr>
              <w:t>本项目运营期生产工艺流程及产污环节图：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cs="Times New Roman"/>
                <w:b/>
                <w:color w:val="auto"/>
                <w:sz w:val="24"/>
                <w:highlight w:val="none"/>
                <w:lang w:val="en-US" w:eastAsia="zh-CN"/>
              </w:rPr>
            </w:pP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4915535</wp:posOffset>
                      </wp:positionH>
                      <wp:positionV relativeFrom="paragraph">
                        <wp:posOffset>229870</wp:posOffset>
                      </wp:positionV>
                      <wp:extent cx="5080" cy="191135"/>
                      <wp:effectExtent l="48260" t="0" r="60960" b="18415"/>
                      <wp:wrapNone/>
                      <wp:docPr id="36" name="直接箭头连接符 36"/>
                      <wp:cNvGraphicFramePr/>
                      <a:graphic xmlns:a="http://schemas.openxmlformats.org/drawingml/2006/main">
                        <a:graphicData uri="http://schemas.microsoft.com/office/word/2010/wordprocessingShape">
                          <wps:wsp>
                            <wps:cNvCnPr/>
                            <wps:spPr>
                              <a:xfrm flipH="1" flipV="1">
                                <a:off x="0" y="0"/>
                                <a:ext cx="5080" cy="19113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87.05pt;margin-top:18.1pt;height:15.05pt;width:0.4pt;z-index:251688960;mso-width-relative:page;mso-height-relative:page;" filled="f" stroked="t" coordsize="21600,21600" o:gfxdata="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iLkPvWAAAACQEAAA8AAAAAAAAA&#10;AQAgAAAAIgAAAGRycy9kb3ducmV2LnhtbFBLAQIUABQAAAAIAIdO4kBuntR2EwIAAPYDAAAOAAAA&#10;AAAAAAEAIAAAACUBAABkcnMvZTJvRG9jLnhtbFBLBQYAAAAABgAGAFkBAACqBQAAAAA=&#10;">
                      <v:fill on="f" focussize="0,0"/>
                      <v:stroke weight="1pt" color="#000000 [3213]" miterlimit="8" joinstyle="miter" dashstyle="dash" endarrow="open"/>
                      <v:imagedata o:title=""/>
                      <o:lock v:ext="edit" aspectratio="f"/>
                    </v:shape>
                  </w:pict>
                </mc:Fallback>
              </mc:AlternateContent>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4726305</wp:posOffset>
                      </wp:positionH>
                      <wp:positionV relativeFrom="paragraph">
                        <wp:posOffset>38100</wp:posOffset>
                      </wp:positionV>
                      <wp:extent cx="399415" cy="294640"/>
                      <wp:effectExtent l="0" t="0" r="0" b="0"/>
                      <wp:wrapNone/>
                      <wp:docPr id="2" name="文本框 2"/>
                      <wp:cNvGraphicFramePr/>
                      <a:graphic xmlns:a="http://schemas.openxmlformats.org/drawingml/2006/main">
                        <a:graphicData uri="http://schemas.microsoft.com/office/word/2010/wordprocessingShape">
                          <wps:wsp>
                            <wps:cNvSpPr txBox="1"/>
                            <wps:spPr>
                              <a:xfrm>
                                <a:off x="0" y="0"/>
                                <a:ext cx="399415"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G3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2.15pt;margin-top:3pt;height:23.2pt;width:31.45pt;z-index:251687936;mso-width-relative:page;mso-height-relative:page;" filled="f" stroked="f" coordsize="21600,21600" o:gfxdata="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&#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umK/HaAAAACAEAAA8AAAAAAAAAAQAgAAAAIgAAAGRy&#10;cy9kb3ducmV2LnhtbFBLAQIUABQAAAAIAIdO4kByzIaPPAIAAGUEAAAOAAAAAAAAAAEAIAAAACkB&#10;AABkcnMvZTJvRG9jLnhtbFBLBQYAAAAABgAGAFkBAADXBQAAAAA=&#10;">
                      <v:fill on="f" focussize="0,0"/>
                      <v:stroke on="f" weight="0.5pt"/>
                      <v:imagedata o:title=""/>
                      <o:lock v:ext="edit" aspectratio="f"/>
                      <v:textbox>
                        <w:txbxContent>
                          <w:p>
                            <w:pPr>
                              <w:rPr>
                                <w:rFonts w:hint="default" w:eastAsia="宋体"/>
                                <w:lang w:val="en-US" w:eastAsia="zh-CN"/>
                              </w:rPr>
                            </w:pPr>
                            <w:r>
                              <w:rPr>
                                <w:rFonts w:hint="eastAsia"/>
                                <w:lang w:val="en-US" w:eastAsia="zh-CN"/>
                              </w:rPr>
                              <w:t>G3</w:t>
                            </w:r>
                          </w:p>
                        </w:txbxContent>
                      </v:textbox>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2751455</wp:posOffset>
                      </wp:positionH>
                      <wp:positionV relativeFrom="paragraph">
                        <wp:posOffset>211455</wp:posOffset>
                      </wp:positionV>
                      <wp:extent cx="5080" cy="191135"/>
                      <wp:effectExtent l="48260" t="0" r="60960" b="18415"/>
                      <wp:wrapNone/>
                      <wp:docPr id="11" name="直接箭头连接符 11"/>
                      <wp:cNvGraphicFramePr/>
                      <a:graphic xmlns:a="http://schemas.openxmlformats.org/drawingml/2006/main">
                        <a:graphicData uri="http://schemas.microsoft.com/office/word/2010/wordprocessingShape">
                          <wps:wsp>
                            <wps:cNvCnPr/>
                            <wps:spPr>
                              <a:xfrm flipH="1" flipV="1">
                                <a:off x="4304665" y="1425575"/>
                                <a:ext cx="5080" cy="19113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6.65pt;margin-top:16.65pt;height:15.05pt;width:0.4pt;z-index:251673600;mso-width-relative:page;mso-height-relative:page;" filled="f" stroked="t" coordsize="21600,21600" o:gfxdata="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oENifWAAAA&#10;CQEAAA8AAAAAAAAAAQAgAAAAIgAAAGRycy9kb3ducmV2LnhtbFBLAQIUABQAAAAIAIdO4kBdyVTo&#10;HwIAAAIEAAAOAAAAAAAAAAEAIAAAACUBAABkcnMvZTJvRG9jLnhtbFBLBQYAAAAABgAGAFkBAAC2&#10;BQAAAAA=&#10;">
                      <v:fill on="f" focussize="0,0"/>
                      <v:stroke weight="1pt" color="#000000 [3213]" miterlimit="8" joinstyle="miter" dashstyle="dash" endarrow="open"/>
                      <v:imagedata o:title=""/>
                      <o:lock v:ext="edit" aspectratio="f"/>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3530600</wp:posOffset>
                      </wp:positionH>
                      <wp:positionV relativeFrom="paragraph">
                        <wp:posOffset>38735</wp:posOffset>
                      </wp:positionV>
                      <wp:extent cx="744855" cy="29464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744855"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G2、N2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3.05pt;height:23.2pt;width:58.65pt;z-index:251676672;mso-width-relative:page;mso-height-relative:page;" filled="f" stroked="f" coordsize="21600,21600" o:gfxdata="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w00VnZAAAACAEAAA8AAAAAAAAAAQAgAAAAIgAAAGRy&#10;cy9kb3ducmV2LnhtbFBLAQIUABQAAAAIAIdO4kAVUCwWPQIAAGcEAAAOAAAAAAAAAAEAIAAAACgB&#10;AABkcnMvZTJvRG9jLnhtbFBLBQYAAAAABgAGAFkBAADXBQAAAAA=&#10;">
                      <v:fill on="f" focussize="0,0"/>
                      <v:stroke on="f" weight="0.5pt"/>
                      <v:imagedata o:title=""/>
                      <o:lock v:ext="edit" aspectratio="f"/>
                      <v:textbox>
                        <w:txbxContent>
                          <w:p>
                            <w:pPr>
                              <w:rPr>
                                <w:rFonts w:hint="default" w:eastAsia="宋体"/>
                                <w:lang w:val="en-US" w:eastAsia="zh-CN"/>
                              </w:rPr>
                            </w:pPr>
                            <w:r>
                              <w:rPr>
                                <w:rFonts w:hint="eastAsia"/>
                                <w:lang w:val="en-US" w:eastAsia="zh-CN"/>
                              </w:rPr>
                              <w:t>G2、N2</w:t>
                            </w:r>
                          </w:p>
                        </w:txbxContent>
                      </v:textbox>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3859530</wp:posOffset>
                      </wp:positionH>
                      <wp:positionV relativeFrom="paragraph">
                        <wp:posOffset>220345</wp:posOffset>
                      </wp:positionV>
                      <wp:extent cx="5080" cy="191135"/>
                      <wp:effectExtent l="48260" t="0" r="60960" b="18415"/>
                      <wp:wrapNone/>
                      <wp:docPr id="13" name="直接箭头连接符 13"/>
                      <wp:cNvGraphicFramePr/>
                      <a:graphic xmlns:a="http://schemas.openxmlformats.org/drawingml/2006/main">
                        <a:graphicData uri="http://schemas.microsoft.com/office/word/2010/wordprocessingShape">
                          <wps:wsp>
                            <wps:cNvCnPr/>
                            <wps:spPr>
                              <a:xfrm flipH="1" flipV="1">
                                <a:off x="0" y="0"/>
                                <a:ext cx="5080" cy="19113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03.9pt;margin-top:17.35pt;height:15.05pt;width:0.4pt;z-index:251675648;mso-width-relative:page;mso-height-relative:page;" filled="f" stroked="t" coordsize="21600,21600" o:gfxdata="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L6JZr1gAAAAkBAAAPAAAAAAAAAAEA&#10;IAAAACIAAABkcnMvZG93bnJldi54bWxQSwECFAAUAAAACACHTuJA1Xx79RECAAD2AwAADgAAAAAA&#10;AAABACAAAAAlAQAAZHJzL2Uyb0RvYy54bWxQSwUGAAAAAAYABgBZAQAAqAUAAAAA&#10;">
                      <v:fill on="f" focussize="0,0"/>
                      <v:stroke weight="1pt" color="#000000 [3213]" miterlimit="8" joinstyle="miter" dashstyle="dash" endarrow="open"/>
                      <v:imagedata o:title=""/>
                      <o:lock v:ext="edit" aspectratio="f"/>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cs="Times New Roman"/>
                <w:b/>
                <w:color w:val="auto"/>
                <w:sz w:val="24"/>
                <w:highlight w:val="none"/>
                <w:lang w:val="en-US" w:eastAsia="zh-CN"/>
              </w:rPr>
            </w:pP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3444875</wp:posOffset>
                      </wp:positionH>
                      <wp:positionV relativeFrom="paragraph">
                        <wp:posOffset>158115</wp:posOffset>
                      </wp:positionV>
                      <wp:extent cx="727710" cy="294640"/>
                      <wp:effectExtent l="5080" t="4445" r="10160" b="5715"/>
                      <wp:wrapNone/>
                      <wp:docPr id="6" name="文本框 6"/>
                      <wp:cNvGraphicFramePr/>
                      <a:graphic xmlns:a="http://schemas.openxmlformats.org/drawingml/2006/main">
                        <a:graphicData uri="http://schemas.microsoft.com/office/word/2010/wordprocessingShape">
                          <wps:wsp>
                            <wps:cNvSpPr txBox="1"/>
                            <wps:spPr>
                              <a:xfrm>
                                <a:off x="0" y="0"/>
                                <a:ext cx="727710" cy="29464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叉车装卸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25pt;margin-top:12.45pt;height:23.2pt;width:57.3pt;z-index:251670528;mso-width-relative:page;mso-height-relative:page;" fillcolor="#FFFFFF [3201]" filled="t" stroked="t" coordsize="21600,21600" o:gfxdata="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AKz9MfXAAAA&#10;CQEAAA8AAAAAAAAAAQAgAAAAIgAAAGRycy9kb3ducmV2LnhtbFBLAQIUABQAAAAIAIdO4kCpf9Aj&#10;VwIAALcEAAAOAAAAAAAAAAEAIAAAACYBAABkcnMvZTJvRG9jLnhtbFBLBQYAAAAABgAGAFkBAADv&#10;BQAAAAA=&#10;">
                      <v:fill on="t" focussize="0,0"/>
                      <v:stroke weight="0.5pt" color="#000000 [3213]" joinstyle="round"/>
                      <v:imagedata o:title=""/>
                      <o:lock v:ext="edit" aspectratio="f"/>
                      <v:textbox>
                        <w:txbxContent>
                          <w:p>
                            <w:pPr>
                              <w:rPr>
                                <w:rFonts w:hint="default" w:eastAsia="宋体"/>
                                <w:lang w:val="en-US" w:eastAsia="zh-CN"/>
                              </w:rPr>
                            </w:pPr>
                            <w:r>
                              <w:rPr>
                                <w:rFonts w:hint="eastAsia"/>
                                <w:lang w:val="en-US" w:eastAsia="zh-CN"/>
                              </w:rPr>
                              <w:t>叉车装卸</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2362835</wp:posOffset>
                      </wp:positionH>
                      <wp:positionV relativeFrom="paragraph">
                        <wp:posOffset>148590</wp:posOffset>
                      </wp:positionV>
                      <wp:extent cx="768350" cy="294640"/>
                      <wp:effectExtent l="5080" t="4445" r="7620" b="5715"/>
                      <wp:wrapNone/>
                      <wp:docPr id="3" name="文本框 3"/>
                      <wp:cNvGraphicFramePr/>
                      <a:graphic xmlns:a="http://schemas.openxmlformats.org/drawingml/2006/main">
                        <a:graphicData uri="http://schemas.microsoft.com/office/word/2010/wordprocessingShape">
                          <wps:wsp>
                            <wps:cNvSpPr txBox="1"/>
                            <wps:spPr>
                              <a:xfrm>
                                <a:off x="0" y="0"/>
                                <a:ext cx="768350" cy="29464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车辆运输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05pt;margin-top:11.7pt;height:23.2pt;width:60.5pt;z-index:251667456;mso-width-relative:page;mso-height-relative:page;" fillcolor="#FFFFFF [3201]" filled="t" stroked="t" coordsize="21600,21600" o:gfxdata="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EzImF1gAAAAkBAAAP&#10;AAAAAAAAAAEAIAAAACIAAABkcnMvZG93bnJldi54bWxQSwECFAAUAAAACACHTuJAZBsBxlMCAAC3&#10;BAAADgAAAAAAAAABACAAAAAlAQAAZHJzL2Uyb0RvYy54bWxQSwUGAAAAAAYABgBZAQAA6gUAAAAA&#10;">
                      <v:fill on="t" focussize="0,0"/>
                      <v:stroke weight="0.5pt" color="#000000 [3213]" joinstyle="round"/>
                      <v:imagedata o:title=""/>
                      <o:lock v:ext="edit" aspectratio="f"/>
                      <v:textbox>
                        <w:txbxContent>
                          <w:p>
                            <w:pPr>
                              <w:rPr>
                                <w:rFonts w:hint="default" w:eastAsia="宋体"/>
                                <w:lang w:val="en-US" w:eastAsia="zh-CN"/>
                              </w:rPr>
                            </w:pPr>
                            <w:r>
                              <w:rPr>
                                <w:rFonts w:hint="eastAsia"/>
                                <w:lang w:val="en-US" w:eastAsia="zh-CN"/>
                              </w:rPr>
                              <w:t>车辆运输</w:t>
                            </w:r>
                          </w:p>
                        </w:txbxContent>
                      </v:textbox>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76835</wp:posOffset>
                      </wp:positionH>
                      <wp:positionV relativeFrom="paragraph">
                        <wp:posOffset>79375</wp:posOffset>
                      </wp:positionV>
                      <wp:extent cx="1965960" cy="462280"/>
                      <wp:effectExtent l="4445" t="4445" r="10795" b="9525"/>
                      <wp:wrapNone/>
                      <wp:docPr id="1" name="文本框 1"/>
                      <wp:cNvGraphicFramePr/>
                      <a:graphic xmlns:a="http://schemas.openxmlformats.org/drawingml/2006/main">
                        <a:graphicData uri="http://schemas.microsoft.com/office/word/2010/wordprocessingShape">
                          <wps:wsp>
                            <wps:cNvSpPr txBox="1"/>
                            <wps:spPr>
                              <a:xfrm>
                                <a:off x="1654810" y="1321435"/>
                                <a:ext cx="1965960" cy="46228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rPr>
                                    <w:t>水泥＋整合剂固化方式</w:t>
                                  </w:r>
                                  <w:r>
                                    <w:t>稳定化</w:t>
                                  </w:r>
                                  <w:r>
                                    <w:rPr>
                                      <w:rFonts w:hint="eastAsia"/>
                                    </w:rPr>
                                    <w:t>处理</w:t>
                                  </w:r>
                                  <w:r>
                                    <w:rPr>
                                      <w:rFonts w:hint="eastAsia"/>
                                      <w:lang w:val="en-US" w:eastAsia="zh-CN"/>
                                    </w:rPr>
                                    <w:t>后的飞灰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5pt;margin-top:6.25pt;height:36.4pt;width:154.8pt;z-index:251666432;mso-width-relative:page;mso-height-relative:page;" fillcolor="#FFFFFF [3201]" filled="t" stroked="t" coordsize="21600,21600" o:gfxdata="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7Z3upNUAAAAIAQAADwAAAAAAAAABACAAAAAiAAAAZHJzL2Rvd25yZXYueG1sUEsBAhQAFAAAAAgA&#10;h07iQHzQ6mZhAgAAxAQAAA4AAAAAAAAAAQAgAAAAJAEAAGRycy9lMm9Eb2MueG1sUEsFBgAAAAAG&#10;AAYAWQEAAPcFAAAAAA==&#10;">
                      <v:fill on="t" focussize="0,0"/>
                      <v:stroke weight="0.5pt" color="#000000 [3213]" joinstyle="round"/>
                      <v:imagedata o:title=""/>
                      <o:lock v:ext="edit" aspectratio="f"/>
                      <v:textbox>
                        <w:txbxContent>
                          <w:p>
                            <w:pPr>
                              <w:jc w:val="center"/>
                              <w:rPr>
                                <w:rFonts w:hint="default" w:eastAsia="宋体"/>
                                <w:lang w:val="en-US" w:eastAsia="zh-CN"/>
                              </w:rPr>
                            </w:pPr>
                            <w:r>
                              <w:rPr>
                                <w:rFonts w:hint="eastAsia"/>
                              </w:rPr>
                              <w:t>水泥＋整合剂固化方式</w:t>
                            </w:r>
                            <w:r>
                              <w:t>稳定化</w:t>
                            </w:r>
                            <w:r>
                              <w:rPr>
                                <w:rFonts w:hint="eastAsia"/>
                              </w:rPr>
                              <w:t>处理</w:t>
                            </w:r>
                            <w:r>
                              <w:rPr>
                                <w:rFonts w:hint="eastAsia"/>
                                <w:lang w:val="en-US" w:eastAsia="zh-CN"/>
                              </w:rPr>
                              <w:t>后的飞灰</w:t>
                            </w:r>
                          </w:p>
                        </w:txbxContent>
                      </v:textbox>
                    </v:shape>
                  </w:pict>
                </mc:Fallback>
              </mc:AlternateContent>
            </w: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4483100</wp:posOffset>
                      </wp:positionH>
                      <wp:positionV relativeFrom="paragraph">
                        <wp:posOffset>149225</wp:posOffset>
                      </wp:positionV>
                      <wp:extent cx="814705" cy="294640"/>
                      <wp:effectExtent l="5080" t="4445" r="18415" b="5715"/>
                      <wp:wrapNone/>
                      <wp:docPr id="10" name="文本框 10"/>
                      <wp:cNvGraphicFramePr/>
                      <a:graphic xmlns:a="http://schemas.openxmlformats.org/drawingml/2006/main">
                        <a:graphicData uri="http://schemas.microsoft.com/office/word/2010/wordprocessingShape">
                          <wps:wsp>
                            <wps:cNvSpPr txBox="1"/>
                            <wps:spPr>
                              <a:xfrm>
                                <a:off x="0" y="0"/>
                                <a:ext cx="814705" cy="29464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入库暂存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pt;margin-top:11.75pt;height:23.2pt;width:64.15pt;z-index:251672576;mso-width-relative:page;mso-height-relative:page;" fillcolor="#FFFFFF [3201]" filled="t" stroked="t" coordsize="21600,21600" o:gfxdata="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vxFes1wAA&#10;AAkBAAAPAAAAAAAAAAEAIAAAACIAAABkcnMvZG93bnJldi54bWxQSwECFAAUAAAACACHTuJAbpSE&#10;RVgCAAC5BAAADgAAAAAAAAABACAAAAAmAQAAZHJzL2Uyb0RvYy54bWxQSwUGAAAAAAYABgBZAQAA&#10;8AUAAAAA&#10;">
                      <v:fill on="t" focussize="0,0"/>
                      <v:stroke weight="0.5pt" color="#000000 [3213]" joinstyle="round"/>
                      <v:imagedata o:title=""/>
                      <o:lock v:ext="edit" aspectratio="f"/>
                      <v:textbox>
                        <w:txbxContent>
                          <w:p>
                            <w:pPr>
                              <w:rPr>
                                <w:rFonts w:hint="default" w:eastAsia="宋体"/>
                                <w:lang w:val="en-US" w:eastAsia="zh-CN"/>
                              </w:rPr>
                            </w:pPr>
                            <w:r>
                              <w:rPr>
                                <w:rFonts w:hint="eastAsia"/>
                                <w:lang w:val="en-US" w:eastAsia="zh-CN"/>
                              </w:rPr>
                              <w:t>入库暂存</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cs="Times New Roman"/>
                <w:b/>
                <w:color w:val="auto"/>
                <w:sz w:val="24"/>
                <w:highlight w:val="none"/>
                <w:lang w:val="en-US" w:eastAsia="zh-CN"/>
              </w:rPr>
            </w:pP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4180840</wp:posOffset>
                      </wp:positionH>
                      <wp:positionV relativeFrom="paragraph">
                        <wp:posOffset>32385</wp:posOffset>
                      </wp:positionV>
                      <wp:extent cx="311785" cy="635"/>
                      <wp:effectExtent l="0" t="50165" r="12065" b="63500"/>
                      <wp:wrapNone/>
                      <wp:docPr id="9" name="直接箭头连接符 9"/>
                      <wp:cNvGraphicFramePr/>
                      <a:graphic xmlns:a="http://schemas.openxmlformats.org/drawingml/2006/main">
                        <a:graphicData uri="http://schemas.microsoft.com/office/word/2010/wordprocessingShape">
                          <wps:wsp>
                            <wps:cNvCnPr/>
                            <wps:spPr>
                              <a:xfrm>
                                <a:off x="0" y="0"/>
                                <a:ext cx="311785" cy="63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9.2pt;margin-top:2.55pt;height:0.05pt;width:24.55pt;z-index:251671552;mso-width-relative:page;mso-height-relative:page;" filled="f" stroked="t" coordsize="21600,21600" o:gfxdata="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pHys/UAAAABwEAAA8AAAAAAAAAAQAgAAAAIgAAAGRycy9k&#10;b3ducmV2LnhtbFBLAQIUABQAAAAIAIdO4kBgxtNdBgIAAOADAAAOAAAAAAAAAAEAIAAAACMBAABk&#10;cnMvZTJvRG9jLnhtbFBLBQYAAAAABgAGAFkBAACbBQAAAAA=&#10;">
                      <v:fill on="f" focussize="0,0"/>
                      <v:stroke weight="1pt" color="#000000 [3213]"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3141980</wp:posOffset>
                      </wp:positionH>
                      <wp:positionV relativeFrom="paragraph">
                        <wp:posOffset>40640</wp:posOffset>
                      </wp:positionV>
                      <wp:extent cx="311785" cy="635"/>
                      <wp:effectExtent l="0" t="50165" r="12065" b="63500"/>
                      <wp:wrapNone/>
                      <wp:docPr id="5" name="直接箭头连接符 5"/>
                      <wp:cNvGraphicFramePr/>
                      <a:graphic xmlns:a="http://schemas.openxmlformats.org/drawingml/2006/main">
                        <a:graphicData uri="http://schemas.microsoft.com/office/word/2010/wordprocessingShape">
                          <wps:wsp>
                            <wps:cNvCnPr/>
                            <wps:spPr>
                              <a:xfrm>
                                <a:off x="0" y="0"/>
                                <a:ext cx="311785" cy="63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7.4pt;margin-top:3.2pt;height:0.05pt;width:24.55pt;z-index:251669504;mso-width-relative:page;mso-height-relative:page;" filled="f" stroked="t" coordsize="21600,21600" o:gfxdata="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4XjBvVAAAABwEAAA8AAAAAAAAAAQAgAAAAIgAAAGRycy9k&#10;b3ducmV2LnhtbFBLAQIUABQAAAAIAIdO4kCXJC6FBQIAAOADAAAOAAAAAAAAAAEAIAAAACQBAABk&#10;cnMvZTJvRG9jLnhtbFBLBQYAAAAABgAGAFkBAACbBQAAAAA=&#10;">
                      <v:fill on="f" focussize="0,0"/>
                      <v:stroke weight="1pt" color="#000000 [3213]"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2058670</wp:posOffset>
                      </wp:positionH>
                      <wp:positionV relativeFrom="paragraph">
                        <wp:posOffset>41275</wp:posOffset>
                      </wp:positionV>
                      <wp:extent cx="311785" cy="635"/>
                      <wp:effectExtent l="0" t="50165" r="12065" b="63500"/>
                      <wp:wrapNone/>
                      <wp:docPr id="4" name="直接箭头连接符 4"/>
                      <wp:cNvGraphicFramePr/>
                      <a:graphic xmlns:a="http://schemas.openxmlformats.org/drawingml/2006/main">
                        <a:graphicData uri="http://schemas.microsoft.com/office/word/2010/wordprocessingShape">
                          <wps:wsp>
                            <wps:cNvCnPr/>
                            <wps:spPr>
                              <a:xfrm>
                                <a:off x="3698875" y="1711325"/>
                                <a:ext cx="311785" cy="63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62.1pt;margin-top:3.25pt;height:0.05pt;width:24.55pt;z-index:251668480;mso-width-relative:page;mso-height-relative:page;" filled="f" stroked="t" coordsize="21600,21600" o:gfxdata="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5VEkc1AAAAAcBAAAPAAAAAAAAAAEA&#10;IAAAACIAAABkcnMvZG93bnJldi54bWxQSwECFAAUAAAACACHTuJAWQmLsBMCAADsAwAADgAAAAAA&#10;AAABACAAAAAjAQAAZHJzL2Uyb0RvYy54bWxQSwUGAAAAAAYABgBZAQAAqAUAAAAA&#10;">
                      <v:fill on="f" focussize="0,0"/>
                      <v:stroke weight="1pt" color="#000000 [3213]" miterlimit="8" joinstyle="miter" endarrow="open"/>
                      <v:imagedata o:title=""/>
                      <o:lock v:ext="edit" aspectratio="f"/>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center"/>
              <w:textAlignment w:val="baseline"/>
              <w:rPr>
                <w:rFonts w:hint="default" w:ascii="Times New Roman" w:hAnsi="Times New Roman" w:cs="Times New Roman"/>
                <w:b/>
                <w:color w:val="auto"/>
                <w:sz w:val="24"/>
                <w:highlight w:val="none"/>
                <w:lang w:val="en-US" w:eastAsia="zh-CN"/>
              </w:rPr>
            </w:pPr>
            <w:r>
              <w:rPr>
                <w:rFonts w:hint="eastAsia" w:cs="Times New Roman"/>
                <w:b/>
                <w:color w:val="auto"/>
                <w:sz w:val="24"/>
                <w:highlight w:val="none"/>
                <w:lang w:val="en-US" w:eastAsia="zh-CN"/>
              </w:rPr>
              <w:t>图2  项目生产工艺流程图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baseline"/>
              <w:rPr>
                <w:rFonts w:hint="eastAsia" w:ascii="Times New Roman" w:hAnsi="Times New Roman" w:cs="Times New Roman"/>
                <w:b/>
                <w:color w:val="auto"/>
                <w:sz w:val="24"/>
                <w:highlight w:val="none"/>
                <w:lang w:eastAsia="zh-CN"/>
              </w:rPr>
            </w:pPr>
            <w:r>
              <w:rPr>
                <w:rFonts w:hint="eastAsia" w:cs="Times New Roman"/>
                <w:b/>
                <w:color w:val="auto"/>
                <w:sz w:val="24"/>
                <w:highlight w:val="none"/>
                <w:lang w:val="en-US" w:eastAsia="zh-CN"/>
              </w:rPr>
              <w:t>3</w:t>
            </w:r>
            <w:r>
              <w:rPr>
                <w:rFonts w:hint="eastAsia" w:ascii="Times New Roman" w:hAnsi="Times New Roman" w:cs="Times New Roman"/>
                <w:b/>
                <w:color w:val="auto"/>
                <w:sz w:val="24"/>
                <w:highlight w:val="none"/>
                <w:lang w:eastAsia="zh-CN"/>
              </w:rPr>
              <w:t>工艺流程简述：</w:t>
            </w:r>
          </w:p>
          <w:p>
            <w:pPr>
              <w:spacing w:line="360" w:lineRule="auto"/>
              <w:ind w:firstLine="480" w:firstLineChars="200"/>
              <w:rPr>
                <w:rFonts w:hint="default" w:ascii="Times New Roman" w:hAnsi="Times New Roman" w:eastAsia="宋体" w:cs="Times New Roman"/>
                <w:color w:val="auto"/>
                <w:sz w:val="24"/>
                <w:szCs w:val="23"/>
                <w:lang w:val="en-US" w:eastAsia="zh-CN"/>
              </w:rPr>
            </w:pPr>
            <w:r>
              <w:rPr>
                <w:rFonts w:hint="eastAsia" w:ascii="Times New Roman" w:hAnsi="Times New Roman" w:cs="Times New Roman"/>
                <w:color w:val="auto"/>
                <w:sz w:val="24"/>
                <w:szCs w:val="23"/>
                <w:lang w:val="en-US" w:eastAsia="zh-CN"/>
              </w:rPr>
              <w:t>本项目</w:t>
            </w:r>
            <w:r>
              <w:rPr>
                <w:rFonts w:hint="eastAsia" w:cs="Times New Roman"/>
                <w:color w:val="auto"/>
                <w:sz w:val="24"/>
                <w:szCs w:val="23"/>
                <w:lang w:val="en-US" w:eastAsia="zh-CN"/>
              </w:rPr>
              <w:t>将</w:t>
            </w:r>
            <w:r>
              <w:rPr>
                <w:rFonts w:hint="eastAsia" w:ascii="Times New Roman" w:hAnsi="Times New Roman" w:eastAsia="宋体" w:cs="Times New Roman"/>
                <w:color w:val="auto"/>
                <w:sz w:val="24"/>
                <w:szCs w:val="24"/>
                <w:lang w:val="en-US" w:eastAsia="zh-CN"/>
              </w:rPr>
              <w:t>鲁山县生活垃圾焚烧发电项目产生</w:t>
            </w:r>
            <w:r>
              <w:rPr>
                <w:rFonts w:hint="eastAsia" w:cs="Times New Roman"/>
                <w:color w:val="auto"/>
                <w:sz w:val="24"/>
                <w:szCs w:val="23"/>
                <w:lang w:val="en-US" w:eastAsia="zh-CN"/>
              </w:rPr>
              <w:t>的飞灰（现有工程飞灰为经</w:t>
            </w:r>
            <w:r>
              <w:rPr>
                <w:rFonts w:hint="eastAsia" w:ascii="Times New Roman" w:hAnsi="Times New Roman" w:eastAsia="宋体" w:cs="Times New Roman"/>
                <w:color w:val="auto"/>
                <w:sz w:val="24"/>
                <w:szCs w:val="23"/>
                <w:lang w:val="en-US" w:eastAsia="zh-CN"/>
              </w:rPr>
              <w:t>水泥＋整合剂固化方式稳定化处理后采用专用袋装打包</w:t>
            </w:r>
            <w:r>
              <w:rPr>
                <w:rFonts w:hint="eastAsia" w:cs="Times New Roman"/>
                <w:color w:val="auto"/>
                <w:sz w:val="24"/>
                <w:szCs w:val="23"/>
                <w:lang w:val="en-US" w:eastAsia="zh-CN"/>
              </w:rPr>
              <w:t>），运输至本项目扩建的飞灰仓库内，该过程产生车辆运输动力起尘G1和装卸过程粉尘G2，且输送和装卸过程产生噪声N1及N2。暂存过程由于飞灰进库之前经过脱硝（采用尿素进行脱硝），未反应完的氨通过活性炭吸附进入了飞灰，因此本项目飞灰库中在暂存过程中会产生氨气G3。</w:t>
            </w:r>
          </w:p>
          <w:p>
            <w:pPr>
              <w:pStyle w:val="94"/>
              <w:keepNext w:val="0"/>
              <w:keepLines w:val="0"/>
              <w:pageBreakBefore w:val="0"/>
              <w:widowControl w:val="0"/>
              <w:kinsoku/>
              <w:wordWrap/>
              <w:overflowPunct/>
              <w:topLinePunct w:val="0"/>
              <w:autoSpaceDE/>
              <w:autoSpaceDN/>
              <w:bidi w:val="0"/>
              <w:adjustRightInd/>
              <w:snapToGrid/>
              <w:ind w:right="0" w:firstLine="482" w:firstLineChars="200"/>
              <w:jc w:val="both"/>
              <w:textAlignment w:val="auto"/>
              <w:rPr>
                <w:rFonts w:hint="eastAsia" w:ascii="Times New Roman" w:hAnsi="Times New Roman" w:cs="Times New Roman"/>
                <w:b/>
                <w:color w:val="auto"/>
                <w:sz w:val="24"/>
                <w:szCs w:val="24"/>
              </w:rPr>
            </w:pPr>
            <w:r>
              <w:rPr>
                <w:rFonts w:hint="eastAsia" w:cs="Times New Roman"/>
                <w:b/>
                <w:color w:val="auto"/>
                <w:sz w:val="24"/>
                <w:szCs w:val="24"/>
                <w:lang w:val="en-US" w:eastAsia="zh-CN"/>
              </w:rPr>
              <w:t>4</w:t>
            </w:r>
            <w:r>
              <w:rPr>
                <w:rFonts w:hint="eastAsia" w:ascii="Times New Roman" w:hAnsi="Times New Roman" w:cs="Times New Roman"/>
                <w:b/>
                <w:color w:val="auto"/>
                <w:sz w:val="24"/>
                <w:szCs w:val="24"/>
              </w:rPr>
              <w:t>产污环节说明：</w:t>
            </w:r>
          </w:p>
          <w:p>
            <w:pPr>
              <w:adjustRightInd w:val="0"/>
              <w:snapToGrid w:val="0"/>
              <w:spacing w:line="520" w:lineRule="exact"/>
              <w:ind w:firstLine="480" w:firstLineChars="200"/>
              <w:rPr>
                <w:rFonts w:hint="eastAsia" w:ascii="Times New Roman" w:hAnsi="Times New Roman" w:cs="Times New Roman"/>
                <w:color w:val="auto"/>
                <w:sz w:val="24"/>
                <w:szCs w:val="23"/>
              </w:rPr>
            </w:pPr>
            <w:r>
              <w:rPr>
                <w:rFonts w:hint="eastAsia" w:ascii="Times New Roman" w:hAnsi="Times New Roman" w:cs="Times New Roman"/>
                <w:color w:val="auto"/>
                <w:sz w:val="24"/>
                <w:szCs w:val="23"/>
              </w:rPr>
              <w:t>项目运营期污染物产生环节详见下表。</w:t>
            </w:r>
          </w:p>
          <w:p>
            <w:pPr>
              <w:spacing w:line="520" w:lineRule="exact"/>
              <w:ind w:firstLine="480" w:firstLineChars="200"/>
              <w:jc w:val="center"/>
              <w:rPr>
                <w:rFonts w:hint="eastAsia" w:hAnsi="黑体" w:eastAsia="黑体"/>
                <w:color w:val="auto"/>
                <w:sz w:val="24"/>
              </w:rPr>
            </w:pPr>
            <w:r>
              <w:rPr>
                <w:rFonts w:hint="eastAsia" w:hAnsi="黑体" w:eastAsia="黑体"/>
                <w:color w:val="auto"/>
                <w:sz w:val="24"/>
                <w:lang w:val="en-US" w:eastAsia="zh-CN"/>
              </w:rPr>
              <w:t xml:space="preserve">表16  </w:t>
            </w:r>
            <w:r>
              <w:rPr>
                <w:rFonts w:hint="eastAsia" w:hAnsi="黑体" w:eastAsia="黑体"/>
                <w:color w:val="auto"/>
                <w:sz w:val="24"/>
              </w:rPr>
              <w:t>运营期污染物产生情况一览表</w:t>
            </w:r>
          </w:p>
          <w:tbl>
            <w:tblPr>
              <w:tblStyle w:val="28"/>
              <w:tblW w:w="841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01"/>
              <w:gridCol w:w="3463"/>
              <w:gridCol w:w="365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4" w:hRule="atLeast"/>
                <w:jc w:val="center"/>
              </w:trPr>
              <w:tc>
                <w:tcPr>
                  <w:tcW w:w="1301" w:type="dxa"/>
                  <w:vAlign w:val="center"/>
                </w:tcPr>
                <w:p>
                  <w:pPr>
                    <w:adjustRightInd w:val="0"/>
                    <w:snapToGrid w:val="0"/>
                    <w:spacing w:line="276" w:lineRule="auto"/>
                    <w:jc w:val="center"/>
                    <w:rPr>
                      <w:rFonts w:hint="eastAsia"/>
                      <w:color w:val="auto"/>
                      <w:szCs w:val="21"/>
                    </w:rPr>
                  </w:pPr>
                  <w:r>
                    <w:rPr>
                      <w:rFonts w:hint="eastAsia"/>
                      <w:color w:val="auto"/>
                      <w:szCs w:val="21"/>
                    </w:rPr>
                    <w:t>污染类型</w:t>
                  </w:r>
                </w:p>
              </w:tc>
              <w:tc>
                <w:tcPr>
                  <w:tcW w:w="3463" w:type="dxa"/>
                  <w:vAlign w:val="center"/>
                </w:tcPr>
                <w:p>
                  <w:pPr>
                    <w:adjustRightInd w:val="0"/>
                    <w:snapToGrid w:val="0"/>
                    <w:spacing w:line="276" w:lineRule="auto"/>
                    <w:jc w:val="center"/>
                    <w:rPr>
                      <w:rFonts w:hint="eastAsia"/>
                      <w:color w:val="auto"/>
                      <w:szCs w:val="21"/>
                    </w:rPr>
                  </w:pPr>
                  <w:r>
                    <w:rPr>
                      <w:rFonts w:hint="eastAsia"/>
                      <w:color w:val="auto"/>
                      <w:szCs w:val="21"/>
                    </w:rPr>
                    <w:t>产污环节</w:t>
                  </w:r>
                </w:p>
              </w:tc>
              <w:tc>
                <w:tcPr>
                  <w:tcW w:w="3655" w:type="dxa"/>
                  <w:vAlign w:val="center"/>
                </w:tcPr>
                <w:p>
                  <w:pPr>
                    <w:adjustRightInd w:val="0"/>
                    <w:snapToGrid w:val="0"/>
                    <w:spacing w:line="276" w:lineRule="auto"/>
                    <w:jc w:val="center"/>
                    <w:rPr>
                      <w:rFonts w:hint="eastAsia"/>
                      <w:color w:val="auto"/>
                      <w:szCs w:val="21"/>
                    </w:rPr>
                  </w:pPr>
                  <w:r>
                    <w:rPr>
                      <w:rFonts w:hint="eastAsia"/>
                      <w:color w:val="auto"/>
                      <w:szCs w:val="21"/>
                    </w:rPr>
                    <w:t>污染因子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4" w:hRule="atLeast"/>
                <w:jc w:val="center"/>
              </w:trPr>
              <w:tc>
                <w:tcPr>
                  <w:tcW w:w="1301" w:type="dxa"/>
                  <w:vMerge w:val="restart"/>
                  <w:vAlign w:val="center"/>
                </w:tcPr>
                <w:p>
                  <w:pPr>
                    <w:adjustRightInd w:val="0"/>
                    <w:snapToGrid w:val="0"/>
                    <w:spacing w:line="276" w:lineRule="auto"/>
                    <w:jc w:val="center"/>
                    <w:rPr>
                      <w:rFonts w:hint="eastAsia" w:eastAsia="宋体"/>
                      <w:color w:val="auto"/>
                      <w:szCs w:val="21"/>
                      <w:lang w:val="en-US" w:eastAsia="zh-CN"/>
                    </w:rPr>
                  </w:pPr>
                  <w:r>
                    <w:rPr>
                      <w:rFonts w:hint="eastAsia"/>
                      <w:color w:val="auto"/>
                      <w:szCs w:val="21"/>
                      <w:lang w:val="en-US" w:eastAsia="zh-CN"/>
                    </w:rPr>
                    <w:t>废气</w:t>
                  </w:r>
                </w:p>
              </w:tc>
              <w:tc>
                <w:tcPr>
                  <w:tcW w:w="3463" w:type="dxa"/>
                  <w:vAlign w:val="center"/>
                </w:tcPr>
                <w:p>
                  <w:pPr>
                    <w:adjustRightInd w:val="0"/>
                    <w:snapToGrid w:val="0"/>
                    <w:spacing w:line="276" w:lineRule="auto"/>
                    <w:jc w:val="center"/>
                    <w:rPr>
                      <w:rFonts w:hint="default" w:eastAsia="宋体"/>
                      <w:color w:val="auto"/>
                      <w:szCs w:val="21"/>
                      <w:lang w:val="en-US" w:eastAsia="zh-CN"/>
                    </w:rPr>
                  </w:pPr>
                  <w:r>
                    <w:rPr>
                      <w:rFonts w:hint="eastAsia"/>
                      <w:color w:val="auto"/>
                      <w:szCs w:val="21"/>
                      <w:lang w:val="en-US" w:eastAsia="zh-CN"/>
                    </w:rPr>
                    <w:t>飞灰</w:t>
                  </w:r>
                  <w:r>
                    <w:rPr>
                      <w:rFonts w:hint="eastAsia" w:eastAsia="宋体"/>
                      <w:color w:val="auto"/>
                      <w:szCs w:val="21"/>
                      <w:lang w:val="en-US" w:eastAsia="zh-CN"/>
                    </w:rPr>
                    <w:t>运输</w:t>
                  </w:r>
                </w:p>
              </w:tc>
              <w:tc>
                <w:tcPr>
                  <w:tcW w:w="3655" w:type="dxa"/>
                  <w:vAlign w:val="center"/>
                </w:tcPr>
                <w:p>
                  <w:pPr>
                    <w:adjustRightInd w:val="0"/>
                    <w:snapToGrid w:val="0"/>
                    <w:spacing w:line="276" w:lineRule="auto"/>
                    <w:jc w:val="center"/>
                    <w:rPr>
                      <w:rFonts w:hint="eastAsia" w:eastAsia="宋体"/>
                      <w:color w:val="auto"/>
                      <w:szCs w:val="21"/>
                      <w:lang w:val="en-US" w:eastAsia="zh-CN"/>
                    </w:rPr>
                  </w:pPr>
                  <w:r>
                    <w:rPr>
                      <w:rFonts w:hint="eastAsia"/>
                      <w:color w:val="auto"/>
                      <w:szCs w:val="21"/>
                      <w:lang w:val="en-US" w:eastAsia="zh-CN"/>
                    </w:rPr>
                    <w:t>颗粒物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4" w:hRule="atLeast"/>
                <w:jc w:val="center"/>
              </w:trPr>
              <w:tc>
                <w:tcPr>
                  <w:tcW w:w="1301" w:type="dxa"/>
                  <w:vMerge w:val="continue"/>
                  <w:vAlign w:val="center"/>
                </w:tcPr>
                <w:p>
                  <w:pPr>
                    <w:adjustRightInd w:val="0"/>
                    <w:snapToGrid w:val="0"/>
                    <w:spacing w:line="276" w:lineRule="auto"/>
                    <w:jc w:val="center"/>
                    <w:rPr>
                      <w:rFonts w:hint="eastAsia"/>
                      <w:color w:val="auto"/>
                      <w:szCs w:val="21"/>
                    </w:rPr>
                  </w:pPr>
                </w:p>
              </w:tc>
              <w:tc>
                <w:tcPr>
                  <w:tcW w:w="3463" w:type="dxa"/>
                  <w:vAlign w:val="center"/>
                </w:tcPr>
                <w:p>
                  <w:pPr>
                    <w:adjustRightInd w:val="0"/>
                    <w:snapToGrid w:val="0"/>
                    <w:spacing w:line="276" w:lineRule="auto"/>
                    <w:jc w:val="center"/>
                    <w:rPr>
                      <w:rFonts w:hint="default"/>
                      <w:color w:val="auto"/>
                      <w:szCs w:val="21"/>
                      <w:lang w:val="en-US" w:eastAsia="zh-CN"/>
                    </w:rPr>
                  </w:pPr>
                  <w:r>
                    <w:rPr>
                      <w:rFonts w:hint="eastAsia"/>
                      <w:color w:val="auto"/>
                      <w:szCs w:val="21"/>
                      <w:lang w:val="en-US" w:eastAsia="zh-CN"/>
                    </w:rPr>
                    <w:t>飞灰装卸</w:t>
                  </w:r>
                </w:p>
              </w:tc>
              <w:tc>
                <w:tcPr>
                  <w:tcW w:w="3655" w:type="dxa"/>
                  <w:vAlign w:val="center"/>
                </w:tcPr>
                <w:p>
                  <w:pPr>
                    <w:spacing w:line="276" w:lineRule="auto"/>
                    <w:jc w:val="center"/>
                    <w:rPr>
                      <w:rFonts w:hint="default"/>
                      <w:color w:val="auto"/>
                      <w:szCs w:val="21"/>
                      <w:u w:val="single"/>
                      <w:lang w:val="en-US" w:eastAsia="zh-CN"/>
                    </w:rPr>
                  </w:pPr>
                  <w:r>
                    <w:rPr>
                      <w:rFonts w:hint="eastAsia"/>
                      <w:color w:val="auto"/>
                      <w:szCs w:val="21"/>
                      <w:lang w:val="en-US" w:eastAsia="zh-CN"/>
                    </w:rPr>
                    <w:t>颗粒物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4" w:hRule="atLeast"/>
                <w:jc w:val="center"/>
              </w:trPr>
              <w:tc>
                <w:tcPr>
                  <w:tcW w:w="1301" w:type="dxa"/>
                  <w:vMerge w:val="continue"/>
                  <w:vAlign w:val="center"/>
                </w:tcPr>
                <w:p>
                  <w:pPr>
                    <w:adjustRightInd w:val="0"/>
                    <w:snapToGrid w:val="0"/>
                    <w:spacing w:line="276" w:lineRule="auto"/>
                    <w:jc w:val="center"/>
                    <w:rPr>
                      <w:rFonts w:hint="eastAsia"/>
                      <w:color w:val="auto"/>
                      <w:szCs w:val="21"/>
                    </w:rPr>
                  </w:pPr>
                </w:p>
              </w:tc>
              <w:tc>
                <w:tcPr>
                  <w:tcW w:w="3463" w:type="dxa"/>
                  <w:vAlign w:val="center"/>
                </w:tcPr>
                <w:p>
                  <w:pPr>
                    <w:adjustRightInd w:val="0"/>
                    <w:snapToGrid w:val="0"/>
                    <w:spacing w:line="276" w:lineRule="auto"/>
                    <w:jc w:val="center"/>
                    <w:rPr>
                      <w:rFonts w:hint="default"/>
                      <w:color w:val="auto"/>
                      <w:szCs w:val="21"/>
                      <w:lang w:val="en-US" w:eastAsia="zh-CN"/>
                    </w:rPr>
                  </w:pPr>
                  <w:r>
                    <w:rPr>
                      <w:rFonts w:hint="eastAsia"/>
                      <w:color w:val="auto"/>
                      <w:szCs w:val="21"/>
                      <w:lang w:val="en-US" w:eastAsia="zh-CN"/>
                    </w:rPr>
                    <w:t>飞灰暂存</w:t>
                  </w:r>
                </w:p>
              </w:tc>
              <w:tc>
                <w:tcPr>
                  <w:tcW w:w="3655" w:type="dxa"/>
                  <w:vAlign w:val="center"/>
                </w:tcPr>
                <w:p>
                  <w:pPr>
                    <w:spacing w:line="276" w:lineRule="auto"/>
                    <w:jc w:val="center"/>
                    <w:rPr>
                      <w:rFonts w:hint="default"/>
                      <w:color w:val="auto"/>
                      <w:szCs w:val="21"/>
                      <w:lang w:val="en-US" w:eastAsia="zh-CN"/>
                    </w:rPr>
                  </w:pPr>
                  <w:r>
                    <w:rPr>
                      <w:rFonts w:hint="eastAsia"/>
                      <w:color w:val="auto"/>
                      <w:szCs w:val="21"/>
                      <w:lang w:val="en-US" w:eastAsia="zh-CN"/>
                    </w:rPr>
                    <w:t>氨气</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1" w:hRule="atLeast"/>
                <w:jc w:val="center"/>
              </w:trPr>
              <w:tc>
                <w:tcPr>
                  <w:tcW w:w="1301" w:type="dxa"/>
                  <w:vAlign w:val="center"/>
                </w:tcPr>
                <w:p>
                  <w:pPr>
                    <w:adjustRightInd w:val="0"/>
                    <w:snapToGrid w:val="0"/>
                    <w:spacing w:line="276" w:lineRule="auto"/>
                    <w:jc w:val="center"/>
                    <w:rPr>
                      <w:rFonts w:hint="eastAsia"/>
                      <w:color w:val="auto"/>
                      <w:szCs w:val="21"/>
                    </w:rPr>
                  </w:pPr>
                  <w:r>
                    <w:rPr>
                      <w:rFonts w:hint="eastAsia"/>
                      <w:color w:val="auto"/>
                      <w:szCs w:val="21"/>
                    </w:rPr>
                    <w:t>废水</w:t>
                  </w:r>
                </w:p>
              </w:tc>
              <w:tc>
                <w:tcPr>
                  <w:tcW w:w="7118" w:type="dxa"/>
                  <w:gridSpan w:val="2"/>
                  <w:vAlign w:val="center"/>
                </w:tcPr>
                <w:p>
                  <w:pPr>
                    <w:adjustRightInd w:val="0"/>
                    <w:snapToGrid w:val="0"/>
                    <w:spacing w:line="276" w:lineRule="auto"/>
                    <w:jc w:val="center"/>
                    <w:rPr>
                      <w:rFonts w:hint="eastAsia" w:eastAsia="宋体"/>
                      <w:color w:val="auto"/>
                      <w:szCs w:val="21"/>
                      <w:u w:val="single"/>
                      <w:lang w:val="en-US" w:eastAsia="zh-CN"/>
                    </w:rPr>
                  </w:pPr>
                  <w:r>
                    <w:rPr>
                      <w:rFonts w:hint="eastAsia"/>
                      <w:color w:val="auto"/>
                      <w:szCs w:val="21"/>
                      <w:u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4" w:hRule="atLeast"/>
                <w:jc w:val="center"/>
              </w:trPr>
              <w:tc>
                <w:tcPr>
                  <w:tcW w:w="1301" w:type="dxa"/>
                  <w:vAlign w:val="center"/>
                </w:tcPr>
                <w:p>
                  <w:pPr>
                    <w:adjustRightInd w:val="0"/>
                    <w:snapToGrid w:val="0"/>
                    <w:spacing w:line="276" w:lineRule="auto"/>
                    <w:jc w:val="center"/>
                    <w:rPr>
                      <w:rFonts w:hint="eastAsia"/>
                      <w:color w:val="auto"/>
                      <w:szCs w:val="21"/>
                    </w:rPr>
                  </w:pPr>
                  <w:r>
                    <w:rPr>
                      <w:rFonts w:hint="eastAsia"/>
                      <w:color w:val="auto"/>
                      <w:szCs w:val="21"/>
                    </w:rPr>
                    <w:t>噪声</w:t>
                  </w:r>
                </w:p>
              </w:tc>
              <w:tc>
                <w:tcPr>
                  <w:tcW w:w="3463" w:type="dxa"/>
                  <w:vAlign w:val="center"/>
                </w:tcPr>
                <w:p>
                  <w:pPr>
                    <w:adjustRightInd w:val="0"/>
                    <w:snapToGrid w:val="0"/>
                    <w:spacing w:line="276" w:lineRule="auto"/>
                    <w:jc w:val="center"/>
                    <w:rPr>
                      <w:rFonts w:hint="eastAsia"/>
                      <w:color w:val="auto"/>
                      <w:szCs w:val="21"/>
                    </w:rPr>
                  </w:pPr>
                  <w:r>
                    <w:rPr>
                      <w:rFonts w:hint="eastAsia"/>
                      <w:color w:val="auto"/>
                      <w:szCs w:val="21"/>
                    </w:rPr>
                    <w:t>设备运行</w:t>
                  </w:r>
                </w:p>
              </w:tc>
              <w:tc>
                <w:tcPr>
                  <w:tcW w:w="3655" w:type="dxa"/>
                  <w:vAlign w:val="center"/>
                </w:tcPr>
                <w:p>
                  <w:pPr>
                    <w:adjustRightInd w:val="0"/>
                    <w:snapToGrid w:val="0"/>
                    <w:spacing w:line="276" w:lineRule="auto"/>
                    <w:jc w:val="center"/>
                    <w:rPr>
                      <w:rFonts w:hint="eastAsia"/>
                      <w:color w:val="auto"/>
                      <w:szCs w:val="21"/>
                    </w:rPr>
                  </w:pPr>
                  <w:r>
                    <w:rPr>
                      <w:rFonts w:hint="eastAsia" w:ascii="Times New Roman" w:hAnsi="Times New Roman" w:eastAsia="宋体" w:cs="Times New Roman"/>
                      <w:color w:val="auto"/>
                      <w:szCs w:val="21"/>
                      <w:lang w:val="en-US" w:eastAsia="zh-CN"/>
                    </w:rPr>
                    <w:t>设备</w:t>
                  </w:r>
                  <w:r>
                    <w:rPr>
                      <w:rFonts w:hint="eastAsia"/>
                      <w:color w:val="auto"/>
                      <w:szCs w:val="21"/>
                    </w:rPr>
                    <w:t>噪声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3" w:hRule="atLeast"/>
                <w:jc w:val="center"/>
              </w:trPr>
              <w:tc>
                <w:tcPr>
                  <w:tcW w:w="1301" w:type="dxa"/>
                  <w:vAlign w:val="center"/>
                </w:tcPr>
                <w:p>
                  <w:pPr>
                    <w:adjustRightInd w:val="0"/>
                    <w:snapToGrid w:val="0"/>
                    <w:spacing w:line="276" w:lineRule="auto"/>
                    <w:jc w:val="center"/>
                    <w:rPr>
                      <w:rFonts w:hint="default" w:eastAsia="宋体"/>
                      <w:color w:val="auto"/>
                      <w:szCs w:val="21"/>
                      <w:lang w:val="en-US" w:eastAsia="zh-CN"/>
                    </w:rPr>
                  </w:pPr>
                  <w:r>
                    <w:rPr>
                      <w:rFonts w:hint="eastAsia"/>
                      <w:color w:val="auto"/>
                      <w:szCs w:val="21"/>
                      <w:lang w:val="en-US" w:eastAsia="zh-CN"/>
                    </w:rPr>
                    <w:t>固废</w:t>
                  </w:r>
                </w:p>
              </w:tc>
              <w:tc>
                <w:tcPr>
                  <w:tcW w:w="7118" w:type="dxa"/>
                  <w:gridSpan w:val="2"/>
                  <w:vAlign w:val="center"/>
                </w:tcPr>
                <w:p>
                  <w:pPr>
                    <w:adjustRightInd w:val="0"/>
                    <w:snapToGrid w:val="0"/>
                    <w:spacing w:line="276" w:lineRule="auto"/>
                    <w:jc w:val="center"/>
                    <w:rPr>
                      <w:rFonts w:hint="eastAsia" w:ascii="Times New Roman" w:hAnsi="Times New Roman" w:eastAsia="宋体" w:cs="Times New Roman"/>
                      <w:color w:val="auto"/>
                      <w:szCs w:val="21"/>
                      <w:lang w:val="en-US" w:eastAsia="zh-CN"/>
                    </w:rPr>
                  </w:pPr>
                  <w:r>
                    <w:rPr>
                      <w:rFonts w:hint="eastAsia"/>
                      <w:color w:val="auto"/>
                      <w:szCs w:val="21"/>
                      <w:u w:val="none"/>
                      <w:lang w:val="en-US" w:eastAsia="zh-CN"/>
                    </w:rPr>
                    <w:t>/</w:t>
                  </w:r>
                </w:p>
              </w:tc>
            </w:tr>
          </w:tbl>
          <w:p>
            <w:pPr>
              <w:adjustRightInd w:val="0"/>
              <w:snapToGrid w:val="0"/>
              <w:spacing w:line="520" w:lineRule="exact"/>
              <w:ind w:firstLine="480" w:firstLineChars="200"/>
              <w:rPr>
                <w:rFonts w:ascii="Times New Roman" w:hAnsi="Times New Roman" w:cs="Times New Roman"/>
                <w:bCs/>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6" w:type="pct"/>
            <w:vAlign w:val="center"/>
          </w:tcPr>
          <w:p>
            <w:pPr>
              <w:spacing w:line="400" w:lineRule="exact"/>
              <w:jc w:val="center"/>
              <w:rPr>
                <w:rFonts w:ascii="Times New Roman" w:hAnsi="Times New Roman" w:cs="Times New Roman"/>
                <w:b/>
                <w:bCs/>
                <w:color w:val="auto"/>
                <w:sz w:val="28"/>
                <w:szCs w:val="28"/>
              </w:rPr>
            </w:pPr>
            <w:r>
              <w:rPr>
                <w:rFonts w:hint="eastAsia" w:ascii="Times New Roman" w:hAnsi="Times New Roman" w:cs="Times New Roman"/>
                <w:b/>
                <w:bCs/>
                <w:color w:val="auto"/>
                <w:sz w:val="24"/>
                <w:highlight w:val="none"/>
              </w:rPr>
              <w:t>与项目有关的原有环境污染问题</w:t>
            </w:r>
          </w:p>
        </w:tc>
        <w:tc>
          <w:tcPr>
            <w:tcW w:w="4603" w:type="pct"/>
          </w:tcPr>
          <w:p>
            <w:pPr>
              <w:pStyle w:val="94"/>
              <w:spacing w:line="520" w:lineRule="exact"/>
              <w:ind w:firstLine="482" w:firstLineChars="200"/>
              <w:jc w:val="both"/>
              <w:rPr>
                <w:rFonts w:hint="eastAsia" w:ascii="Times New Roman" w:hAnsi="Times New Roman" w:eastAsia="宋体" w:cs="Times New Roman"/>
                <w:b/>
                <w:color w:val="auto"/>
                <w:kern w:val="2"/>
                <w:sz w:val="24"/>
                <w:szCs w:val="20"/>
                <w:highlight w:val="none"/>
                <w:lang w:val="en-US" w:eastAsia="zh-CN" w:bidi="ar-SA"/>
              </w:rPr>
            </w:pPr>
            <w:r>
              <w:rPr>
                <w:rFonts w:hint="eastAsia" w:cs="Times New Roman"/>
                <w:b/>
                <w:color w:val="auto"/>
                <w:kern w:val="2"/>
                <w:sz w:val="24"/>
                <w:szCs w:val="20"/>
                <w:highlight w:val="none"/>
                <w:lang w:val="en-US" w:eastAsia="zh-CN" w:bidi="ar-SA"/>
              </w:rPr>
              <w:t xml:space="preserve">1 </w:t>
            </w:r>
            <w:r>
              <w:rPr>
                <w:rFonts w:hint="eastAsia" w:ascii="Times New Roman" w:hAnsi="Times New Roman" w:eastAsia="宋体" w:cs="Times New Roman"/>
                <w:b/>
                <w:color w:val="auto"/>
                <w:kern w:val="2"/>
                <w:sz w:val="24"/>
                <w:szCs w:val="20"/>
                <w:highlight w:val="none"/>
                <w:lang w:val="en-US" w:eastAsia="zh-CN" w:bidi="ar-SA"/>
              </w:rPr>
              <w:t>现有工程概况</w:t>
            </w:r>
          </w:p>
          <w:p>
            <w:pPr>
              <w:pStyle w:val="94"/>
              <w:spacing w:line="520" w:lineRule="exact"/>
              <w:ind w:firstLine="482" w:firstLineChars="200"/>
              <w:jc w:val="both"/>
              <w:rPr>
                <w:rFonts w:hint="eastAsia" w:ascii="Times New Roman" w:hAnsi="Times New Roman" w:eastAsia="宋体" w:cs="Times New Roman"/>
                <w:b/>
                <w:color w:val="auto"/>
                <w:kern w:val="2"/>
                <w:sz w:val="24"/>
                <w:szCs w:val="20"/>
                <w:highlight w:val="none"/>
                <w:lang w:val="en-US" w:eastAsia="zh-CN" w:bidi="ar-SA"/>
              </w:rPr>
            </w:pPr>
            <w:r>
              <w:rPr>
                <w:rFonts w:hint="eastAsia" w:ascii="Times New Roman" w:hAnsi="Times New Roman" w:eastAsia="宋体" w:cs="Times New Roman"/>
                <w:b/>
                <w:color w:val="auto"/>
                <w:kern w:val="2"/>
                <w:sz w:val="24"/>
                <w:szCs w:val="20"/>
                <w:highlight w:val="none"/>
                <w:lang w:val="en-US" w:eastAsia="zh-CN" w:bidi="ar-SA"/>
              </w:rPr>
              <w:t>1</w:t>
            </w:r>
            <w:r>
              <w:rPr>
                <w:rFonts w:hint="eastAsia" w:cs="Times New Roman"/>
                <w:b/>
                <w:color w:val="auto"/>
                <w:kern w:val="2"/>
                <w:sz w:val="24"/>
                <w:szCs w:val="20"/>
                <w:highlight w:val="none"/>
                <w:lang w:val="en-US" w:eastAsia="zh-CN" w:bidi="ar-SA"/>
              </w:rPr>
              <w:t>.1</w:t>
            </w:r>
            <w:r>
              <w:rPr>
                <w:rFonts w:hint="eastAsia" w:ascii="Times New Roman" w:hAnsi="Times New Roman" w:eastAsia="宋体" w:cs="Times New Roman"/>
                <w:b/>
                <w:color w:val="auto"/>
                <w:kern w:val="2"/>
                <w:sz w:val="24"/>
                <w:szCs w:val="20"/>
                <w:highlight w:val="none"/>
                <w:lang w:val="en-US" w:eastAsia="zh-CN" w:bidi="ar-SA"/>
              </w:rPr>
              <w:t>现有工程基本情况</w:t>
            </w:r>
          </w:p>
          <w:p>
            <w:pPr>
              <w:spacing w:line="500" w:lineRule="exact"/>
              <w:ind w:firstLine="480" w:firstLineChars="200"/>
              <w:rPr>
                <w:rFonts w:hint="eastAsia" w:ascii="Times New Roman" w:hAnsi="Times New Roman" w:eastAsia="宋体" w:cs="Times New Roman"/>
                <w:bCs/>
                <w:color w:val="auto"/>
                <w:kern w:val="2"/>
                <w:sz w:val="24"/>
                <w:szCs w:val="20"/>
                <w:highlight w:val="none"/>
                <w:lang w:val="en-US" w:eastAsia="zh-CN" w:bidi="ar-SA"/>
              </w:rPr>
            </w:pPr>
            <w:r>
              <w:rPr>
                <w:rFonts w:hint="eastAsia" w:ascii="Times New Roman" w:hAnsi="Times New Roman" w:eastAsia="宋体" w:cs="Times New Roman"/>
                <w:bCs/>
                <w:color w:val="auto"/>
                <w:kern w:val="2"/>
                <w:sz w:val="24"/>
                <w:szCs w:val="20"/>
                <w:highlight w:val="none"/>
                <w:lang w:val="en-US" w:eastAsia="zh-CN" w:bidi="ar-SA"/>
              </w:rPr>
              <w:t>鲁山首创环保能源有限公司承建并运营的鲁山县生活垃圾焚烧发电项目位于鲁山县张良镇郭沟村西侧鲁山县静脉产业园内，主要建设内容包括1台600t/d机械炉排炉、1台余热锅炉、1条12MW汽轮发电机组，同步建设除尘、脱硫、脱硝系统等环保工程，配套建设物料储运、飞灰稳定化、供水供电、污水处理、固废处理等公用及辅助设施，建设规模为日处理垃圾600t，年发电量为7.79×107kW•h。本项目不包括垃圾转运及运输系统的建设。项目总投资34025.98万元，其中环保投资为5275万元，占总投资的15.5%。项目于2018年11月由南京国环科技股份有限公司编制完成环境影响报告书，平顶山市环境保护局于2019年1月28日以平环审[2019]5号予以批复。项目于2019年2月开工建设，2021年9月建设完成开始试生产，主要环保设施已与主体工程同时建成并投入运行。本项目2021年9月13日取得由平顶山市生态环境局颁发的排污许可证，证书编号：91410423MA44825C7J</w:t>
            </w:r>
            <w:r>
              <w:rPr>
                <w:rFonts w:hint="eastAsia" w:cs="Times New Roman"/>
                <w:bCs/>
                <w:color w:val="auto"/>
                <w:kern w:val="2"/>
                <w:sz w:val="24"/>
                <w:szCs w:val="20"/>
                <w:highlight w:val="none"/>
                <w:lang w:val="en-US" w:eastAsia="zh-CN" w:bidi="ar-SA"/>
              </w:rPr>
              <w:t>（见附件6）</w:t>
            </w:r>
            <w:r>
              <w:rPr>
                <w:rFonts w:hint="eastAsia" w:ascii="Times New Roman" w:hAnsi="Times New Roman" w:eastAsia="宋体" w:cs="Times New Roman"/>
                <w:bCs/>
                <w:color w:val="auto"/>
                <w:kern w:val="2"/>
                <w:sz w:val="24"/>
                <w:szCs w:val="20"/>
                <w:highlight w:val="none"/>
                <w:lang w:val="en-US" w:eastAsia="zh-CN" w:bidi="ar-SA"/>
              </w:rPr>
              <w:t>。</w:t>
            </w:r>
          </w:p>
          <w:p>
            <w:pPr>
              <w:pStyle w:val="14"/>
              <w:adjustRightInd w:val="0"/>
              <w:snapToGrid w:val="0"/>
              <w:spacing w:after="0" w:line="520" w:lineRule="exact"/>
              <w:ind w:left="0" w:leftChars="0" w:firstLine="480" w:firstLineChars="200"/>
              <w:jc w:val="left"/>
              <w:rPr>
                <w:rFonts w:hint="default"/>
                <w:color w:val="auto"/>
                <w:sz w:val="24"/>
                <w:highlight w:val="none"/>
                <w:lang w:val="en-US" w:eastAsia="zh-CN"/>
              </w:rPr>
            </w:pPr>
            <w:r>
              <w:rPr>
                <w:rFonts w:hint="eastAsia" w:ascii="Times New Roman" w:hAnsi="Times New Roman" w:eastAsia="宋体" w:cs="Times New Roman"/>
                <w:bCs/>
                <w:color w:val="auto"/>
                <w:kern w:val="2"/>
                <w:sz w:val="24"/>
                <w:szCs w:val="20"/>
                <w:highlight w:val="none"/>
                <w:lang w:val="en-US" w:eastAsia="zh-CN" w:bidi="ar-SA"/>
              </w:rPr>
              <w:t>受鲁山首创环保能源有限公司委托，平顶山市中环环保科技有限公司负责本项目的竣工环境保护验收工作。平顶山市中环环保科技有限公司于2021年8月进行了现场勘查和资料收集，委托河南永飞检测科技技术有限公司和江苏格林勒斯检测科技有限公司对废气、废水、固废、噪声、地下水、环境空气、土壤环境等进行监测。编制完成了《鲁山首创环保能源有限公司鲁山县生活垃圾焚烧发电项目竣工环境保护验收监测报告》</w:t>
            </w:r>
            <w:r>
              <w:rPr>
                <w:rFonts w:hint="eastAsia" w:cs="Times New Roman"/>
                <w:bCs/>
                <w:color w:val="auto"/>
                <w:kern w:val="2"/>
                <w:sz w:val="24"/>
                <w:szCs w:val="20"/>
                <w:highlight w:val="none"/>
                <w:lang w:val="en-US" w:eastAsia="zh-CN" w:bidi="ar-SA"/>
              </w:rPr>
              <w:t>，并于</w:t>
            </w:r>
            <w:r>
              <w:rPr>
                <w:rFonts w:hint="eastAsia"/>
                <w:color w:val="auto"/>
                <w:szCs w:val="21"/>
                <w:highlight w:val="none"/>
                <w:lang w:val="en-US" w:eastAsia="zh-CN"/>
              </w:rPr>
              <w:t>2022年1月通过环保验收（见附件4）</w:t>
            </w:r>
            <w:r>
              <w:rPr>
                <w:rFonts w:hint="eastAsia"/>
                <w:color w:val="auto"/>
                <w:sz w:val="24"/>
                <w:highlight w:val="none"/>
                <w:lang w:val="en-US" w:eastAsia="zh-CN"/>
              </w:rPr>
              <w:t>；</w:t>
            </w:r>
          </w:p>
          <w:p>
            <w:pPr>
              <w:pStyle w:val="14"/>
              <w:adjustRightInd w:val="0"/>
              <w:snapToGrid w:val="0"/>
              <w:spacing w:after="0" w:line="520" w:lineRule="exact"/>
              <w:ind w:left="0" w:leftChars="0" w:firstLine="480" w:firstLineChars="200"/>
              <w:jc w:val="left"/>
              <w:rPr>
                <w:rFonts w:hint="eastAsia" w:ascii="Times New Roman" w:hAnsi="Times New Roman" w:eastAsia="宋体" w:cs="Times New Roman"/>
                <w:color w:val="auto"/>
                <w:sz w:val="24"/>
                <w:highlight w:val="none"/>
                <w:lang w:eastAsia="zh-CN"/>
              </w:rPr>
            </w:pPr>
            <w:r>
              <w:rPr>
                <w:rFonts w:hint="eastAsia"/>
                <w:bCs/>
                <w:color w:val="auto"/>
                <w:kern w:val="2"/>
                <w:sz w:val="24"/>
                <w:highlight w:val="none"/>
                <w:lang w:eastAsia="zh-CN"/>
              </w:rPr>
              <w:t>根据</w:t>
            </w:r>
            <w:r>
              <w:rPr>
                <w:rFonts w:hint="eastAsia"/>
                <w:color w:val="auto"/>
                <w:sz w:val="24"/>
                <w:highlight w:val="none"/>
                <w:lang w:val="en-US" w:eastAsia="zh-CN"/>
              </w:rPr>
              <w:t>《</w:t>
            </w:r>
            <w:r>
              <w:rPr>
                <w:rFonts w:hint="eastAsia" w:ascii="Times New Roman" w:hAnsi="Times New Roman" w:eastAsia="宋体" w:cs="Times New Roman"/>
                <w:bCs/>
                <w:color w:val="auto"/>
                <w:kern w:val="2"/>
                <w:sz w:val="24"/>
                <w:szCs w:val="20"/>
                <w:highlight w:val="none"/>
                <w:lang w:val="en-US" w:eastAsia="zh-CN" w:bidi="ar-SA"/>
              </w:rPr>
              <w:t>鲁山首创环保能源有限公司鲁山县生活垃圾焚烧发电项目</w:t>
            </w:r>
            <w:r>
              <w:rPr>
                <w:rFonts w:hint="eastAsia"/>
                <w:bCs/>
                <w:color w:val="auto"/>
                <w:kern w:val="2"/>
                <w:sz w:val="24"/>
                <w:highlight w:val="none"/>
                <w:lang w:eastAsia="zh-CN"/>
              </w:rPr>
              <w:t>竣工环境保护验收监测报告</w:t>
            </w:r>
            <w:r>
              <w:rPr>
                <w:rFonts w:hint="eastAsia"/>
                <w:bCs/>
                <w:color w:val="auto"/>
                <w:kern w:val="2"/>
                <w:sz w:val="24"/>
                <w:highlight w:val="none"/>
                <w:lang w:val="en-US" w:eastAsia="zh-CN"/>
              </w:rPr>
              <w:t>》</w:t>
            </w:r>
            <w:r>
              <w:rPr>
                <w:rFonts w:hint="eastAsia"/>
                <w:bCs/>
                <w:color w:val="auto"/>
                <w:kern w:val="2"/>
                <w:sz w:val="24"/>
                <w:highlight w:val="none"/>
                <w:lang w:eastAsia="zh-CN"/>
              </w:rPr>
              <w:t>以及现状实际生产运营情况，</w:t>
            </w:r>
            <w:r>
              <w:rPr>
                <w:rFonts w:hint="eastAsia" w:ascii="Times New Roman" w:hAnsi="Times New Roman" w:eastAsia="宋体" w:cs="Times New Roman"/>
                <w:color w:val="auto"/>
                <w:sz w:val="24"/>
                <w:highlight w:val="none"/>
                <w:lang w:val="en-US" w:eastAsia="zh-CN"/>
              </w:rPr>
              <w:t>公司基本情况如下表：</w:t>
            </w:r>
            <w:r>
              <w:rPr>
                <w:rFonts w:hint="eastAsia" w:ascii="Times New Roman" w:hAnsi="Times New Roman" w:eastAsia="宋体" w:cs="Times New Roman"/>
                <w:color w:val="auto"/>
                <w:sz w:val="24"/>
                <w:highlight w:val="none"/>
                <w:lang w:eastAsia="zh-CN"/>
              </w:rPr>
              <w:t xml:space="preserve"> </w:t>
            </w:r>
          </w:p>
          <w:p>
            <w:pPr>
              <w:pStyle w:val="94"/>
              <w:spacing w:line="520" w:lineRule="exact"/>
              <w:jc w:val="center"/>
              <w:rPr>
                <w:rFonts w:hint="default" w:ascii="Times New Roman" w:hAnsi="黑体" w:eastAsia="黑体" w:cs="Times New Roman"/>
                <w:color w:val="auto"/>
                <w:kern w:val="2"/>
                <w:sz w:val="24"/>
                <w:szCs w:val="20"/>
                <w:lang w:val="en-US" w:eastAsia="zh-CN" w:bidi="ar-SA"/>
              </w:rPr>
            </w:pPr>
            <w:r>
              <w:rPr>
                <w:rFonts w:hint="default" w:ascii="Times New Roman" w:hAnsi="黑体" w:eastAsia="黑体" w:cs="Times New Roman"/>
                <w:color w:val="auto"/>
                <w:kern w:val="2"/>
                <w:sz w:val="24"/>
                <w:szCs w:val="20"/>
                <w:lang w:val="en-US" w:eastAsia="zh-CN" w:bidi="ar-SA"/>
              </w:rPr>
              <w:t>表</w:t>
            </w:r>
            <w:r>
              <w:rPr>
                <w:rFonts w:hint="eastAsia" w:hAnsi="黑体" w:eastAsia="黑体" w:cs="Times New Roman"/>
                <w:color w:val="auto"/>
                <w:kern w:val="2"/>
                <w:sz w:val="24"/>
                <w:szCs w:val="20"/>
                <w:lang w:val="en-US" w:eastAsia="zh-CN" w:bidi="ar-SA"/>
              </w:rPr>
              <w:t>17</w:t>
            </w:r>
            <w:r>
              <w:rPr>
                <w:rFonts w:hint="default" w:ascii="Times New Roman" w:hAnsi="黑体" w:eastAsia="黑体" w:cs="Times New Roman"/>
                <w:color w:val="auto"/>
                <w:kern w:val="2"/>
                <w:sz w:val="24"/>
                <w:szCs w:val="20"/>
                <w:lang w:val="en-US" w:eastAsia="zh-CN" w:bidi="ar-SA"/>
              </w:rPr>
              <w:t xml:space="preserve">              </w:t>
            </w:r>
            <w:r>
              <w:rPr>
                <w:rFonts w:hint="eastAsia" w:ascii="Times New Roman" w:hAnsi="黑体" w:eastAsia="黑体" w:cs="Times New Roman"/>
                <w:color w:val="auto"/>
                <w:kern w:val="2"/>
                <w:sz w:val="24"/>
                <w:szCs w:val="20"/>
                <w:lang w:val="en-US" w:eastAsia="zh-CN" w:bidi="ar-SA"/>
              </w:rPr>
              <w:t>公司</w:t>
            </w:r>
            <w:r>
              <w:rPr>
                <w:rFonts w:hint="default" w:ascii="Times New Roman" w:hAnsi="黑体" w:eastAsia="黑体" w:cs="Times New Roman"/>
                <w:color w:val="auto"/>
                <w:kern w:val="2"/>
                <w:sz w:val="24"/>
                <w:szCs w:val="20"/>
                <w:lang w:val="en-US" w:eastAsia="zh-CN" w:bidi="ar-SA"/>
              </w:rPr>
              <w:t>基本情况一览表</w:t>
            </w:r>
          </w:p>
          <w:tbl>
            <w:tblPr>
              <w:tblStyle w:val="28"/>
              <w:tblW w:w="84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5"/>
              <w:gridCol w:w="6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265" w:type="dxa"/>
                  <w:noWrap w:val="0"/>
                  <w:vAlign w:val="center"/>
                </w:tcPr>
                <w:p>
                  <w:pPr>
                    <w:spacing w:line="360" w:lineRule="exact"/>
                    <w:jc w:val="center"/>
                    <w:rPr>
                      <w:color w:val="auto"/>
                      <w:szCs w:val="21"/>
                      <w:highlight w:val="none"/>
                    </w:rPr>
                  </w:pPr>
                  <w:r>
                    <w:rPr>
                      <w:color w:val="auto"/>
                      <w:szCs w:val="21"/>
                      <w:highlight w:val="none"/>
                    </w:rPr>
                    <w:t>项目名称</w:t>
                  </w:r>
                </w:p>
              </w:tc>
              <w:tc>
                <w:tcPr>
                  <w:tcW w:w="6174" w:type="dxa"/>
                  <w:noWrap w:val="0"/>
                  <w:vAlign w:val="center"/>
                </w:tcPr>
                <w:p>
                  <w:pPr>
                    <w:spacing w:line="360" w:lineRule="exact"/>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鲁山首创环保能源有限公司鲁山县生活垃圾焚烧发电项目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265" w:type="dxa"/>
                  <w:noWrap w:val="0"/>
                  <w:vAlign w:val="center"/>
                </w:tcPr>
                <w:p>
                  <w:pPr>
                    <w:spacing w:line="360" w:lineRule="exact"/>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建设地点</w:t>
                  </w:r>
                </w:p>
              </w:tc>
              <w:tc>
                <w:tcPr>
                  <w:tcW w:w="6174" w:type="dxa"/>
                  <w:noWrap w:val="0"/>
                  <w:vAlign w:val="center"/>
                </w:tcPr>
                <w:p>
                  <w:pPr>
                    <w:spacing w:line="36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鲁山县张良镇郭沟村西侧鲁山县静脉产业园内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265" w:type="dxa"/>
                  <w:noWrap w:val="0"/>
                  <w:vAlign w:val="center"/>
                </w:tcPr>
                <w:p>
                  <w:pPr>
                    <w:spacing w:line="360" w:lineRule="exact"/>
                    <w:jc w:val="center"/>
                    <w:rPr>
                      <w:color w:val="auto"/>
                      <w:szCs w:val="21"/>
                      <w:highlight w:val="none"/>
                    </w:rPr>
                  </w:pPr>
                  <w:r>
                    <w:rPr>
                      <w:color w:val="auto"/>
                      <w:szCs w:val="21"/>
                      <w:highlight w:val="none"/>
                    </w:rPr>
                    <w:t>建设性质</w:t>
                  </w:r>
                </w:p>
              </w:tc>
              <w:tc>
                <w:tcPr>
                  <w:tcW w:w="6174" w:type="dxa"/>
                  <w:noWrap w:val="0"/>
                  <w:vAlign w:val="center"/>
                </w:tcPr>
                <w:p>
                  <w:pPr>
                    <w:spacing w:line="360" w:lineRule="exact"/>
                    <w:jc w:val="center"/>
                    <w:rPr>
                      <w:rFonts w:hint="eastAsia"/>
                      <w:color w:val="auto"/>
                      <w:szCs w:val="21"/>
                      <w:highlight w:val="none"/>
                      <w:lang w:val="en-US" w:eastAsia="zh-CN"/>
                    </w:rPr>
                  </w:pPr>
                  <w:r>
                    <w:rPr>
                      <w:rFonts w:hint="eastAsia"/>
                      <w:color w:val="auto"/>
                      <w:szCs w:val="21"/>
                      <w:highlight w:val="none"/>
                      <w:lang w:val="en-US" w:eastAsia="zh-CN"/>
                    </w:rPr>
                    <w:t>已投产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265" w:type="dxa"/>
                  <w:noWrap w:val="0"/>
                  <w:vAlign w:val="center"/>
                </w:tcPr>
                <w:p>
                  <w:pPr>
                    <w:spacing w:line="360" w:lineRule="exact"/>
                    <w:jc w:val="center"/>
                    <w:rPr>
                      <w:color w:val="auto"/>
                      <w:szCs w:val="21"/>
                      <w:highlight w:val="none"/>
                    </w:rPr>
                  </w:pPr>
                  <w:r>
                    <w:rPr>
                      <w:color w:val="auto"/>
                      <w:szCs w:val="21"/>
                      <w:highlight w:val="none"/>
                    </w:rPr>
                    <w:t>总投资</w:t>
                  </w:r>
                </w:p>
              </w:tc>
              <w:tc>
                <w:tcPr>
                  <w:tcW w:w="6174" w:type="dxa"/>
                  <w:noWrap w:val="0"/>
                  <w:vAlign w:val="center"/>
                </w:tcPr>
                <w:p>
                  <w:pPr>
                    <w:spacing w:line="360" w:lineRule="exact"/>
                    <w:jc w:val="center"/>
                    <w:rPr>
                      <w:rFonts w:hint="eastAsia"/>
                      <w:color w:val="auto"/>
                      <w:szCs w:val="21"/>
                      <w:highlight w:val="none"/>
                      <w:lang w:val="en-US" w:eastAsia="zh-CN"/>
                    </w:rPr>
                  </w:pPr>
                  <w:r>
                    <w:rPr>
                      <w:rFonts w:hint="eastAsia"/>
                      <w:color w:val="auto"/>
                      <w:szCs w:val="21"/>
                      <w:highlight w:val="none"/>
                      <w:lang w:val="en-US" w:eastAsia="zh-CN"/>
                    </w:rPr>
                    <w:t>34025.98万元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2265" w:type="dxa"/>
                  <w:noWrap w:val="0"/>
                  <w:vAlign w:val="center"/>
                </w:tcPr>
                <w:p>
                  <w:pPr>
                    <w:spacing w:line="360" w:lineRule="exact"/>
                    <w:jc w:val="center"/>
                    <w:rPr>
                      <w:rFonts w:hint="eastAsia" w:eastAsia="宋体"/>
                      <w:color w:val="auto"/>
                      <w:szCs w:val="21"/>
                      <w:highlight w:val="none"/>
                      <w:lang w:eastAsia="zh-CN"/>
                    </w:rPr>
                  </w:pPr>
                  <w:r>
                    <w:rPr>
                      <w:rFonts w:hint="eastAsia"/>
                      <w:color w:val="auto"/>
                      <w:szCs w:val="21"/>
                      <w:highlight w:val="none"/>
                      <w:lang w:eastAsia="zh-CN"/>
                    </w:rPr>
                    <w:t>设计</w:t>
                  </w:r>
                  <w:r>
                    <w:rPr>
                      <w:rFonts w:hint="eastAsia"/>
                      <w:color w:val="auto"/>
                      <w:szCs w:val="21"/>
                      <w:highlight w:val="none"/>
                      <w:lang w:val="en-US" w:eastAsia="zh-CN"/>
                    </w:rPr>
                    <w:t>规模</w:t>
                  </w:r>
                </w:p>
              </w:tc>
              <w:tc>
                <w:tcPr>
                  <w:tcW w:w="6174" w:type="dxa"/>
                  <w:noWrap w:val="0"/>
                  <w:vAlign w:val="center"/>
                </w:tcPr>
                <w:p>
                  <w:pPr>
                    <w:spacing w:line="360" w:lineRule="exact"/>
                    <w:jc w:val="center"/>
                    <w:rPr>
                      <w:rFonts w:hint="default"/>
                      <w:color w:val="auto"/>
                      <w:szCs w:val="21"/>
                      <w:highlight w:val="none"/>
                      <w:lang w:val="en-US" w:eastAsia="zh-CN"/>
                    </w:rPr>
                  </w:pPr>
                  <w:r>
                    <w:rPr>
                      <w:rFonts w:hint="eastAsia"/>
                      <w:color w:val="auto"/>
                      <w:szCs w:val="21"/>
                      <w:highlight w:val="none"/>
                      <w:lang w:val="en-US" w:eastAsia="zh-CN"/>
                    </w:rPr>
                    <w:t>日处理垃圾600t，年发电量为7.79×107kW•h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265" w:type="dxa"/>
                  <w:noWrap w:val="0"/>
                  <w:vAlign w:val="center"/>
                </w:tcPr>
                <w:p>
                  <w:pPr>
                    <w:spacing w:line="360" w:lineRule="exact"/>
                    <w:jc w:val="center"/>
                    <w:rPr>
                      <w:rFonts w:hint="eastAsia"/>
                      <w:color w:val="auto"/>
                      <w:szCs w:val="21"/>
                      <w:highlight w:val="none"/>
                      <w:lang w:eastAsia="zh-CN"/>
                    </w:rPr>
                  </w:pPr>
                  <w:r>
                    <w:rPr>
                      <w:rFonts w:hint="eastAsia"/>
                      <w:color w:val="auto"/>
                      <w:szCs w:val="21"/>
                      <w:highlight w:val="none"/>
                      <w:lang w:eastAsia="zh-CN"/>
                    </w:rPr>
                    <w:t>实际</w:t>
                  </w:r>
                  <w:r>
                    <w:rPr>
                      <w:rFonts w:hint="eastAsia"/>
                      <w:color w:val="auto"/>
                      <w:szCs w:val="21"/>
                      <w:highlight w:val="none"/>
                      <w:lang w:val="en-US" w:eastAsia="zh-CN"/>
                    </w:rPr>
                    <w:t>规模</w:t>
                  </w:r>
                </w:p>
              </w:tc>
              <w:tc>
                <w:tcPr>
                  <w:tcW w:w="6174" w:type="dxa"/>
                  <w:noWrap w:val="0"/>
                  <w:vAlign w:val="center"/>
                </w:tcPr>
                <w:p>
                  <w:pPr>
                    <w:spacing w:line="360" w:lineRule="exact"/>
                    <w:jc w:val="center"/>
                    <w:rPr>
                      <w:rFonts w:hint="eastAsia"/>
                      <w:color w:val="auto"/>
                      <w:szCs w:val="21"/>
                      <w:highlight w:val="none"/>
                      <w:lang w:val="en-US" w:eastAsia="zh-CN"/>
                    </w:rPr>
                  </w:pPr>
                  <w:r>
                    <w:rPr>
                      <w:rFonts w:hint="eastAsia"/>
                      <w:color w:val="auto"/>
                      <w:szCs w:val="21"/>
                      <w:highlight w:val="none"/>
                      <w:lang w:val="en-US" w:eastAsia="zh-CN"/>
                    </w:rPr>
                    <w:t>日处理垃圾600t，年发电量为7.79×107kW•h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265" w:type="dxa"/>
                  <w:noWrap w:val="0"/>
                  <w:vAlign w:val="center"/>
                </w:tcPr>
                <w:p>
                  <w:pPr>
                    <w:spacing w:line="360" w:lineRule="exact"/>
                    <w:jc w:val="center"/>
                    <w:rPr>
                      <w:rFonts w:hint="default"/>
                      <w:color w:val="auto"/>
                      <w:szCs w:val="21"/>
                      <w:highlight w:val="none"/>
                      <w:lang w:val="en-US" w:eastAsia="zh-CN"/>
                    </w:rPr>
                  </w:pPr>
                  <w:r>
                    <w:rPr>
                      <w:rFonts w:hint="eastAsia"/>
                      <w:color w:val="auto"/>
                      <w:szCs w:val="21"/>
                      <w:highlight w:val="none"/>
                      <w:lang w:val="en-US" w:eastAsia="zh-CN"/>
                    </w:rPr>
                    <w:t>环评编制</w:t>
                  </w:r>
                </w:p>
              </w:tc>
              <w:tc>
                <w:tcPr>
                  <w:tcW w:w="6174" w:type="dxa"/>
                  <w:noWrap w:val="0"/>
                  <w:vAlign w:val="center"/>
                </w:tcPr>
                <w:p>
                  <w:pPr>
                    <w:spacing w:line="360" w:lineRule="exac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鲁山首创环保能源有限公司鲁山县生活垃圾焚烧发电项目（2016年10月、南京国环科技股份有限公司）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265" w:type="dxa"/>
                  <w:noWrap w:val="0"/>
                  <w:vAlign w:val="center"/>
                </w:tcPr>
                <w:p>
                  <w:pPr>
                    <w:spacing w:line="360" w:lineRule="exact"/>
                    <w:jc w:val="center"/>
                    <w:rPr>
                      <w:rFonts w:hint="default"/>
                      <w:color w:val="auto"/>
                      <w:szCs w:val="21"/>
                      <w:highlight w:val="none"/>
                      <w:lang w:val="en-US" w:eastAsia="zh-CN"/>
                    </w:rPr>
                  </w:pPr>
                  <w:r>
                    <w:rPr>
                      <w:rFonts w:hint="eastAsia"/>
                      <w:color w:val="auto"/>
                      <w:szCs w:val="21"/>
                      <w:highlight w:val="none"/>
                      <w:lang w:val="en-US" w:eastAsia="zh-CN"/>
                    </w:rPr>
                    <w:t>环评审批</w:t>
                  </w:r>
                </w:p>
              </w:tc>
              <w:tc>
                <w:tcPr>
                  <w:tcW w:w="6174" w:type="dxa"/>
                  <w:noWrap w:val="0"/>
                  <w:vAlign w:val="center"/>
                </w:tcPr>
                <w:p>
                  <w:pPr>
                    <w:spacing w:line="360" w:lineRule="exac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平顶山市环境保护局，2019年1月28日，平环审[2019]5号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265" w:type="dxa"/>
                  <w:noWrap w:val="0"/>
                  <w:vAlign w:val="center"/>
                </w:tcPr>
                <w:p>
                  <w:pPr>
                    <w:spacing w:line="360" w:lineRule="exact"/>
                    <w:jc w:val="center"/>
                    <w:rPr>
                      <w:rFonts w:hint="default"/>
                      <w:color w:val="auto"/>
                      <w:szCs w:val="21"/>
                      <w:highlight w:val="none"/>
                      <w:lang w:val="en-US" w:eastAsia="zh-CN"/>
                    </w:rPr>
                  </w:pPr>
                  <w:r>
                    <w:rPr>
                      <w:rFonts w:hint="eastAsia"/>
                      <w:color w:val="auto"/>
                      <w:szCs w:val="21"/>
                      <w:highlight w:val="none"/>
                      <w:lang w:val="en-US" w:eastAsia="zh-CN"/>
                    </w:rPr>
                    <w:t>排污许可证申领时间</w:t>
                  </w:r>
                </w:p>
              </w:tc>
              <w:tc>
                <w:tcPr>
                  <w:tcW w:w="6174" w:type="dxa"/>
                  <w:noWrap w:val="0"/>
                  <w:vAlign w:val="center"/>
                </w:tcPr>
                <w:p>
                  <w:pPr>
                    <w:spacing w:line="360" w:lineRule="exact"/>
                    <w:jc w:val="center"/>
                    <w:rPr>
                      <w:rFonts w:hint="eastAsia" w:eastAsia="宋体"/>
                      <w:color w:val="auto"/>
                      <w:szCs w:val="21"/>
                      <w:highlight w:val="none"/>
                      <w:lang w:val="en-US" w:eastAsia="zh-CN"/>
                    </w:rPr>
                  </w:pPr>
                  <w:r>
                    <w:rPr>
                      <w:rFonts w:hint="eastAsia"/>
                      <w:color w:val="auto"/>
                      <w:szCs w:val="21"/>
                      <w:highlight w:val="none"/>
                      <w:lang w:val="en-US" w:eastAsia="zh-CN"/>
                    </w:rPr>
                    <w:t>2021年9月13日（编号为91410423MA44825C7J）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265" w:type="dxa"/>
                  <w:noWrap w:val="0"/>
                  <w:vAlign w:val="center"/>
                </w:tcPr>
                <w:p>
                  <w:pPr>
                    <w:spacing w:line="360" w:lineRule="exact"/>
                    <w:jc w:val="center"/>
                    <w:rPr>
                      <w:rFonts w:hint="default"/>
                      <w:color w:val="auto"/>
                      <w:szCs w:val="21"/>
                      <w:highlight w:val="none"/>
                      <w:lang w:val="en-US" w:eastAsia="zh-CN"/>
                    </w:rPr>
                  </w:pPr>
                  <w:r>
                    <w:rPr>
                      <w:rFonts w:hint="eastAsia"/>
                      <w:color w:val="auto"/>
                      <w:szCs w:val="21"/>
                      <w:highlight w:val="none"/>
                      <w:lang w:val="en-US" w:eastAsia="zh-CN"/>
                    </w:rPr>
                    <w:t>验收时间</w:t>
                  </w:r>
                </w:p>
              </w:tc>
              <w:tc>
                <w:tcPr>
                  <w:tcW w:w="6174" w:type="dxa"/>
                  <w:noWrap w:val="0"/>
                  <w:vAlign w:val="center"/>
                </w:tcPr>
                <w:p>
                  <w:pPr>
                    <w:spacing w:line="360" w:lineRule="exact"/>
                    <w:jc w:val="center"/>
                    <w:rPr>
                      <w:rFonts w:hint="default"/>
                      <w:color w:val="auto"/>
                      <w:szCs w:val="21"/>
                      <w:highlight w:val="none"/>
                      <w:lang w:val="en-US" w:eastAsia="zh-CN"/>
                    </w:rPr>
                  </w:pPr>
                  <w:r>
                    <w:rPr>
                      <w:rFonts w:hint="eastAsia"/>
                      <w:color w:val="auto"/>
                      <w:szCs w:val="21"/>
                      <w:highlight w:val="none"/>
                      <w:lang w:val="en-US" w:eastAsia="zh-CN"/>
                    </w:rPr>
                    <w:t>2022年1月</w:t>
                  </w:r>
                </w:p>
              </w:tc>
            </w:tr>
          </w:tbl>
          <w:p>
            <w:pPr>
              <w:pStyle w:val="106"/>
              <w:ind w:firstLine="482" w:firstLineChars="200"/>
              <w:rPr>
                <w:rFonts w:hint="eastAsia" w:ascii="Times New Roman" w:hAnsi="Times New Roman" w:eastAsia="宋体" w:cs="Times New Roman"/>
                <w:b/>
                <w:color w:val="auto"/>
                <w:kern w:val="2"/>
                <w:sz w:val="24"/>
                <w:szCs w:val="20"/>
                <w:highlight w:val="none"/>
                <w:lang w:val="en-US" w:eastAsia="zh-CN" w:bidi="ar-SA"/>
              </w:rPr>
            </w:pPr>
            <w:r>
              <w:rPr>
                <w:rFonts w:hint="eastAsia" w:ascii="Times New Roman" w:hAnsi="Times New Roman" w:eastAsia="宋体" w:cs="Times New Roman"/>
                <w:b/>
                <w:color w:val="auto"/>
                <w:kern w:val="2"/>
                <w:sz w:val="24"/>
                <w:szCs w:val="20"/>
                <w:highlight w:val="none"/>
                <w:lang w:val="en-US" w:eastAsia="zh-CN" w:bidi="ar-SA"/>
              </w:rPr>
              <w:t>2飞灰固化系统</w:t>
            </w:r>
          </w:p>
          <w:p>
            <w:pPr>
              <w:pStyle w:val="107"/>
              <w:spacing w:line="520" w:lineRule="exact"/>
              <w:rPr>
                <w:rFonts w:hint="eastAsia"/>
                <w:color w:val="auto"/>
                <w:lang w:val="zh-CN" w:eastAsia="zh-CN"/>
              </w:rPr>
            </w:pPr>
            <w:r>
              <w:rPr>
                <w:color w:val="auto"/>
              </w:rPr>
              <w:t>飞灰的成份受多重因素的影响，其变化范围也较大，主要成分为CaCl</w:t>
            </w:r>
            <w:r>
              <w:rPr>
                <w:color w:val="auto"/>
                <w:vertAlign w:val="subscript"/>
              </w:rPr>
              <w:t>2</w:t>
            </w:r>
            <w:r>
              <w:rPr>
                <w:color w:val="auto"/>
              </w:rPr>
              <w:t>、CaSO</w:t>
            </w:r>
            <w:r>
              <w:rPr>
                <w:color w:val="auto"/>
                <w:vertAlign w:val="subscript"/>
              </w:rPr>
              <w:t>3</w:t>
            </w:r>
            <w:r>
              <w:rPr>
                <w:color w:val="auto"/>
              </w:rPr>
              <w:t>、SiO</w:t>
            </w:r>
            <w:r>
              <w:rPr>
                <w:color w:val="auto"/>
                <w:vertAlign w:val="subscript"/>
              </w:rPr>
              <w:t>2</w:t>
            </w:r>
            <w:r>
              <w:rPr>
                <w:color w:val="auto"/>
              </w:rPr>
              <w:t>、CaO、Al</w:t>
            </w:r>
            <w:r>
              <w:rPr>
                <w:color w:val="auto"/>
                <w:vertAlign w:val="subscript"/>
              </w:rPr>
              <w:t>2</w:t>
            </w:r>
            <w:r>
              <w:rPr>
                <w:color w:val="auto"/>
              </w:rPr>
              <w:t>O</w:t>
            </w:r>
            <w:r>
              <w:rPr>
                <w:color w:val="auto"/>
                <w:vertAlign w:val="subscript"/>
              </w:rPr>
              <w:t>3</w:t>
            </w:r>
            <w:r>
              <w:rPr>
                <w:color w:val="auto"/>
              </w:rPr>
              <w:t>、Fe</w:t>
            </w:r>
            <w:r>
              <w:rPr>
                <w:color w:val="auto"/>
                <w:vertAlign w:val="subscript"/>
              </w:rPr>
              <w:t>2</w:t>
            </w:r>
            <w:r>
              <w:rPr>
                <w:color w:val="auto"/>
              </w:rPr>
              <w:t>O</w:t>
            </w:r>
            <w:r>
              <w:rPr>
                <w:color w:val="auto"/>
                <w:vertAlign w:val="subscript"/>
              </w:rPr>
              <w:t>3</w:t>
            </w:r>
            <w:r>
              <w:rPr>
                <w:color w:val="auto"/>
              </w:rPr>
              <w:t>等，另外还有少量的Hg、Pb、Cr、Ge、Mn、Zn、Mg等重金属和微量的二噁英类等有毒有机物。</w:t>
            </w:r>
            <w:r>
              <w:rPr>
                <w:rFonts w:hint="eastAsia"/>
                <w:color w:val="auto"/>
                <w:lang w:val="en-US"/>
              </w:rPr>
              <w:t>本</w:t>
            </w:r>
            <w:r>
              <w:rPr>
                <w:color w:val="auto"/>
                <w:lang w:val="en-US"/>
              </w:rPr>
              <w:t>项目的飞灰稳定化稳定化系统采用</w:t>
            </w:r>
            <w:r>
              <w:rPr>
                <w:rFonts w:hint="eastAsia"/>
                <w:color w:val="auto"/>
                <w:lang w:val="en-US"/>
              </w:rPr>
              <w:t>“水</w:t>
            </w:r>
            <w:r>
              <w:rPr>
                <w:color w:val="auto"/>
                <w:lang w:val="en-US"/>
              </w:rPr>
              <w:t>泥+</w:t>
            </w:r>
            <w:r>
              <w:rPr>
                <w:rFonts w:hint="eastAsia"/>
                <w:color w:val="auto"/>
                <w:lang w:val="en-US"/>
              </w:rPr>
              <w:t>螯合</w:t>
            </w:r>
            <w:r>
              <w:rPr>
                <w:color w:val="auto"/>
                <w:lang w:val="en-US"/>
              </w:rPr>
              <w:t>稳定剂</w:t>
            </w:r>
            <w:r>
              <w:rPr>
                <w:rFonts w:hint="eastAsia"/>
                <w:color w:val="auto"/>
                <w:lang w:val="en-US"/>
              </w:rPr>
              <w:t>”</w:t>
            </w:r>
            <w:r>
              <w:rPr>
                <w:color w:val="auto"/>
                <w:lang w:val="en-US"/>
              </w:rPr>
              <w:t>稳定化技术工艺进行飞灰</w:t>
            </w:r>
            <w:r>
              <w:rPr>
                <w:rFonts w:hint="eastAsia"/>
                <w:color w:val="auto"/>
                <w:lang w:val="en-US"/>
              </w:rPr>
              <w:t>稳定化，</w:t>
            </w:r>
            <w:r>
              <w:rPr>
                <w:color w:val="auto"/>
              </w:rPr>
              <w:t>待飞灰稳定化达到《生活垃圾填埋场污染控制标准》（GB16889-2008）及《危险废物鉴别标准浸出毒性鉴别》（GB5085.3-2007）要求后，外运至鲁山县垃圾</w:t>
            </w:r>
            <w:r>
              <w:rPr>
                <w:rFonts w:hint="eastAsia"/>
                <w:color w:val="auto"/>
                <w:lang w:eastAsia="zh-CN"/>
              </w:rPr>
              <w:t>填埋场</w:t>
            </w:r>
            <w:r>
              <w:rPr>
                <w:color w:val="auto"/>
              </w:rPr>
              <w:t>分区填埋。</w:t>
            </w:r>
            <w:r>
              <w:rPr>
                <w:color w:val="auto"/>
                <w:lang w:val="zh-CN"/>
              </w:rPr>
              <w:t>处理工艺见图3。</w:t>
            </w:r>
          </w:p>
          <w:p>
            <w:pPr>
              <w:pStyle w:val="107"/>
              <w:spacing w:line="520" w:lineRule="exact"/>
              <w:ind w:left="0" w:leftChars="0" w:firstLine="0" w:firstLineChars="0"/>
              <w:rPr>
                <w:rFonts w:hint="eastAsia"/>
                <w:color w:val="auto"/>
                <w:lang w:val="zh-CN" w:eastAsia="zh-CN"/>
              </w:rPr>
            </w:pPr>
          </w:p>
          <w:p>
            <w:pPr>
              <w:pStyle w:val="107"/>
              <w:spacing w:line="520" w:lineRule="exact"/>
              <w:rPr>
                <w:rFonts w:hint="eastAsia"/>
                <w:color w:val="auto"/>
                <w:lang w:val="zh-CN" w:eastAsia="zh-CN"/>
              </w:rPr>
            </w:pPr>
          </w:p>
          <w:p>
            <w:pPr>
              <w:pStyle w:val="107"/>
              <w:spacing w:line="520" w:lineRule="exact"/>
              <w:rPr>
                <w:rFonts w:hint="eastAsia"/>
                <w:color w:val="auto"/>
                <w:lang w:val="zh-CN" w:eastAsia="zh-CN"/>
              </w:rPr>
            </w:pPr>
          </w:p>
          <w:p>
            <w:pPr>
              <w:pStyle w:val="107"/>
              <w:spacing w:line="520" w:lineRule="exact"/>
              <w:rPr>
                <w:rFonts w:hint="eastAsia"/>
                <w:color w:val="auto"/>
                <w:lang w:val="zh-CN" w:eastAsia="zh-CN"/>
              </w:rPr>
            </w:pPr>
          </w:p>
          <w:p>
            <w:pPr>
              <w:pStyle w:val="107"/>
              <w:spacing w:line="520" w:lineRule="exact"/>
              <w:rPr>
                <w:rFonts w:hint="eastAsia"/>
                <w:color w:val="auto"/>
                <w:lang w:val="zh-CN" w:eastAsia="zh-CN"/>
              </w:rPr>
            </w:pPr>
          </w:p>
          <w:p>
            <w:pPr>
              <w:pStyle w:val="107"/>
              <w:spacing w:line="520" w:lineRule="exact"/>
              <w:rPr>
                <w:rFonts w:hint="eastAsia"/>
                <w:color w:val="auto"/>
                <w:lang w:val="zh-CN" w:eastAsia="zh-CN"/>
              </w:rPr>
            </w:pPr>
          </w:p>
          <w:p>
            <w:pPr>
              <w:pStyle w:val="107"/>
              <w:spacing w:line="520" w:lineRule="exact"/>
              <w:ind w:firstLine="0" w:firstLineChars="0"/>
              <w:rPr>
                <w:color w:val="auto"/>
              </w:rPr>
            </w:pPr>
            <w:r>
              <w:rPr>
                <w:color w:val="auto"/>
              </w:rPr>
              <mc:AlternateContent>
                <mc:Choice Requires="wpc">
                  <w:drawing>
                    <wp:inline distT="0" distB="0" distL="114300" distR="114300">
                      <wp:extent cx="5398770" cy="2028190"/>
                      <wp:effectExtent l="0" t="0" r="11430" b="0"/>
                      <wp:docPr id="35" name="画布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 name="文本框 15"/>
                              <wps:cNvSpPr txBox="1"/>
                              <wps:spPr>
                                <a:xfrm>
                                  <a:off x="25400" y="117475"/>
                                  <a:ext cx="808990"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飞</w:t>
                                    </w:r>
                                    <w:r>
                                      <w:rPr>
                                        <w:szCs w:val="21"/>
                                      </w:rPr>
                                      <w:t>灰</w:t>
                                    </w:r>
                                    <w:r>
                                      <w:rPr>
                                        <w:rFonts w:hint="eastAsia"/>
                                        <w:szCs w:val="21"/>
                                      </w:rPr>
                                      <w:t>储</w:t>
                                    </w:r>
                                    <w:r>
                                      <w:rPr>
                                        <w:szCs w:val="21"/>
                                      </w:rPr>
                                      <w:t>仓</w:t>
                                    </w:r>
                                  </w:p>
                                </w:txbxContent>
                              </wps:txbx>
                              <wps:bodyPr upright="1"/>
                            </wps:wsp>
                            <wps:wsp>
                              <wps:cNvPr id="16" name="文本框 16"/>
                              <wps:cNvSpPr txBox="1"/>
                              <wps:spPr>
                                <a:xfrm>
                                  <a:off x="1311275" y="117475"/>
                                  <a:ext cx="1839595"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飞</w:t>
                                    </w:r>
                                    <w:r>
                                      <w:rPr>
                                        <w:szCs w:val="21"/>
                                      </w:rPr>
                                      <w:t>灰</w:t>
                                    </w:r>
                                    <w:r>
                                      <w:rPr>
                                        <w:rFonts w:hint="eastAsia"/>
                                        <w:szCs w:val="21"/>
                                      </w:rPr>
                                      <w:t>双管</w:t>
                                    </w:r>
                                    <w:r>
                                      <w:rPr>
                                        <w:szCs w:val="21"/>
                                      </w:rPr>
                                      <w:t>螺旋稳重给料机</w:t>
                                    </w:r>
                                  </w:p>
                                </w:txbxContent>
                              </wps:txbx>
                              <wps:bodyPr upright="1"/>
                            </wps:wsp>
                            <wps:wsp>
                              <wps:cNvPr id="17" name="直接箭头连接符 17"/>
                              <wps:cNvCnPr/>
                              <wps:spPr>
                                <a:xfrm>
                                  <a:off x="834390" y="274955"/>
                                  <a:ext cx="476885" cy="635"/>
                                </a:xfrm>
                                <a:prstGeom prst="straightConnector1">
                                  <a:avLst/>
                                </a:prstGeom>
                                <a:ln w="9525" cap="flat" cmpd="sng">
                                  <a:solidFill>
                                    <a:srgbClr val="000000"/>
                                  </a:solidFill>
                                  <a:prstDash val="solid"/>
                                  <a:headEnd type="none" w="med" len="med"/>
                                  <a:tailEnd type="triangle" w="med" len="med"/>
                                </a:ln>
                              </wps:spPr>
                              <wps:bodyPr/>
                            </wps:wsp>
                            <wps:wsp>
                              <wps:cNvPr id="18" name="文本框 18"/>
                              <wps:cNvSpPr txBox="1"/>
                              <wps:spPr>
                                <a:xfrm>
                                  <a:off x="3402965" y="862965"/>
                                  <a:ext cx="1765300"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混    炼    机</w:t>
                                    </w:r>
                                  </w:p>
                                </w:txbxContent>
                              </wps:txbx>
                              <wps:bodyPr upright="1"/>
                            </wps:wsp>
                            <wps:wsp>
                              <wps:cNvPr id="19" name="文本框 19"/>
                              <wps:cNvSpPr txBox="1"/>
                              <wps:spPr>
                                <a:xfrm>
                                  <a:off x="25400" y="862965"/>
                                  <a:ext cx="1129030"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螯</w:t>
                                    </w:r>
                                    <w:r>
                                      <w:rPr>
                                        <w:szCs w:val="21"/>
                                      </w:rPr>
                                      <w:t>合剂混合罐</w:t>
                                    </w:r>
                                  </w:p>
                                </w:txbxContent>
                              </wps:txbx>
                              <wps:bodyPr upright="1"/>
                            </wps:wsp>
                            <wps:wsp>
                              <wps:cNvPr id="20" name="文本框 20"/>
                              <wps:cNvSpPr txBox="1"/>
                              <wps:spPr>
                                <a:xfrm>
                                  <a:off x="1792605" y="862965"/>
                                  <a:ext cx="1133475"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螯</w:t>
                                    </w:r>
                                    <w:r>
                                      <w:rPr>
                                        <w:szCs w:val="21"/>
                                      </w:rPr>
                                      <w:t>合剂计量泵</w:t>
                                    </w:r>
                                  </w:p>
                                </w:txbxContent>
                              </wps:txbx>
                              <wps:bodyPr upright="1"/>
                            </wps:wsp>
                            <wps:wsp>
                              <wps:cNvPr id="21" name="直接箭头连接符 21"/>
                              <wps:cNvCnPr/>
                              <wps:spPr>
                                <a:xfrm flipV="1">
                                  <a:off x="1158875" y="1020445"/>
                                  <a:ext cx="633730" cy="1270"/>
                                </a:xfrm>
                                <a:prstGeom prst="straightConnector1">
                                  <a:avLst/>
                                </a:prstGeom>
                                <a:ln w="9525" cap="flat" cmpd="sng">
                                  <a:solidFill>
                                    <a:srgbClr val="000000"/>
                                  </a:solidFill>
                                  <a:prstDash val="solid"/>
                                  <a:headEnd type="none" w="med" len="med"/>
                                  <a:tailEnd type="triangle" w="med" len="med"/>
                                </a:ln>
                              </wps:spPr>
                              <wps:bodyPr/>
                            </wps:wsp>
                            <wps:wsp>
                              <wps:cNvPr id="22" name="直接箭头连接符 22"/>
                              <wps:cNvCnPr/>
                              <wps:spPr>
                                <a:xfrm>
                                  <a:off x="2926080" y="1021715"/>
                                  <a:ext cx="476885" cy="635"/>
                                </a:xfrm>
                                <a:prstGeom prst="straightConnector1">
                                  <a:avLst/>
                                </a:prstGeom>
                                <a:ln w="9525" cap="flat" cmpd="sng">
                                  <a:solidFill>
                                    <a:srgbClr val="000000"/>
                                  </a:solidFill>
                                  <a:prstDash val="solid"/>
                                  <a:headEnd type="none" w="med" len="med"/>
                                  <a:tailEnd type="triangle" w="med" len="med"/>
                                </a:ln>
                              </wps:spPr>
                              <wps:bodyPr/>
                            </wps:wsp>
                            <wps:wsp>
                              <wps:cNvPr id="23" name="文本框 23"/>
                              <wps:cNvSpPr txBox="1"/>
                              <wps:spPr>
                                <a:xfrm>
                                  <a:off x="3651250" y="111125"/>
                                  <a:ext cx="902970"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综合回</w:t>
                                    </w:r>
                                    <w:r>
                                      <w:rPr>
                                        <w:szCs w:val="21"/>
                                      </w:rPr>
                                      <w:t>用水</w:t>
                                    </w:r>
                                  </w:p>
                                </w:txbxContent>
                              </wps:txbx>
                              <wps:bodyPr upright="1"/>
                            </wps:wsp>
                            <wps:wsp>
                              <wps:cNvPr id="24" name="直接箭头连接符 24"/>
                              <wps:cNvCnPr/>
                              <wps:spPr>
                                <a:xfrm>
                                  <a:off x="5023485" y="432435"/>
                                  <a:ext cx="635" cy="430530"/>
                                </a:xfrm>
                                <a:prstGeom prst="straightConnector1">
                                  <a:avLst/>
                                </a:prstGeom>
                                <a:ln w="9525" cap="flat" cmpd="sng">
                                  <a:solidFill>
                                    <a:srgbClr val="000000"/>
                                  </a:solidFill>
                                  <a:prstDash val="solid"/>
                                  <a:headEnd type="none" w="med" len="med"/>
                                  <a:tailEnd type="triangle" w="med" len="med"/>
                                </a:ln>
                              </wps:spPr>
                              <wps:bodyPr/>
                            </wps:wsp>
                            <wps:wsp>
                              <wps:cNvPr id="25" name="文本框 25"/>
                              <wps:cNvSpPr txBox="1"/>
                              <wps:spPr>
                                <a:xfrm>
                                  <a:off x="3749675" y="1608455"/>
                                  <a:ext cx="1009015"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飞灰</w:t>
                                    </w:r>
                                    <w:r>
                                      <w:rPr>
                                        <w:szCs w:val="21"/>
                                      </w:rPr>
                                      <w:t>养护</w:t>
                                    </w:r>
                                  </w:p>
                                </w:txbxContent>
                              </wps:txbx>
                              <wps:bodyPr upright="1"/>
                            </wps:wsp>
                            <wps:wsp>
                              <wps:cNvPr id="26" name="直接箭头连接符 26"/>
                              <wps:cNvCnPr/>
                              <wps:spPr>
                                <a:xfrm>
                                  <a:off x="4253865" y="1177925"/>
                                  <a:ext cx="635" cy="430530"/>
                                </a:xfrm>
                                <a:prstGeom prst="straightConnector1">
                                  <a:avLst/>
                                </a:prstGeom>
                                <a:ln w="9525" cap="flat" cmpd="sng">
                                  <a:solidFill>
                                    <a:srgbClr val="000000"/>
                                  </a:solidFill>
                                  <a:prstDash val="solid"/>
                                  <a:headEnd type="none" w="med" len="med"/>
                                  <a:tailEnd type="triangle" w="med" len="med"/>
                                </a:ln>
                              </wps:spPr>
                              <wps:bodyPr/>
                            </wps:wsp>
                            <wps:wsp>
                              <wps:cNvPr id="28" name="文本框 28"/>
                              <wps:cNvSpPr txBox="1"/>
                              <wps:spPr>
                                <a:xfrm>
                                  <a:off x="2092325" y="1608455"/>
                                  <a:ext cx="1009015"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飞灰填</w:t>
                                    </w:r>
                                    <w:r>
                                      <w:rPr>
                                        <w:szCs w:val="21"/>
                                      </w:rPr>
                                      <w:t>埋场</w:t>
                                    </w:r>
                                  </w:p>
                                </w:txbxContent>
                              </wps:txbx>
                              <wps:bodyPr upright="1"/>
                            </wps:wsp>
                            <wps:wsp>
                              <wps:cNvPr id="29" name="直接箭头连接符 29"/>
                              <wps:cNvCnPr/>
                              <wps:spPr>
                                <a:xfrm flipH="1">
                                  <a:off x="3101340" y="1765935"/>
                                  <a:ext cx="648335" cy="635"/>
                                </a:xfrm>
                                <a:prstGeom prst="straightConnector1">
                                  <a:avLst/>
                                </a:prstGeom>
                                <a:ln w="9525" cap="flat" cmpd="sng">
                                  <a:solidFill>
                                    <a:srgbClr val="000000"/>
                                  </a:solidFill>
                                  <a:prstDash val="solid"/>
                                  <a:headEnd type="none" w="med" len="med"/>
                                  <a:tailEnd type="triangle" w="med" len="med"/>
                                </a:ln>
                              </wps:spPr>
                              <wps:bodyPr/>
                            </wps:wsp>
                            <wps:wsp>
                              <wps:cNvPr id="31" name="文本框 31"/>
                              <wps:cNvSpPr txBox="1"/>
                              <wps:spPr>
                                <a:xfrm>
                                  <a:off x="4601210" y="111125"/>
                                  <a:ext cx="740410" cy="3149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水泥</w:t>
                                    </w:r>
                                    <w:r>
                                      <w:rPr>
                                        <w:szCs w:val="21"/>
                                      </w:rPr>
                                      <w:t>料仓</w:t>
                                    </w:r>
                                  </w:p>
                                </w:txbxContent>
                              </wps:txbx>
                              <wps:bodyPr upright="1"/>
                            </wps:wsp>
                            <wps:wsp>
                              <wps:cNvPr id="32" name="直接箭头连接符 32"/>
                              <wps:cNvCnPr/>
                              <wps:spPr>
                                <a:xfrm>
                                  <a:off x="4109085" y="432435"/>
                                  <a:ext cx="635" cy="430530"/>
                                </a:xfrm>
                                <a:prstGeom prst="straightConnector1">
                                  <a:avLst/>
                                </a:prstGeom>
                                <a:ln w="9525" cap="flat" cmpd="sng">
                                  <a:solidFill>
                                    <a:srgbClr val="000000"/>
                                  </a:solidFill>
                                  <a:prstDash val="solid"/>
                                  <a:headEnd type="none" w="med" len="med"/>
                                  <a:tailEnd type="triangle" w="med" len="med"/>
                                </a:ln>
                              </wps:spPr>
                              <wps:bodyPr/>
                            </wps:wsp>
                            <wps:wsp>
                              <wps:cNvPr id="33" name="肘形连接符 33"/>
                              <wps:cNvCnPr/>
                              <wps:spPr>
                                <a:xfrm>
                                  <a:off x="3150870" y="274955"/>
                                  <a:ext cx="463550" cy="509905"/>
                                </a:xfrm>
                                <a:prstGeom prst="bentConnector2">
                                  <a:avLst/>
                                </a:prstGeom>
                                <a:ln>
                                  <a:noFill/>
                                </a:ln>
                              </wps:spPr>
                              <wps:bodyPr/>
                            </wps:wsp>
                            <wps:wsp>
                              <wps:cNvPr id="34" name="肘形连接符 34"/>
                              <wps:cNvCnPr/>
                              <wps:spPr>
                                <a:xfrm>
                                  <a:off x="3150870" y="255905"/>
                                  <a:ext cx="389255" cy="605155"/>
                                </a:xfrm>
                                <a:prstGeom prst="bentConnector2">
                                  <a:avLst/>
                                </a:prstGeom>
                                <a:ln w="9525" cap="flat" cmpd="sng">
                                  <a:solidFill>
                                    <a:srgbClr val="000000"/>
                                  </a:solidFill>
                                  <a:prstDash val="solid"/>
                                  <a:miter/>
                                  <a:headEnd type="none" w="med" len="med"/>
                                  <a:tailEnd type="triangle" w="med" len="med"/>
                                </a:ln>
                              </wps:spPr>
                              <wps:bodyPr/>
                            </wps:wsp>
                          </wpc:wpc>
                        </a:graphicData>
                      </a:graphic>
                    </wp:inline>
                  </w:drawing>
                </mc:Choice>
                <mc:Fallback>
                  <w:pict>
                    <v:group id="_x0000_s1026" o:spid="_x0000_s1026" o:spt="203" style="height:159.7pt;width:425.1pt;" coordsize="5398770,2028190" editas="canvas" o:gfxdata="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">
                      <o:lock v:ext="edit" aspectratio="f"/>
                      <v:shape id="_x0000_s1026" o:spid="_x0000_s1026" style="position:absolute;left:0;top:0;height:2028190;width:5398770;" filled="f" stroked="f" coordsize="21600,21600" o:gfxdata="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">
                        <v:fill on="f" focussize="0,0"/>
                        <v:stroke on="f"/>
                        <v:imagedata o:title=""/>
                        <o:lock v:ext="edit" aspectratio="t"/>
                      </v:shape>
                      <v:shape id="_x0000_s1026" o:spid="_x0000_s1026" o:spt="202" type="#_x0000_t202" style="position:absolute;left:25400;top:117475;height:314960;width:808990;"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Cs3aNYAAAAFAQAADwAAAAAA&#10;AAABACAAAAAiAAAAZHJzL2Rvd25yZXYueG1sUEsBAhQAFAAAAAgAh07iQCoLxk4VAgAAQAQAAA4A&#10;AAAAAAAAAQAgAAAAJQEAAGRycy9lMm9Eb2MueG1sUEsFBgAAAAAGAAYAWQEAAKwFAAAAAA==&#10;">
                        <v:fill on="t" focussize="0,0"/>
                        <v:stroke color="#000000" joinstyle="miter"/>
                        <v:imagedata o:title=""/>
                        <o:lock v:ext="edit" aspectratio="f"/>
                        <v:textbox>
                          <w:txbxContent>
                            <w:p>
                              <w:pPr>
                                <w:jc w:val="center"/>
                                <w:rPr>
                                  <w:rFonts w:hint="eastAsia"/>
                                  <w:szCs w:val="21"/>
                                </w:rPr>
                              </w:pPr>
                              <w:r>
                                <w:rPr>
                                  <w:rFonts w:hint="eastAsia"/>
                                  <w:szCs w:val="21"/>
                                </w:rPr>
                                <w:t>飞</w:t>
                              </w:r>
                              <w:r>
                                <w:rPr>
                                  <w:szCs w:val="21"/>
                                </w:rPr>
                                <w:t>灰</w:t>
                              </w:r>
                              <w:r>
                                <w:rPr>
                                  <w:rFonts w:hint="eastAsia"/>
                                  <w:szCs w:val="21"/>
                                </w:rPr>
                                <w:t>储</w:t>
                              </w:r>
                              <w:r>
                                <w:rPr>
                                  <w:szCs w:val="21"/>
                                </w:rPr>
                                <w:t>仓</w:t>
                              </w:r>
                            </w:p>
                          </w:txbxContent>
                        </v:textbox>
                      </v:shape>
                      <v:shape id="_x0000_s1026" o:spid="_x0000_s1026" o:spt="202" type="#_x0000_t202" style="position:absolute;left:1311275;top:117475;height:314960;width:1839595;"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ArN2jWAAAABQEAAA8AAAAA&#10;AAAAAQAgAAAAIgAAAGRycy9kb3ducmV2LnhtbFBLAQIUABQAAAAIAIdO4kBtSR3PFgIAAEMEAAAO&#10;AAAAAAAAAAEAIAAAACUBAABkcnMvZTJvRG9jLnhtbFBLBQYAAAAABgAGAFkBAACtBQAAAAA=&#10;">
                        <v:fill on="t" focussize="0,0"/>
                        <v:stroke color="#000000" joinstyle="miter"/>
                        <v:imagedata o:title=""/>
                        <o:lock v:ext="edit" aspectratio="f"/>
                        <v:textbox>
                          <w:txbxContent>
                            <w:p>
                              <w:pPr>
                                <w:jc w:val="center"/>
                                <w:rPr>
                                  <w:rFonts w:hint="eastAsia"/>
                                  <w:szCs w:val="21"/>
                                </w:rPr>
                              </w:pPr>
                              <w:r>
                                <w:rPr>
                                  <w:rFonts w:hint="eastAsia"/>
                                  <w:szCs w:val="21"/>
                                </w:rPr>
                                <w:t>飞</w:t>
                              </w:r>
                              <w:r>
                                <w:rPr>
                                  <w:szCs w:val="21"/>
                                </w:rPr>
                                <w:t>灰</w:t>
                              </w:r>
                              <w:r>
                                <w:rPr>
                                  <w:rFonts w:hint="eastAsia"/>
                                  <w:szCs w:val="21"/>
                                </w:rPr>
                                <w:t>双管</w:t>
                              </w:r>
                              <w:r>
                                <w:rPr>
                                  <w:szCs w:val="21"/>
                                </w:rPr>
                                <w:t>螺旋稳重给料机</w:t>
                              </w:r>
                            </w:p>
                          </w:txbxContent>
                        </v:textbox>
                      </v:shape>
                      <v:shape id="_x0000_s1026" o:spid="_x0000_s1026" o:spt="32" type="#_x0000_t32" style="position:absolute;left:834390;top:274955;height:635;width:476885;" filled="f" stroked="t" coordsize="21600,21600" o:gfxdata="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Nv1ctgAAAAFAQAADwAAAAAA&#10;AAABACAAAAAiAAAAZHJzL2Rvd25yZXYueG1sUEsBAhQAFAAAAAgAh07iQJ6Q9/gTAgAA/QMAAA4A&#10;AAAAAAAAAQAgAAAAJwEAAGRycy9lMm9Eb2MueG1sUEsFBgAAAAAGAAYAWQEAAKwFAAAAAA==&#10;">
                        <v:fill on="f" focussize="0,0"/>
                        <v:stroke color="#000000" joinstyle="round" endarrow="block"/>
                        <v:imagedata o:title=""/>
                        <o:lock v:ext="edit" aspectratio="f"/>
                      </v:shape>
                      <v:shape id="_x0000_s1026" o:spid="_x0000_s1026" o:spt="202" type="#_x0000_t202" style="position:absolute;left:3402965;top:862965;height:314960;width:1765300;"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ArN2jWAAAABQEAAA8AAAAA&#10;AAAAAQAgAAAAIgAAAGRycy9kb3ducmV2LnhtbFBLAQIUABQAAAAIAIdO4kB5Sq5lFgIAAEMEAAAO&#10;AAAAAAAAAAEAIAAAACUBAABkcnMvZTJvRG9jLnhtbFBLBQYAAAAABgAGAFkBAACtBQAAAAA=&#10;">
                        <v:fill on="t" focussize="0,0"/>
                        <v:stroke color="#000000" joinstyle="miter"/>
                        <v:imagedata o:title=""/>
                        <o:lock v:ext="edit" aspectratio="f"/>
                        <v:textbox>
                          <w:txbxContent>
                            <w:p>
                              <w:pPr>
                                <w:jc w:val="center"/>
                                <w:rPr>
                                  <w:rFonts w:hint="eastAsia"/>
                                  <w:szCs w:val="21"/>
                                </w:rPr>
                              </w:pPr>
                              <w:r>
                                <w:rPr>
                                  <w:rFonts w:hint="eastAsia"/>
                                  <w:szCs w:val="21"/>
                                </w:rPr>
                                <w:t>混    炼    机</w:t>
                              </w:r>
                            </w:p>
                          </w:txbxContent>
                        </v:textbox>
                      </v:shape>
                      <v:shape id="_x0000_s1026" o:spid="_x0000_s1026" o:spt="202" type="#_x0000_t202" style="position:absolute;left:25400;top:862965;height:314960;width:1129030;"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ArN2jWAAAABQEAAA8AAAAA&#10;AAAAAQAgAAAAIgAAAGRycy9kb3ducmV2LnhtbFBLAQIUABQAAAAIAIdO4kCLAW3xFgIAAEEEAAAO&#10;AAAAAAAAAAEAIAAAACUBAABkcnMvZTJvRG9jLnhtbFBLBQYAAAAABgAGAFkBAACtBQAAAAA=&#10;">
                        <v:fill on="t" focussize="0,0"/>
                        <v:stroke color="#000000" joinstyle="miter"/>
                        <v:imagedata o:title=""/>
                        <o:lock v:ext="edit" aspectratio="f"/>
                        <v:textbox>
                          <w:txbxContent>
                            <w:p>
                              <w:pPr>
                                <w:jc w:val="center"/>
                                <w:rPr>
                                  <w:rFonts w:hint="eastAsia"/>
                                  <w:szCs w:val="21"/>
                                </w:rPr>
                              </w:pPr>
                              <w:r>
                                <w:rPr>
                                  <w:rFonts w:hint="eastAsia"/>
                                  <w:szCs w:val="21"/>
                                </w:rPr>
                                <w:t>螯</w:t>
                              </w:r>
                              <w:r>
                                <w:rPr>
                                  <w:szCs w:val="21"/>
                                </w:rPr>
                                <w:t>合剂混合罐</w:t>
                              </w:r>
                            </w:p>
                          </w:txbxContent>
                        </v:textbox>
                      </v:shape>
                      <v:shape id="_x0000_s1026" o:spid="_x0000_s1026" o:spt="202" type="#_x0000_t202" style="position:absolute;left:1792605;top:862965;height:314960;width:1133475;"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Cs3aNYAAAAFAQAADwAA&#10;AAAAAAABACAAAAAiAAAAZHJzL2Rvd25yZXYueG1sUEsBAhQAFAAAAAgAh07iQCQHJPAYAgAAQwQA&#10;AA4AAAAAAAAAAQAgAAAAJQEAAGRycy9lMm9Eb2MueG1sUEsFBgAAAAAGAAYAWQEAAK8FAAAAAA==&#10;">
                        <v:fill on="t" focussize="0,0"/>
                        <v:stroke color="#000000" joinstyle="miter"/>
                        <v:imagedata o:title=""/>
                        <o:lock v:ext="edit" aspectratio="f"/>
                        <v:textbox>
                          <w:txbxContent>
                            <w:p>
                              <w:pPr>
                                <w:jc w:val="center"/>
                                <w:rPr>
                                  <w:rFonts w:hint="eastAsia"/>
                                  <w:szCs w:val="21"/>
                                </w:rPr>
                              </w:pPr>
                              <w:r>
                                <w:rPr>
                                  <w:rFonts w:hint="eastAsia"/>
                                  <w:szCs w:val="21"/>
                                </w:rPr>
                                <w:t>螯</w:t>
                              </w:r>
                              <w:r>
                                <w:rPr>
                                  <w:szCs w:val="21"/>
                                </w:rPr>
                                <w:t>合剂计量泵</w:t>
                              </w:r>
                            </w:p>
                          </w:txbxContent>
                        </v:textbox>
                      </v:shape>
                      <v:shape id="_x0000_s1026" o:spid="_x0000_s1026" o:spt="32" type="#_x0000_t32" style="position:absolute;left:1158875;top:1020445;flip:y;height:1270;width:633730;" filled="f" stroked="t" coordsize="21600,21600" o:gfxdata="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IR90M1gAAAAUB&#10;AAAPAAAAAAAAAAEAIAAAACIAAABkcnMvZG93bnJldi54bWxQSwECFAAUAAAACACHTuJA70BfCR0C&#10;AAAKBAAADgAAAAAAAAABACAAAAAlAQAAZHJzL2Uyb0RvYy54bWxQSwUGAAAAAAYABgBZAQAAtAUA&#10;AAAA&#10;">
                        <v:fill on="f" focussize="0,0"/>
                        <v:stroke color="#000000" joinstyle="round" endarrow="block"/>
                        <v:imagedata o:title=""/>
                        <o:lock v:ext="edit" aspectratio="f"/>
                      </v:shape>
                      <v:shape id="_x0000_s1026" o:spid="_x0000_s1026" o:spt="32" type="#_x0000_t32" style="position:absolute;left:2926080;top:1021715;height:635;width:476885;" filled="f" stroked="t" coordsize="21600,21600" o:gfxdata="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42/Vy2AAAAAUBAAAPAAAA&#10;AAAAAAEAIAAAACIAAABkcnMvZG93bnJldi54bWxQSwECFAAUAAAACACHTuJAyuCajxUCAAD/AwAA&#10;DgAAAAAAAAABACAAAAAnAQAAZHJzL2Uyb0RvYy54bWxQSwUGAAAAAAYABgBZAQAArgUAAAAA&#10;">
                        <v:fill on="f" focussize="0,0"/>
                        <v:stroke color="#000000" joinstyle="round" endarrow="block"/>
                        <v:imagedata o:title=""/>
                        <o:lock v:ext="edit" aspectratio="f"/>
                      </v:shape>
                      <v:shape id="_x0000_s1026" o:spid="_x0000_s1026" o:spt="202" type="#_x0000_t202" style="position:absolute;left:3651250;top:111125;height:314960;width:902970;"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QKzdo1gAAAAUBAAAPAAAAAAAA&#10;AAEAIAAAACIAAABkcnMvZG93bnJldi54bWxQSwECFAAUAAAACACHTuJAh/Wz5xQCAABCBAAADgAA&#10;AAAAAAABACAAAAAlAQAAZHJzL2Uyb0RvYy54bWxQSwUGAAAAAAYABgBZAQAAqwUAAAAA&#10;">
                        <v:fill on="t" focussize="0,0"/>
                        <v:stroke color="#000000" joinstyle="miter"/>
                        <v:imagedata o:title=""/>
                        <o:lock v:ext="edit" aspectratio="f"/>
                        <v:textbox>
                          <w:txbxContent>
                            <w:p>
                              <w:pPr>
                                <w:jc w:val="center"/>
                                <w:rPr>
                                  <w:rFonts w:hint="eastAsia"/>
                                  <w:szCs w:val="21"/>
                                </w:rPr>
                              </w:pPr>
                              <w:r>
                                <w:rPr>
                                  <w:rFonts w:hint="eastAsia"/>
                                  <w:szCs w:val="21"/>
                                </w:rPr>
                                <w:t>综合回</w:t>
                              </w:r>
                              <w:r>
                                <w:rPr>
                                  <w:szCs w:val="21"/>
                                </w:rPr>
                                <w:t>用水</w:t>
                              </w:r>
                            </w:p>
                          </w:txbxContent>
                        </v:textbox>
                      </v:shape>
                      <v:shape id="_x0000_s1026" o:spid="_x0000_s1026" o:spt="32" type="#_x0000_t32" style="position:absolute;left:5023485;top:432435;height:430530;width:635;" filled="f" stroked="t" coordsize="21600,21600" o:gfxdata="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Nv1ctgAAAAFAQAADwAAAAAA&#10;AAABACAAAAAiAAAAZHJzL2Rvd25yZXYueG1sUEsBAhQAFAAAAAgAh07iQOmpw4wTAgAA/gMAAA4A&#10;AAAAAAAAAQAgAAAAJwEAAGRycy9lMm9Eb2MueG1sUEsFBgAAAAAGAAYAWQEAAKwFAAAAAA==&#10;">
                        <v:fill on="f" focussize="0,0"/>
                        <v:stroke color="#000000" joinstyle="round" endarrow="block"/>
                        <v:imagedata o:title=""/>
                        <o:lock v:ext="edit" aspectratio="f"/>
                      </v:shape>
                      <v:shape id="_x0000_s1026" o:spid="_x0000_s1026" o:spt="202" type="#_x0000_t202" style="position:absolute;left:3749675;top:1608455;height:314960;width:1009015;"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QKzdo1gAAAAUBAAAPAAAA&#10;AAAAAAEAIAAAACIAAABkcnMvZG93bnJldi54bWxQSwECFAAUAAAACACHTuJAiT51txcCAABEBAAA&#10;DgAAAAAAAAABACAAAAAlAQAAZHJzL2Uyb0RvYy54bWxQSwUGAAAAAAYABgBZAQAArgUAAAAA&#10;">
                        <v:fill on="t" focussize="0,0"/>
                        <v:stroke color="#000000" joinstyle="miter"/>
                        <v:imagedata o:title=""/>
                        <o:lock v:ext="edit" aspectratio="f"/>
                        <v:textbox>
                          <w:txbxContent>
                            <w:p>
                              <w:pPr>
                                <w:jc w:val="center"/>
                                <w:rPr>
                                  <w:rFonts w:hint="eastAsia"/>
                                  <w:szCs w:val="21"/>
                                </w:rPr>
                              </w:pPr>
                              <w:r>
                                <w:rPr>
                                  <w:rFonts w:hint="eastAsia"/>
                                  <w:szCs w:val="21"/>
                                </w:rPr>
                                <w:t>飞灰</w:t>
                              </w:r>
                              <w:r>
                                <w:rPr>
                                  <w:szCs w:val="21"/>
                                </w:rPr>
                                <w:t>养护</w:t>
                              </w:r>
                            </w:p>
                          </w:txbxContent>
                        </v:textbox>
                      </v:shape>
                      <v:shape id="_x0000_s1026" o:spid="_x0000_s1026" o:spt="32" type="#_x0000_t32" style="position:absolute;left:4253865;top:1177925;height:430530;width:635;" filled="f" stroked="t" coordsize="21600,21600" o:gfxdata="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jb9XLYAAAABQEAAA8A&#10;AAAAAAAAAQAgAAAAIgAAAGRycy9kb3ducmV2LnhtbFBLAQIUABQAAAAIAIdO4kBnf+/mFwIAAP8D&#10;AAAOAAAAAAAAAAEAIAAAACcBAABkcnMvZTJvRG9jLnhtbFBLBQYAAAAABgAGAFkBAACwBQAAAAA=&#10;">
                        <v:fill on="f" focussize="0,0"/>
                        <v:stroke color="#000000" joinstyle="round" endarrow="block"/>
                        <v:imagedata o:title=""/>
                        <o:lock v:ext="edit" aspectratio="f"/>
                      </v:shape>
                      <v:shape id="_x0000_s1026" o:spid="_x0000_s1026" o:spt="202" type="#_x0000_t202" style="position:absolute;left:2092325;top:1608455;height:314960;width:1009015;"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Cs3aNYAAAAFAQAADwAA&#10;AAAAAAABACAAAAAiAAAAZHJzL2Rvd25yZXYueG1sUEsBAhQAFAAAAAgAh07iQDshCFoYAgAARAQA&#10;AA4AAAAAAAAAAQAgAAAAJQEAAGRycy9lMm9Eb2MueG1sUEsFBgAAAAAGAAYAWQEAAK8FAAAAAA==&#10;">
                        <v:fill on="t" focussize="0,0"/>
                        <v:stroke color="#000000" joinstyle="miter"/>
                        <v:imagedata o:title=""/>
                        <o:lock v:ext="edit" aspectratio="f"/>
                        <v:textbox>
                          <w:txbxContent>
                            <w:p>
                              <w:pPr>
                                <w:jc w:val="center"/>
                                <w:rPr>
                                  <w:rFonts w:hint="eastAsia"/>
                                  <w:szCs w:val="21"/>
                                </w:rPr>
                              </w:pPr>
                              <w:r>
                                <w:rPr>
                                  <w:rFonts w:hint="eastAsia"/>
                                  <w:szCs w:val="21"/>
                                </w:rPr>
                                <w:t>飞灰填</w:t>
                              </w:r>
                              <w:r>
                                <w:rPr>
                                  <w:szCs w:val="21"/>
                                </w:rPr>
                                <w:t>埋场</w:t>
                              </w:r>
                            </w:p>
                          </w:txbxContent>
                        </v:textbox>
                      </v:shape>
                      <v:shape id="_x0000_s1026" o:spid="_x0000_s1026" o:spt="32" type="#_x0000_t32" style="position:absolute;left:3101340;top:1765935;flip:x;height:635;width:648335;" filled="f" stroked="t" coordsize="21600,21600" o:gfxdata="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EfdDNYAAAAFAQAA&#10;DwAAAAAAAAABACAAAAAiAAAAZHJzL2Rvd25yZXYueG1sUEsBAhQAFAAAAAgAh07iQMqYj0wbAgAA&#10;CQQAAA4AAAAAAAAAAQAgAAAAJQEAAGRycy9lMm9Eb2MueG1sUEsFBgAAAAAGAAYAWQEAALIFAAAA&#10;AA==&#10;">
                        <v:fill on="f" focussize="0,0"/>
                        <v:stroke color="#000000" joinstyle="round" endarrow="block"/>
                        <v:imagedata o:title=""/>
                        <o:lock v:ext="edit" aspectratio="f"/>
                      </v:shape>
                      <v:shape id="_x0000_s1026" o:spid="_x0000_s1026" o:spt="202" type="#_x0000_t202" style="position:absolute;left:4601210;top:111125;height:314960;width:740410;" fillcolor="#FFFFFF" filled="t" stroked="t" coordsize="21600,21600" o:gfxdata="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Cs3aNYAAAAFAQAADwAAAAAA&#10;AAABACAAAAAiAAAAZHJzL2Rvd25yZXYueG1sUEsBAhQAFAAAAAgAh07iQGaO2nsVAgAAQgQAAA4A&#10;AAAAAAAAAQAgAAAAJQEAAGRycy9lMm9Eb2MueG1sUEsFBgAAAAAGAAYAWQEAAKwFAAAAAA==&#10;">
                        <v:fill on="t" focussize="0,0"/>
                        <v:stroke color="#000000" joinstyle="miter"/>
                        <v:imagedata o:title=""/>
                        <o:lock v:ext="edit" aspectratio="f"/>
                        <v:textbox>
                          <w:txbxContent>
                            <w:p>
                              <w:pPr>
                                <w:jc w:val="center"/>
                                <w:rPr>
                                  <w:rFonts w:hint="eastAsia"/>
                                  <w:szCs w:val="21"/>
                                </w:rPr>
                              </w:pPr>
                              <w:r>
                                <w:rPr>
                                  <w:rFonts w:hint="eastAsia"/>
                                  <w:szCs w:val="21"/>
                                </w:rPr>
                                <w:t>水泥</w:t>
                              </w:r>
                              <w:r>
                                <w:rPr>
                                  <w:szCs w:val="21"/>
                                </w:rPr>
                                <w:t>料仓</w:t>
                              </w:r>
                            </w:p>
                          </w:txbxContent>
                        </v:textbox>
                      </v:shape>
                      <v:shape id="_x0000_s1026" o:spid="_x0000_s1026" o:spt="32" type="#_x0000_t32" style="position:absolute;left:4109085;top:432435;height:430530;width:635;" filled="f" stroked="t" coordsize="21600,21600" o:gfxdata="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42/Vy2AAAAAUBAAAPAAAAAAAA&#10;AAEAIAAAACIAAABkcnMvZG93bnJldi54bWxQSwECFAAUAAAACACHTuJAQK11MBICAAD+AwAADgAA&#10;AAAAAAABACAAAAAnAQAAZHJzL2Uyb0RvYy54bWxQSwUGAAAAAAYABgBZAQAAqwUAAAAA&#10;">
                        <v:fill on="f" focussize="0,0"/>
                        <v:stroke color="#000000" joinstyle="round" endarrow="block"/>
                        <v:imagedata o:title=""/>
                        <o:lock v:ext="edit" aspectratio="f"/>
                      </v:shape>
                      <v:shape id="_x0000_s1026" o:spid="_x0000_s1026" o:spt="33" type="#_x0000_t33" style="position:absolute;left:3150870;top:274955;height:509905;width:463550;" filled="f" stroked="f" coordsize="21600,21600" o:gfxdata="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iDFaidYAAAAFAQAADwAAAAAAAAABACAAAAAiAAAAZHJzL2Rvd25yZXYueG1sUEsBAhQAFAAA&#10;AAgAh07iQIICym+4AQAAPgMAAA4AAAAAAAAAAQAgAAAAJQEAAGRycy9lMm9Eb2MueG1sUEsFBgAA&#10;AAAGAAYAWQEAAE8FAAAAAA==&#10;">
                        <v:fill on="f" focussize="0,0"/>
                        <v:stroke on="f"/>
                        <v:imagedata o:title=""/>
                        <o:lock v:ext="edit" aspectratio="f"/>
                      </v:shape>
                      <v:shape id="_x0000_s1026" o:spid="_x0000_s1026" o:spt="33" type="#_x0000_t33" style="position:absolute;left:3150870;top:255905;height:605155;width:389255;" filled="f" stroked="t" coordsize="21600,21600" o:gfxdata="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s/SufXAAAABQEAAA8AAAAAAAAA&#10;AQAgAAAAIgAAAGRycy9kb3ducmV2LnhtbFBLAQIUABQAAAAIAIdO4kDSHU0TEgIAAAEEAAAOAAAA&#10;AAAAAAEAIAAAACYBAABkcnMvZTJvRG9jLnhtbFBLBQYAAAAABgAGAFkBAACqBQAAAAA=&#10;">
                        <v:fill on="f" focussize="0,0"/>
                        <v:stroke color="#000000" joinstyle="miter" endarrow="block"/>
                        <v:imagedata o:title=""/>
                        <o:lock v:ext="edit" aspectratio="f"/>
                      </v:shape>
                      <w10:wrap type="none"/>
                      <w10:anchorlock/>
                    </v:group>
                  </w:pict>
                </mc:Fallback>
              </mc:AlternateContent>
            </w:r>
          </w:p>
          <w:p>
            <w:pPr>
              <w:pStyle w:val="107"/>
              <w:spacing w:line="520" w:lineRule="exact"/>
              <w:ind w:firstLine="482"/>
              <w:jc w:val="center"/>
              <w:rPr>
                <w:b/>
                <w:color w:val="auto"/>
                <w:lang w:val="en-US"/>
              </w:rPr>
            </w:pPr>
            <w:r>
              <w:rPr>
                <w:b/>
                <w:color w:val="auto"/>
                <w:lang w:val="en-US"/>
              </w:rPr>
              <w:t>图3  飞灰固化处理工艺流程</w:t>
            </w:r>
          </w:p>
          <w:p>
            <w:pPr>
              <w:pStyle w:val="107"/>
              <w:spacing w:line="520" w:lineRule="exact"/>
              <w:rPr>
                <w:color w:val="auto"/>
              </w:rPr>
            </w:pPr>
            <w:r>
              <w:rPr>
                <w:color w:val="auto"/>
                <w:lang w:val="en-US"/>
              </w:rPr>
              <w:t>来自焚烧厂烟气处理系统的飞灰送入</w:t>
            </w:r>
            <w:r>
              <w:rPr>
                <w:rFonts w:hint="eastAsia"/>
                <w:color w:val="auto"/>
                <w:lang w:val="en-US"/>
              </w:rPr>
              <w:t>灰</w:t>
            </w:r>
            <w:r>
              <w:rPr>
                <w:color w:val="auto"/>
                <w:lang w:val="en-US"/>
              </w:rPr>
              <w:t>仓后，定量输送至螺旋输送机，再由螺旋机送至</w:t>
            </w:r>
            <w:r>
              <w:rPr>
                <w:rFonts w:hint="eastAsia"/>
                <w:color w:val="auto"/>
                <w:lang w:val="en-US"/>
              </w:rPr>
              <w:t>混炼机</w:t>
            </w:r>
            <w:r>
              <w:rPr>
                <w:color w:val="auto"/>
                <w:lang w:val="en-US"/>
              </w:rPr>
              <w:t>，按设计的配比飞灰在</w:t>
            </w:r>
            <w:r>
              <w:rPr>
                <w:rFonts w:hint="eastAsia"/>
                <w:color w:val="auto"/>
                <w:lang w:val="en-US"/>
              </w:rPr>
              <w:t>混炼机内</w:t>
            </w:r>
            <w:r>
              <w:rPr>
                <w:color w:val="auto"/>
                <w:lang w:val="en-US"/>
              </w:rPr>
              <w:t>混合，同时螯合剂稀释液输送泵及供水系统同时启动，向</w:t>
            </w:r>
            <w:r>
              <w:rPr>
                <w:rFonts w:hint="eastAsia"/>
                <w:color w:val="auto"/>
                <w:lang w:val="en-US"/>
              </w:rPr>
              <w:t>混炼机</w:t>
            </w:r>
            <w:r>
              <w:rPr>
                <w:color w:val="auto"/>
                <w:lang w:val="en-US"/>
              </w:rPr>
              <w:t>供给螯合剂及水。飞灰、螯合剂及水在</w:t>
            </w:r>
            <w:r>
              <w:rPr>
                <w:rFonts w:hint="eastAsia"/>
                <w:color w:val="auto"/>
                <w:lang w:val="en-US"/>
              </w:rPr>
              <w:t>混炼机</w:t>
            </w:r>
            <w:r>
              <w:rPr>
                <w:color w:val="auto"/>
                <w:lang w:val="en-US"/>
              </w:rPr>
              <w:t>内混合，飞灰中的重金属类与螯合剂反应，生成螯合物从而被稳定化。</w:t>
            </w:r>
            <w:r>
              <w:rPr>
                <w:rFonts w:hint="eastAsia"/>
                <w:color w:val="auto"/>
                <w:lang w:val="en-US"/>
              </w:rPr>
              <w:t>混炼机</w:t>
            </w:r>
            <w:r>
              <w:rPr>
                <w:color w:val="auto"/>
                <w:lang w:val="en-US"/>
              </w:rPr>
              <w:t>出来的被稳定化后的浆体，通过</w:t>
            </w:r>
            <w:r>
              <w:rPr>
                <w:rFonts w:hint="eastAsia"/>
                <w:color w:val="auto"/>
                <w:lang w:val="en-US"/>
              </w:rPr>
              <w:t>稳定化成型机成型</w:t>
            </w:r>
            <w:r>
              <w:rPr>
                <w:color w:val="auto"/>
                <w:lang w:val="en-US"/>
              </w:rPr>
              <w:t>，最后在养护间进行养护。养护过程中水分大量蒸发，然后再由专用</w:t>
            </w:r>
            <w:r>
              <w:rPr>
                <w:rFonts w:hint="eastAsia"/>
                <w:color w:val="auto"/>
                <w:lang w:val="en-US"/>
              </w:rPr>
              <w:t>运输</w:t>
            </w:r>
            <w:r>
              <w:rPr>
                <w:color w:val="auto"/>
                <w:lang w:val="en-US"/>
              </w:rPr>
              <w:t>车运走</w:t>
            </w:r>
            <w:r>
              <w:rPr>
                <w:rFonts w:hint="eastAsia"/>
                <w:color w:val="auto"/>
                <w:lang w:val="en-US"/>
              </w:rPr>
              <w:t>，</w:t>
            </w:r>
            <w:r>
              <w:rPr>
                <w:color w:val="auto"/>
                <w:lang w:val="en-US"/>
              </w:rPr>
              <w:t>运至指定地点填埋，至此完成整个飞灰稳定化处理过程。</w:t>
            </w:r>
          </w:p>
          <w:p>
            <w:pPr>
              <w:pStyle w:val="107"/>
              <w:spacing w:line="520" w:lineRule="exact"/>
              <w:rPr>
                <w:color w:val="auto"/>
                <w:lang w:val="en-US"/>
              </w:rPr>
            </w:pPr>
            <w:r>
              <w:rPr>
                <w:color w:val="auto"/>
                <w:lang w:val="en-US"/>
              </w:rPr>
              <w:t>本</w:t>
            </w:r>
            <w:r>
              <w:rPr>
                <w:rFonts w:hint="eastAsia"/>
                <w:color w:val="auto"/>
                <w:lang w:val="en-US"/>
              </w:rPr>
              <w:t>期</w:t>
            </w:r>
            <w:r>
              <w:rPr>
                <w:color w:val="auto"/>
                <w:lang w:val="en-US"/>
              </w:rPr>
              <w:t>项目产生飞灰约</w:t>
            </w:r>
            <w:r>
              <w:rPr>
                <w:rFonts w:hint="eastAsia"/>
                <w:color w:val="auto"/>
                <w:lang w:val="en-US" w:eastAsia="zh-CN"/>
              </w:rPr>
              <w:t>9500</w:t>
            </w:r>
            <w:r>
              <w:rPr>
                <w:rFonts w:hint="eastAsia"/>
                <w:color w:val="auto"/>
                <w:lang w:val="en-US"/>
              </w:rPr>
              <w:t>吨</w:t>
            </w:r>
            <w:r>
              <w:rPr>
                <w:rFonts w:hint="eastAsia"/>
                <w:color w:val="auto"/>
                <w:lang w:val="en-US" w:eastAsia="zh-CN"/>
              </w:rPr>
              <w:t>/年</w:t>
            </w:r>
            <w:r>
              <w:rPr>
                <w:color w:val="auto"/>
                <w:lang w:val="en-US"/>
              </w:rPr>
              <w:t>，飞灰稳定化系统按1班</w:t>
            </w:r>
            <w:r>
              <w:rPr>
                <w:rFonts w:hint="eastAsia"/>
                <w:color w:val="auto"/>
                <w:lang w:val="en-US"/>
              </w:rPr>
              <w:t>8</w:t>
            </w:r>
            <w:r>
              <w:rPr>
                <w:color w:val="auto"/>
                <w:lang w:val="en-US"/>
              </w:rPr>
              <w:t>小时作业，</w:t>
            </w:r>
            <w:r>
              <w:rPr>
                <w:rFonts w:hint="eastAsia"/>
                <w:color w:val="auto"/>
                <w:lang w:val="en-US"/>
              </w:rPr>
              <w:t>考虑远</w:t>
            </w:r>
            <w:r>
              <w:rPr>
                <w:color w:val="auto"/>
                <w:lang w:val="en-US"/>
              </w:rPr>
              <w:t>期需要，</w:t>
            </w:r>
            <w:r>
              <w:rPr>
                <w:rFonts w:hint="eastAsia"/>
                <w:color w:val="auto"/>
                <w:lang w:val="en-US"/>
              </w:rPr>
              <w:t>建议飞</w:t>
            </w:r>
            <w:r>
              <w:rPr>
                <w:color w:val="auto"/>
                <w:lang w:val="en-US"/>
              </w:rPr>
              <w:t>灰</w:t>
            </w:r>
            <w:r>
              <w:rPr>
                <w:rFonts w:hint="eastAsia"/>
                <w:color w:val="auto"/>
                <w:lang w:val="en-US"/>
              </w:rPr>
              <w:t>稳定化处理</w:t>
            </w:r>
            <w:r>
              <w:rPr>
                <w:color w:val="auto"/>
                <w:lang w:val="en-US"/>
              </w:rPr>
              <w:t>规模</w:t>
            </w:r>
            <w:r>
              <w:rPr>
                <w:rFonts w:hint="eastAsia"/>
                <w:color w:val="auto"/>
                <w:lang w:val="en-US" w:eastAsia="zh-CN"/>
              </w:rPr>
              <w:t>最大为8</w:t>
            </w:r>
            <w:r>
              <w:rPr>
                <w:color w:val="auto"/>
                <w:lang w:val="en-US"/>
              </w:rPr>
              <w:t>t/h。</w:t>
            </w:r>
          </w:p>
          <w:p>
            <w:pPr>
              <w:pStyle w:val="107"/>
              <w:spacing w:line="520" w:lineRule="exact"/>
              <w:rPr>
                <w:color w:val="auto"/>
                <w:lang w:val="en-US"/>
              </w:rPr>
            </w:pPr>
            <w:r>
              <w:rPr>
                <w:color w:val="auto"/>
                <w:lang w:val="en-US"/>
              </w:rPr>
              <w:t>飞灰稳定化设备主要有：灰库、</w:t>
            </w:r>
            <w:r>
              <w:rPr>
                <w:rFonts w:hint="eastAsia"/>
                <w:color w:val="auto"/>
                <w:lang w:val="en-US"/>
              </w:rPr>
              <w:t>水</w:t>
            </w:r>
            <w:r>
              <w:rPr>
                <w:color w:val="auto"/>
                <w:lang w:val="en-US"/>
              </w:rPr>
              <w:t>泥料仓、盘式定量给料机、可变速螺旋给料机、飞灰混炼机、螯合剂供给装置和养生皮带输送机。</w:t>
            </w:r>
          </w:p>
          <w:p>
            <w:pPr>
              <w:pStyle w:val="107"/>
              <w:spacing w:line="520" w:lineRule="exact"/>
              <w:rPr>
                <w:color w:val="auto"/>
                <w:lang w:val="en-US"/>
              </w:rPr>
            </w:pPr>
            <w:r>
              <w:rPr>
                <w:color w:val="auto"/>
                <w:lang w:val="en-US"/>
              </w:rPr>
              <w:t>本套设备采用全密封设计，有效防止有飞灰、气味的外扬，更好的保护环境。本机还配有通风加热系统，防止稳定化产物结露并适当烘干。</w:t>
            </w:r>
          </w:p>
          <w:p>
            <w:pPr>
              <w:pStyle w:val="107"/>
              <w:spacing w:line="520" w:lineRule="exact"/>
              <w:rPr>
                <w:rFonts w:hint="eastAsia"/>
                <w:color w:val="auto"/>
                <w:lang w:val="en-US" w:eastAsia="zh-CN"/>
              </w:rPr>
            </w:pPr>
            <w:r>
              <w:rPr>
                <w:color w:val="auto"/>
                <w:lang w:val="en-US"/>
              </w:rPr>
              <w:t>所采用飞灰稳定化工艺中水</w:t>
            </w:r>
            <w:r>
              <w:rPr>
                <w:rFonts w:hint="eastAsia"/>
                <w:color w:val="auto"/>
                <w:lang w:val="en-US"/>
              </w:rPr>
              <w:t>、</w:t>
            </w:r>
            <w:r>
              <w:rPr>
                <w:color w:val="auto"/>
                <w:lang w:val="en-US"/>
              </w:rPr>
              <w:t>螯合剂</w:t>
            </w:r>
            <w:r>
              <w:rPr>
                <w:rFonts w:hint="eastAsia"/>
                <w:color w:val="auto"/>
                <w:lang w:val="en-US"/>
              </w:rPr>
              <w:t>和</w:t>
            </w:r>
            <w:r>
              <w:rPr>
                <w:color w:val="auto"/>
                <w:lang w:val="en-US"/>
              </w:rPr>
              <w:t>水泥的添加量</w:t>
            </w:r>
            <w:r>
              <w:rPr>
                <w:rFonts w:hint="eastAsia"/>
                <w:color w:val="auto"/>
                <w:lang w:val="en-US"/>
              </w:rPr>
              <w:t>建议</w:t>
            </w:r>
            <w:r>
              <w:rPr>
                <w:color w:val="auto"/>
                <w:lang w:val="en-US"/>
              </w:rPr>
              <w:t>分别为飞灰量的</w:t>
            </w:r>
            <w:r>
              <w:rPr>
                <w:rFonts w:hint="eastAsia"/>
                <w:color w:val="auto"/>
                <w:lang w:val="en-US" w:eastAsia="zh-CN"/>
              </w:rPr>
              <w:t>1</w:t>
            </w:r>
            <w:r>
              <w:rPr>
                <w:color w:val="auto"/>
                <w:lang w:val="en-US"/>
              </w:rPr>
              <w:t>0%和</w:t>
            </w:r>
            <w:r>
              <w:rPr>
                <w:rFonts w:hint="eastAsia"/>
                <w:color w:val="auto"/>
                <w:lang w:val="en-US" w:eastAsia="zh-CN"/>
              </w:rPr>
              <w:t>1</w:t>
            </w:r>
            <w:r>
              <w:rPr>
                <w:color w:val="auto"/>
                <w:lang w:val="en-US"/>
              </w:rPr>
              <w:t>%</w:t>
            </w:r>
            <w:r>
              <w:rPr>
                <w:rFonts w:hint="eastAsia"/>
                <w:color w:val="auto"/>
                <w:lang w:val="en-US"/>
              </w:rPr>
              <w:t>和</w:t>
            </w:r>
            <w:r>
              <w:rPr>
                <w:rFonts w:hint="eastAsia"/>
                <w:color w:val="auto"/>
                <w:lang w:val="en-US" w:eastAsia="zh-CN"/>
              </w:rPr>
              <w:t>30</w:t>
            </w:r>
            <w:r>
              <w:rPr>
                <w:color w:val="auto"/>
                <w:lang w:val="en-US"/>
              </w:rPr>
              <w:t>%。</w:t>
            </w:r>
          </w:p>
          <w:p>
            <w:pPr>
              <w:pStyle w:val="107"/>
              <w:spacing w:line="520" w:lineRule="exact"/>
              <w:rPr>
                <w:rFonts w:hint="eastAsia"/>
                <w:color w:val="auto"/>
                <w:lang w:eastAsia="zh-CN"/>
              </w:rPr>
            </w:pPr>
            <w:r>
              <w:rPr>
                <w:color w:val="auto"/>
              </w:rPr>
              <w:t>飞灰固化车间设置1个</w:t>
            </w:r>
            <w:r>
              <w:rPr>
                <w:rFonts w:hint="eastAsia"/>
                <w:color w:val="auto"/>
                <w:lang w:eastAsia="zh-CN"/>
              </w:rPr>
              <w:t>20</w:t>
            </w:r>
            <w:r>
              <w:rPr>
                <w:color w:val="auto"/>
              </w:rPr>
              <w:t>0m</w:t>
            </w:r>
            <w:r>
              <w:rPr>
                <w:color w:val="auto"/>
                <w:vertAlign w:val="superscript"/>
              </w:rPr>
              <w:t>3</w:t>
            </w:r>
            <w:r>
              <w:rPr>
                <w:color w:val="auto"/>
              </w:rPr>
              <w:t>飞灰料仓、1个</w:t>
            </w:r>
            <w:r>
              <w:rPr>
                <w:rFonts w:hint="eastAsia"/>
                <w:color w:val="auto"/>
                <w:lang w:eastAsia="zh-CN"/>
              </w:rPr>
              <w:t>30</w:t>
            </w:r>
            <w:r>
              <w:rPr>
                <w:color w:val="auto"/>
              </w:rPr>
              <w:t>m</w:t>
            </w:r>
            <w:r>
              <w:rPr>
                <w:color w:val="auto"/>
                <w:vertAlign w:val="superscript"/>
              </w:rPr>
              <w:t>3</w:t>
            </w:r>
            <w:r>
              <w:rPr>
                <w:color w:val="auto"/>
              </w:rPr>
              <w:t>水泥料仓和1个螯合剂</w:t>
            </w:r>
            <w:r>
              <w:rPr>
                <w:rFonts w:hint="eastAsia"/>
                <w:color w:val="auto"/>
                <w:lang w:eastAsia="zh-CN"/>
              </w:rPr>
              <w:t>配制槽</w:t>
            </w:r>
            <w:r>
              <w:rPr>
                <w:color w:val="auto"/>
              </w:rPr>
              <w:t>，飞灰料仓和水泥料仓均设有除尘系统，飞灰、水泥和螯合剂的输送均密闭。</w:t>
            </w:r>
          </w:p>
          <w:p>
            <w:pPr>
              <w:widowControl/>
              <w:spacing w:line="500" w:lineRule="exact"/>
              <w:ind w:firstLine="482" w:firstLineChars="200"/>
              <w:jc w:val="left"/>
              <w:rPr>
                <w:rFonts w:hint="default" w:ascii="Times New Roman" w:hAnsi="Times New Roman" w:eastAsia="宋体"/>
                <w:b/>
                <w:bCs w:val="0"/>
                <w:color w:val="auto"/>
                <w:sz w:val="24"/>
                <w:szCs w:val="24"/>
                <w:u w:val="none"/>
                <w:lang w:val="en-US" w:eastAsia="zh-CN"/>
              </w:rPr>
            </w:pPr>
            <w:r>
              <w:rPr>
                <w:rFonts w:hint="eastAsia"/>
                <w:b/>
                <w:bCs w:val="0"/>
                <w:color w:val="auto"/>
                <w:sz w:val="24"/>
                <w:szCs w:val="24"/>
                <w:u w:val="none"/>
                <w:lang w:val="en-US" w:eastAsia="zh-CN"/>
              </w:rPr>
              <w:t xml:space="preserve">3 </w:t>
            </w:r>
            <w:r>
              <w:rPr>
                <w:rFonts w:hint="eastAsia" w:ascii="Times New Roman" w:hAnsi="Times New Roman" w:eastAsia="宋体"/>
                <w:b/>
                <w:bCs w:val="0"/>
                <w:color w:val="auto"/>
                <w:sz w:val="24"/>
                <w:szCs w:val="24"/>
                <w:u w:val="none"/>
                <w:lang w:eastAsia="zh-CN"/>
              </w:rPr>
              <w:t>现有工程污染物处理情况</w:t>
            </w:r>
            <w:r>
              <w:rPr>
                <w:rFonts w:hint="eastAsia"/>
                <w:b/>
                <w:bCs w:val="0"/>
                <w:color w:val="auto"/>
                <w:sz w:val="24"/>
                <w:szCs w:val="24"/>
                <w:u w:val="none"/>
                <w:lang w:val="en-US" w:eastAsia="zh-CN"/>
              </w:rPr>
              <w:t>及达标情况</w:t>
            </w:r>
          </w:p>
          <w:p>
            <w:pPr>
              <w:overflowPunct w:val="0"/>
              <w:topLinePunct/>
              <w:spacing w:line="480" w:lineRule="exact"/>
              <w:ind w:firstLine="480" w:firstLineChars="200"/>
              <w:contextualSpacing/>
              <w:rPr>
                <w:rFonts w:hint="eastAsia"/>
                <w:b/>
                <w:bCs w:val="0"/>
                <w:color w:val="auto"/>
                <w:sz w:val="24"/>
                <w:szCs w:val="24"/>
                <w:u w:val="none"/>
                <w:lang w:val="en-US" w:eastAsia="zh-CN"/>
              </w:rPr>
            </w:pPr>
            <w:r>
              <w:rPr>
                <w:rFonts w:hint="eastAsia" w:ascii="Times New Roman" w:hAnsi="Times New Roman" w:eastAsia="宋体" w:cs="Times New Roman"/>
                <w:bCs/>
                <w:color w:val="auto"/>
                <w:sz w:val="24"/>
                <w:szCs w:val="24"/>
                <w:highlight w:val="none"/>
                <w:u w:val="none"/>
                <w:lang w:eastAsia="zh-CN"/>
              </w:rPr>
              <w:t>根据</w:t>
            </w:r>
            <w:r>
              <w:rPr>
                <w:rFonts w:hint="eastAsia" w:ascii="Times New Roman" w:hAnsi="Times New Roman" w:eastAsia="宋体" w:cs="Times New Roman"/>
                <w:bCs/>
                <w:color w:val="auto"/>
                <w:sz w:val="24"/>
                <w:szCs w:val="24"/>
                <w:u w:val="none"/>
                <w:lang w:eastAsia="zh-CN"/>
              </w:rPr>
              <w:t>现有工程采用的生产工艺，项目生产过程产生的</w:t>
            </w:r>
            <w:r>
              <w:rPr>
                <w:rFonts w:hint="eastAsia" w:cs="Times New Roman"/>
                <w:bCs/>
                <w:color w:val="auto"/>
                <w:sz w:val="24"/>
                <w:szCs w:val="24"/>
                <w:u w:val="none"/>
                <w:lang w:val="en-US" w:eastAsia="zh-CN"/>
              </w:rPr>
              <w:t>废气</w:t>
            </w:r>
            <w:r>
              <w:rPr>
                <w:rFonts w:hint="eastAsia" w:ascii="Times New Roman" w:hAnsi="Times New Roman" w:eastAsia="宋体" w:cs="Times New Roman"/>
                <w:bCs/>
                <w:color w:val="auto"/>
                <w:sz w:val="24"/>
                <w:szCs w:val="24"/>
                <w:u w:val="none"/>
                <w:lang w:val="en-US" w:eastAsia="zh-CN"/>
              </w:rPr>
              <w:t>通过排气筒达标排放，</w:t>
            </w:r>
            <w:r>
              <w:rPr>
                <w:rFonts w:hint="eastAsia" w:ascii="Times New Roman" w:hAnsi="Times New Roman" w:eastAsia="宋体" w:cs="Times New Roman"/>
                <w:bCs/>
                <w:color w:val="auto"/>
                <w:sz w:val="24"/>
                <w:szCs w:val="24"/>
                <w:u w:val="none"/>
                <w:lang w:eastAsia="zh-CN"/>
              </w:rPr>
              <w:t>根据现有工程</w:t>
            </w:r>
            <w:r>
              <w:rPr>
                <w:rFonts w:hint="eastAsia" w:cs="Times New Roman"/>
                <w:bCs/>
                <w:color w:val="auto"/>
                <w:sz w:val="24"/>
                <w:szCs w:val="24"/>
                <w:u w:val="none"/>
                <w:lang w:val="en-US" w:eastAsia="zh-CN"/>
              </w:rPr>
              <w:t>在线比对检测报告和自行监测</w:t>
            </w:r>
            <w:r>
              <w:rPr>
                <w:rFonts w:hint="eastAsia" w:ascii="Times New Roman" w:hAnsi="Times New Roman" w:eastAsia="宋体" w:cs="Times New Roman"/>
                <w:bCs/>
                <w:color w:val="auto"/>
                <w:sz w:val="24"/>
                <w:szCs w:val="24"/>
                <w:u w:val="none"/>
                <w:lang w:eastAsia="zh-CN"/>
              </w:rPr>
              <w:t>报告</w:t>
            </w:r>
            <w:r>
              <w:rPr>
                <w:rFonts w:hint="eastAsia" w:ascii="Times New Roman" w:hAnsi="Times New Roman" w:eastAsia="宋体" w:cs="Times New Roman"/>
                <w:bCs/>
                <w:color w:val="auto"/>
                <w:sz w:val="24"/>
                <w:szCs w:val="24"/>
                <w:u w:val="none"/>
                <w:lang w:val="en-US" w:eastAsia="zh-CN"/>
              </w:rPr>
              <w:t>（报告编号ZTGK-LX-0971-2023）</w:t>
            </w:r>
            <w:r>
              <w:rPr>
                <w:rFonts w:hint="eastAsia" w:cs="Times New Roman"/>
                <w:bCs/>
                <w:color w:val="auto"/>
                <w:sz w:val="24"/>
                <w:szCs w:val="24"/>
                <w:u w:val="none"/>
                <w:lang w:eastAsia="zh-CN"/>
              </w:rPr>
              <w:t>（</w:t>
            </w:r>
            <w:r>
              <w:rPr>
                <w:rFonts w:hint="eastAsia" w:cs="Times New Roman"/>
                <w:bCs/>
                <w:color w:val="auto"/>
                <w:sz w:val="24"/>
                <w:szCs w:val="24"/>
                <w:u w:val="none"/>
                <w:lang w:val="en-US" w:eastAsia="zh-CN"/>
              </w:rPr>
              <w:t>检测日期为</w:t>
            </w:r>
            <w:r>
              <w:rPr>
                <w:rFonts w:hint="eastAsia" w:cs="Times New Roman"/>
                <w:bCs/>
                <w:color w:val="auto"/>
                <w:sz w:val="24"/>
                <w:szCs w:val="24"/>
                <w:highlight w:val="none"/>
                <w:u w:val="none"/>
                <w:lang w:val="en-US" w:eastAsia="zh-CN"/>
              </w:rPr>
              <w:t>2023年09月07日、09月12日、10月13日（报告编号为ZTGK-LX-1071-2023</w:t>
            </w:r>
            <w:r>
              <w:rPr>
                <w:rFonts w:hint="eastAsia"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eastAsia="zh-CN"/>
              </w:rPr>
              <w:t>（详见附件</w:t>
            </w:r>
            <w:r>
              <w:rPr>
                <w:rFonts w:hint="eastAsia" w:cs="Times New Roman"/>
                <w:bCs/>
                <w:color w:val="auto"/>
                <w:sz w:val="24"/>
                <w:szCs w:val="24"/>
                <w:u w:val="none"/>
                <w:lang w:val="en-US" w:eastAsia="zh-CN"/>
              </w:rPr>
              <w:t>15</w:t>
            </w:r>
            <w:r>
              <w:rPr>
                <w:rFonts w:hint="eastAsia" w:ascii="Times New Roman" w:hAnsi="Times New Roman" w:eastAsia="宋体" w:cs="Times New Roman"/>
                <w:bCs/>
                <w:color w:val="auto"/>
                <w:sz w:val="24"/>
                <w:szCs w:val="24"/>
                <w:u w:val="none"/>
                <w:lang w:eastAsia="zh-CN"/>
              </w:rPr>
              <w:t>）</w:t>
            </w:r>
            <w:r>
              <w:rPr>
                <w:rFonts w:hint="eastAsia" w:cs="Times New Roman"/>
                <w:bCs/>
                <w:color w:val="auto"/>
                <w:sz w:val="24"/>
                <w:szCs w:val="24"/>
                <w:u w:val="none"/>
                <w:lang w:eastAsia="zh-CN"/>
              </w:rPr>
              <w:t>，</w:t>
            </w:r>
            <w:r>
              <w:rPr>
                <w:rFonts w:hint="eastAsia" w:cs="Times New Roman"/>
                <w:bCs/>
                <w:color w:val="auto"/>
                <w:sz w:val="24"/>
                <w:szCs w:val="24"/>
                <w:u w:val="none"/>
                <w:lang w:val="en-US" w:eastAsia="zh-CN"/>
              </w:rPr>
              <w:t>本项目现有工程污染物处理情况和达标情况如下：</w:t>
            </w:r>
          </w:p>
          <w:p>
            <w:pPr>
              <w:overflowPunct w:val="0"/>
              <w:topLinePunct/>
              <w:spacing w:line="480" w:lineRule="exact"/>
              <w:ind w:firstLine="482" w:firstLineChars="200"/>
              <w:contextualSpacing/>
              <w:rPr>
                <w:rFonts w:hint="eastAsia" w:ascii="Times New Roman" w:hAnsi="Times New Roman" w:eastAsia="宋体" w:cs="Times New Roman"/>
                <w:bCs/>
                <w:color w:val="auto"/>
                <w:sz w:val="24"/>
                <w:szCs w:val="24"/>
                <w:u w:val="none"/>
                <w:lang w:eastAsia="zh-CN"/>
              </w:rPr>
            </w:pPr>
            <w:r>
              <w:rPr>
                <w:rFonts w:hint="eastAsia"/>
                <w:b/>
                <w:bCs w:val="0"/>
                <w:color w:val="auto"/>
                <w:sz w:val="24"/>
                <w:szCs w:val="24"/>
                <w:u w:val="none"/>
                <w:lang w:val="en-US" w:eastAsia="zh-CN"/>
              </w:rPr>
              <w:t>3.1</w:t>
            </w:r>
            <w:r>
              <w:rPr>
                <w:rFonts w:hint="eastAsia" w:ascii="Times New Roman" w:hAnsi="Times New Roman" w:eastAsia="宋体" w:cs="Times New Roman"/>
                <w:b/>
                <w:bCs w:val="0"/>
                <w:color w:val="auto"/>
                <w:sz w:val="24"/>
                <w:szCs w:val="24"/>
                <w:u w:val="none"/>
                <w:lang w:val="en-US" w:eastAsia="zh-CN"/>
              </w:rPr>
              <w:t>废气</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（1）焚烧炉焚烧过程中产生的废气通过“SNCR炉内脱销+半干法脱酸/干法脱酸+活性炭吸附+袋式除尘器”处理后通过1根80m高集束烟囱排放；</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2）垃圾卸料过程、垃圾在垃圾池内堆放过程、渗滤液收集系统、渗滤液处理站运行产生的恶臭气体经负压收集后进入垃圾焚烧系统焚烧处理，焚烧炉检修时，恶臭气体经负压收集后活性炭吸附处理后通过厂房上方排气口无组织排放；</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3）石灰仓、消石灰仓、活性炭仓和飞灰仓产生的粉尘经仓顶布袋除尘器处理后无组织排放，出渣系统加强密闭性和炉渣含水率降低无组织排放，卸料大厅在进、出口和垃圾卸料门处设采取密闭措施、及时清洗、设置自动感应门和空气幕、吸风口微负压、定期喷洒除臭剂、绿化等措施降低恶臭气体无组织排放，灰渣转运采用密闭运输车并减速行驶来降低无组织排放。</w:t>
            </w:r>
          </w:p>
          <w:p>
            <w:pPr>
              <w:overflowPunct w:val="0"/>
              <w:topLinePunct/>
              <w:spacing w:line="480" w:lineRule="exact"/>
              <w:ind w:firstLine="482" w:firstLineChars="200"/>
              <w:contextualSpacing/>
              <w:rPr>
                <w:rFonts w:hint="default" w:cs="Times New Roman"/>
                <w:b/>
                <w:bCs w:val="0"/>
                <w:color w:val="auto"/>
                <w:sz w:val="24"/>
                <w:szCs w:val="24"/>
                <w:u w:val="none"/>
                <w:lang w:val="en-US" w:eastAsia="zh-CN"/>
              </w:rPr>
            </w:pPr>
            <w:r>
              <w:rPr>
                <w:rFonts w:hint="eastAsia" w:cs="Times New Roman"/>
                <w:b/>
                <w:bCs w:val="0"/>
                <w:color w:val="auto"/>
                <w:sz w:val="24"/>
                <w:szCs w:val="24"/>
                <w:u w:val="none"/>
                <w:lang w:val="en-US" w:eastAsia="zh-CN"/>
              </w:rPr>
              <w:t>根据在线比对检测报告结果可知：</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二氧化硫浓度为39.8mg/m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，氮氧化物浓度为105.6mg/m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，颗粒物为1.9mg/m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，氯化氢最大折算浓度为17.1mg/m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，一氧化碳浓度为1.6mg/m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，均能够满足《生活垃圾焚烧污染控制标准》（GB18485-2014）表4相关标准限值要求。</w:t>
            </w:r>
          </w:p>
          <w:p>
            <w:pPr>
              <w:overflowPunct w:val="0"/>
              <w:topLinePunct/>
              <w:spacing w:line="480" w:lineRule="exact"/>
              <w:ind w:firstLine="482" w:firstLineChars="200"/>
              <w:contextualSpacing/>
              <w:rPr>
                <w:rFonts w:hint="eastAsia" w:cs="Times New Roman"/>
                <w:b/>
                <w:bCs w:val="0"/>
                <w:color w:val="auto"/>
                <w:sz w:val="24"/>
                <w:szCs w:val="24"/>
                <w:u w:val="none"/>
                <w:lang w:val="en-US" w:eastAsia="zh-CN"/>
              </w:rPr>
            </w:pPr>
            <w:r>
              <w:rPr>
                <w:rFonts w:hint="eastAsia" w:cs="Times New Roman"/>
                <w:b/>
                <w:bCs w:val="0"/>
                <w:color w:val="auto"/>
                <w:sz w:val="24"/>
                <w:szCs w:val="24"/>
                <w:u w:val="none"/>
                <w:lang w:val="en-US" w:eastAsia="zh-CN"/>
              </w:rPr>
              <w:t>根据自行监测结果可知：</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汞及其化合物为未检出，镉、铊及其化合物为未检出，锑、砷、铅、铬、钴、铜、锰、镍及其化合物最大折算浓度为</w:t>
            </w:r>
            <w:r>
              <w:rPr>
                <w:rFonts w:hint="eastAsia" w:cs="Times New Roman"/>
                <w:bCs/>
                <w:color w:val="auto"/>
                <w:sz w:val="24"/>
                <w:szCs w:val="24"/>
                <w:highlight w:val="none"/>
                <w:u w:val="none"/>
                <w:lang w:val="en-US" w:eastAsia="zh-CN"/>
              </w:rPr>
              <w:t>0.0321m</w:t>
            </w:r>
            <w:r>
              <w:rPr>
                <w:rFonts w:hint="eastAsia" w:cs="Times New Roman"/>
                <w:bCs/>
                <w:color w:val="auto"/>
                <w:sz w:val="24"/>
                <w:szCs w:val="24"/>
                <w:u w:val="none"/>
                <w:lang w:val="en-US" w:eastAsia="zh-CN"/>
              </w:rPr>
              <w:t>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，二噁英类最大监测浓度为0.034 ngTEQ/m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。能够满足欧盟对生活垃圾焚烧烟气污染物排放标准（EU2010/75/EC）中排放限值要求。</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氨监测浓度最大值为0.068mg/m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，硫化氢监测浓度最大值为0.007mg/m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，臭气浓度均</w:t>
            </w:r>
            <w:r>
              <w:rPr>
                <w:rFonts w:hint="eastAsia" w:cs="Times New Roman"/>
                <w:bCs/>
                <w:color w:val="auto"/>
                <w:sz w:val="24"/>
                <w:szCs w:val="24"/>
                <w:highlight w:val="none"/>
                <w:u w:val="none"/>
                <w:lang w:val="en-US" w:eastAsia="zh-CN"/>
              </w:rPr>
              <w:t>&lt;10</w:t>
            </w:r>
            <w:r>
              <w:rPr>
                <w:rFonts w:hint="eastAsia" w:cs="Times New Roman"/>
                <w:bCs/>
                <w:color w:val="auto"/>
                <w:sz w:val="24"/>
                <w:szCs w:val="24"/>
                <w:u w:val="none"/>
                <w:lang w:val="en-US" w:eastAsia="zh-CN"/>
              </w:rPr>
              <w:t>，能够满足《恶臭污染物排放标准》（GB14554-93）标准限值；颗粒物监测浓度最大值为0.465mg/m</w:t>
            </w:r>
            <w:r>
              <w:rPr>
                <w:rFonts w:hint="eastAsia" w:cs="Times New Roman"/>
                <w:bCs/>
                <w:color w:val="auto"/>
                <w:sz w:val="24"/>
                <w:szCs w:val="24"/>
                <w:u w:val="none"/>
                <w:vertAlign w:val="superscript"/>
                <w:lang w:val="en-US" w:eastAsia="zh-CN"/>
              </w:rPr>
              <w:t>3</w:t>
            </w:r>
            <w:r>
              <w:rPr>
                <w:rFonts w:hint="eastAsia" w:cs="Times New Roman"/>
                <w:bCs/>
                <w:color w:val="auto"/>
                <w:sz w:val="24"/>
                <w:szCs w:val="24"/>
                <w:u w:val="none"/>
                <w:lang w:val="en-US" w:eastAsia="zh-CN"/>
              </w:rPr>
              <w:t>，能满足《大气污染物综合排放标准》（GB16297-1996）表2二级标准要求限值。</w:t>
            </w:r>
          </w:p>
          <w:p>
            <w:pPr>
              <w:overflowPunct w:val="0"/>
              <w:topLinePunct/>
              <w:spacing w:line="480" w:lineRule="exact"/>
              <w:ind w:firstLine="482" w:firstLineChars="200"/>
              <w:contextualSpacing/>
              <w:rPr>
                <w:rFonts w:hint="eastAsia" w:ascii="Times New Roman" w:hAnsi="Times New Roman" w:eastAsia="宋体" w:cs="Times New Roman"/>
                <w:b/>
                <w:bCs w:val="0"/>
                <w:color w:val="auto"/>
                <w:sz w:val="24"/>
                <w:szCs w:val="24"/>
                <w:u w:val="none"/>
                <w:lang w:val="en-US" w:eastAsia="zh-CN"/>
              </w:rPr>
            </w:pPr>
            <w:r>
              <w:rPr>
                <w:rFonts w:hint="eastAsia" w:cs="Times New Roman"/>
                <w:b/>
                <w:bCs w:val="0"/>
                <w:color w:val="auto"/>
                <w:sz w:val="24"/>
                <w:szCs w:val="24"/>
                <w:u w:val="none"/>
                <w:lang w:val="en-US" w:eastAsia="zh-CN"/>
              </w:rPr>
              <w:t>3</w:t>
            </w:r>
            <w:r>
              <w:rPr>
                <w:rFonts w:hint="eastAsia" w:ascii="Times New Roman" w:hAnsi="Times New Roman" w:eastAsia="宋体" w:cs="Times New Roman"/>
                <w:b/>
                <w:bCs w:val="0"/>
                <w:color w:val="auto"/>
                <w:sz w:val="24"/>
                <w:szCs w:val="24"/>
                <w:u w:val="none"/>
                <w:lang w:val="en-US" w:eastAsia="zh-CN"/>
              </w:rPr>
              <w:t>.2废水</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废水主要包括生活污水、工业废水、垃圾渗滤液、冲洗废水、化验室废水和初期雨水。</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根据2021年验收监测结果表明，验收监测期间，生活污水处理站出水执行《城市污水再生利用城市杂用水水质》GB/T18920-20</w:t>
            </w:r>
            <w:r>
              <w:rPr>
                <w:rFonts w:hint="eastAsia" w:cs="Times New Roman"/>
                <w:bCs/>
                <w:color w:val="auto"/>
                <w:sz w:val="24"/>
                <w:szCs w:val="24"/>
                <w:highlight w:val="none"/>
                <w:u w:val="none"/>
                <w:lang w:val="en-US" w:eastAsia="zh-CN"/>
              </w:rPr>
              <w:t>20</w:t>
            </w:r>
            <w:r>
              <w:rPr>
                <w:rFonts w:hint="eastAsia" w:cs="Times New Roman"/>
                <w:bCs/>
                <w:color w:val="auto"/>
                <w:sz w:val="24"/>
                <w:szCs w:val="24"/>
                <w:u w:val="none"/>
                <w:lang w:val="en-US" w:eastAsia="zh-CN"/>
              </w:rPr>
              <w:t>标准，回用作为厂区绿化用水或道路洒水；垃圾渗滤液废处理站出水执行《城市污水再生利用 工业用水水质》（GB/T19923-2005）中洗涤用水、敞开式循环冷却水系统补充水、锅炉补给水标准、工艺与产品用水相关标准要求。</w:t>
            </w:r>
          </w:p>
          <w:p>
            <w:pPr>
              <w:overflowPunct w:val="0"/>
              <w:topLinePunct/>
              <w:spacing w:line="480" w:lineRule="exact"/>
              <w:ind w:firstLine="480" w:firstLineChars="200"/>
              <w:contextualSpacing/>
              <w:rPr>
                <w:rFonts w:hint="default" w:ascii="Times New Roman" w:hAnsi="Times New Roman" w:eastAsia="宋体" w:cs="Times New Roman"/>
                <w:bCs/>
                <w:color w:val="auto"/>
                <w:sz w:val="24"/>
                <w:szCs w:val="24"/>
                <w:u w:val="none"/>
                <w:lang w:val="en-US" w:eastAsia="zh-CN"/>
              </w:rPr>
            </w:pPr>
            <w:r>
              <w:rPr>
                <w:rFonts w:hint="eastAsia" w:ascii="Times New Roman" w:hAnsi="Times New Roman" w:eastAsia="宋体" w:cs="Times New Roman"/>
                <w:bCs/>
                <w:color w:val="auto"/>
                <w:sz w:val="24"/>
                <w:szCs w:val="24"/>
                <w:u w:val="none"/>
                <w:lang w:val="en-US" w:eastAsia="zh-CN"/>
              </w:rPr>
              <w:t>雨水：根据现有工程自行监测报告</w:t>
            </w:r>
            <w:r>
              <w:rPr>
                <w:rFonts w:hint="eastAsia" w:cs="Times New Roman"/>
                <w:bCs/>
                <w:color w:val="auto"/>
                <w:sz w:val="24"/>
                <w:szCs w:val="24"/>
                <w:highlight w:val="none"/>
                <w:u w:val="none"/>
                <w:lang w:val="en-US" w:eastAsia="zh-CN"/>
              </w:rPr>
              <w:t>（报告编号为ZTGK-LX-0972-2023</w:t>
            </w:r>
            <w:r>
              <w:rPr>
                <w:rFonts w:hint="eastAsia"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，检测日期为2023年9月12日，检测结果为：pH值（无量纲）：7.6；化学需氧量为54mg/L；氨氮为7.58mg/L；铅在0.2mg/L以下；镉在0.05mg/L以下；汞在0.04μg/L以下；</w:t>
            </w:r>
          </w:p>
          <w:p>
            <w:pPr>
              <w:overflowPunct w:val="0"/>
              <w:topLinePunct/>
              <w:spacing w:line="480" w:lineRule="exact"/>
              <w:ind w:firstLine="480" w:firstLineChars="200"/>
              <w:contextualSpacing/>
              <w:rPr>
                <w:rFonts w:hint="eastAsia" w:ascii="Times New Roman" w:hAnsi="Times New Roman" w:eastAsia="宋体" w:cs="Times New Roman"/>
                <w:bCs/>
                <w:color w:val="auto"/>
                <w:sz w:val="24"/>
                <w:szCs w:val="24"/>
                <w:u w:val="none"/>
                <w:lang w:val="en-US" w:eastAsia="zh-CN"/>
              </w:rPr>
            </w:pPr>
            <w:r>
              <w:rPr>
                <w:rFonts w:hint="eastAsia" w:ascii="Times New Roman" w:hAnsi="Times New Roman" w:eastAsia="宋体" w:cs="Times New Roman"/>
                <w:bCs/>
                <w:color w:val="auto"/>
                <w:sz w:val="24"/>
                <w:szCs w:val="24"/>
                <w:u w:val="none"/>
                <w:lang w:val="en-US" w:eastAsia="zh-CN"/>
              </w:rPr>
              <w:t>地下水：根据现有工程自行监测报告</w:t>
            </w:r>
            <w:r>
              <w:rPr>
                <w:rFonts w:hint="eastAsia" w:cs="Times New Roman"/>
                <w:bCs/>
                <w:color w:val="auto"/>
                <w:sz w:val="24"/>
                <w:szCs w:val="24"/>
                <w:highlight w:val="none"/>
                <w:u w:val="none"/>
                <w:lang w:val="en-US" w:eastAsia="zh-CN"/>
              </w:rPr>
              <w:t>（报告编号为ZTGK-LX-0975-2023</w:t>
            </w:r>
            <w:r>
              <w:rPr>
                <w:rFonts w:hint="eastAsia"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，检测日期为2023年9月13日，检测结果为：</w:t>
            </w:r>
          </w:p>
          <w:p>
            <w:pPr>
              <w:overflowPunct w:val="0"/>
              <w:topLinePunct/>
              <w:spacing w:line="480" w:lineRule="exact"/>
              <w:ind w:firstLine="480" w:firstLineChars="200"/>
              <w:contextualSpacing/>
              <w:rPr>
                <w:rFonts w:hint="default" w:ascii="Times New Roman" w:hAnsi="Times New Roman" w:eastAsia="宋体" w:cs="Times New Roman"/>
                <w:bCs/>
                <w:color w:val="auto"/>
                <w:sz w:val="24"/>
                <w:szCs w:val="24"/>
                <w:u w:val="none"/>
                <w:lang w:val="en-US" w:eastAsia="zh-CN"/>
              </w:rPr>
            </w:pPr>
            <w:r>
              <w:rPr>
                <w:rFonts w:hint="eastAsia" w:ascii="Times New Roman" w:hAnsi="Times New Roman" w:eastAsia="宋体" w:cs="Times New Roman"/>
                <w:bCs/>
                <w:color w:val="auto"/>
                <w:sz w:val="24"/>
                <w:szCs w:val="24"/>
                <w:u w:val="none"/>
                <w:lang w:val="en-US" w:eastAsia="zh-CN"/>
              </w:rPr>
              <w:t>渗滤液油罐区东侧：化学需氧量为6mg/L；五日生化需氧量为1.5mg/L；氨氮为0.025mg/L以下；总铅在2.5μg/L以下；总镉在0.5μg/L以下；总汞在0.04μg/L以下；总砷在0.3μg/L以下；（其中总铅、总镉、总汞、总砷为未达到检出限和最低检出浓度）</w:t>
            </w:r>
          </w:p>
          <w:p>
            <w:pPr>
              <w:overflowPunct w:val="0"/>
              <w:topLinePunct/>
              <w:spacing w:line="480" w:lineRule="exact"/>
              <w:ind w:firstLine="480" w:firstLineChars="200"/>
              <w:contextualSpacing/>
              <w:rPr>
                <w:rFonts w:hint="default" w:ascii="Times New Roman" w:hAnsi="Times New Roman" w:eastAsia="宋体" w:cs="Times New Roman"/>
                <w:bCs/>
                <w:color w:val="auto"/>
                <w:sz w:val="24"/>
                <w:szCs w:val="24"/>
                <w:u w:val="none"/>
                <w:lang w:val="en-US" w:eastAsia="zh-CN"/>
              </w:rPr>
            </w:pPr>
            <w:r>
              <w:rPr>
                <w:rFonts w:hint="eastAsia" w:ascii="Times New Roman" w:hAnsi="Times New Roman" w:eastAsia="宋体" w:cs="Times New Roman"/>
                <w:bCs/>
                <w:color w:val="auto"/>
                <w:sz w:val="24"/>
                <w:szCs w:val="24"/>
                <w:u w:val="none"/>
                <w:lang w:val="en-US" w:eastAsia="zh-CN"/>
              </w:rPr>
              <w:t>厂区东北角：化学需氧量为8mg/L；五日生化需氧量为1.8mg/L；氨氮为0.025mg/L以下；总铅在2.5μg/L以下；总镉在0.5μg/L以下；总汞在0.04μg/L以下；总砷在0.3μg/L以下；（其中总铅、总镉、总汞、总砷为未达到检出限和最低检出浓度）</w:t>
            </w:r>
          </w:p>
          <w:p>
            <w:pPr>
              <w:overflowPunct w:val="0"/>
              <w:topLinePunct/>
              <w:spacing w:line="480" w:lineRule="exact"/>
              <w:ind w:firstLine="480" w:firstLineChars="200"/>
              <w:contextualSpacing/>
              <w:rPr>
                <w:rFonts w:hint="default" w:ascii="Times New Roman" w:hAnsi="Times New Roman" w:eastAsia="宋体" w:cs="Times New Roman"/>
                <w:bCs/>
                <w:color w:val="auto"/>
                <w:sz w:val="24"/>
                <w:szCs w:val="24"/>
                <w:u w:val="none"/>
                <w:lang w:val="en-US" w:eastAsia="zh-CN"/>
              </w:rPr>
            </w:pPr>
            <w:r>
              <w:rPr>
                <w:rFonts w:hint="eastAsia" w:ascii="Times New Roman" w:hAnsi="Times New Roman" w:eastAsia="宋体" w:cs="Times New Roman"/>
                <w:bCs/>
                <w:color w:val="auto"/>
                <w:sz w:val="24"/>
                <w:szCs w:val="24"/>
                <w:u w:val="none"/>
                <w:lang w:val="en-US" w:eastAsia="zh-CN"/>
              </w:rPr>
              <w:t>厂区西南角：化学需氧量为9mg/L；五日生化需氧量为2.1mg/L；氨氮为0.025mg/L以下；总铅在2.5μg/L以下；总镉在0.5μg/L以下；总汞在0.04μg/L以下；总砷在0.3μg/L以下；（其中总铅、总镉、总汞、总砷为未达到检出限和最低检出浓度）</w:t>
            </w:r>
          </w:p>
          <w:p>
            <w:pPr>
              <w:overflowPunct w:val="0"/>
              <w:topLinePunct/>
              <w:spacing w:line="480" w:lineRule="exact"/>
              <w:contextualSpacing/>
              <w:rPr>
                <w:rFonts w:hint="eastAsia" w:ascii="Times New Roman" w:hAnsi="Times New Roman" w:eastAsia="宋体" w:cs="Times New Roman"/>
                <w:bCs/>
                <w:color w:val="auto"/>
                <w:sz w:val="24"/>
                <w:szCs w:val="24"/>
                <w:u w:val="none"/>
                <w:lang w:val="en-US" w:eastAsia="zh-CN"/>
              </w:rPr>
            </w:pPr>
            <w:r>
              <w:rPr>
                <w:rFonts w:hint="eastAsia" w:ascii="Times New Roman" w:hAnsi="Times New Roman" w:eastAsia="宋体" w:cs="Times New Roman"/>
                <w:bCs/>
                <w:color w:val="auto"/>
                <w:sz w:val="24"/>
                <w:szCs w:val="24"/>
                <w:u w:val="none"/>
                <w:lang w:val="en-US" w:eastAsia="zh-CN"/>
              </w:rPr>
              <w:t xml:space="preserve">   </w:t>
            </w:r>
            <w:r>
              <w:rPr>
                <w:rFonts w:hint="eastAsia" w:ascii="Times New Roman" w:hAnsi="Times New Roman" w:eastAsia="宋体" w:cs="Times New Roman"/>
                <w:bCs/>
                <w:color w:val="auto"/>
                <w:sz w:val="24"/>
                <w:szCs w:val="24"/>
                <w:highlight w:val="none"/>
                <w:u w:val="none"/>
                <w:lang w:val="en-US" w:eastAsia="zh-CN"/>
              </w:rPr>
              <w:t xml:space="preserve"> 由以上检测结果可知，地下水检测结果可满足《地下水质量标准》（GB/T14848-2017）Ⅲ类标准要求。</w:t>
            </w:r>
          </w:p>
          <w:p>
            <w:pPr>
              <w:overflowPunct w:val="0"/>
              <w:topLinePunct/>
              <w:spacing w:line="480" w:lineRule="exact"/>
              <w:ind w:firstLine="480" w:firstLineChars="200"/>
              <w:contextualSpacing/>
              <w:rPr>
                <w:rFonts w:hint="default" w:ascii="Times New Roman" w:hAnsi="Times New Roman" w:eastAsia="宋体" w:cs="Times New Roman"/>
                <w:bCs/>
                <w:color w:val="auto"/>
                <w:sz w:val="24"/>
                <w:szCs w:val="24"/>
                <w:u w:val="none"/>
                <w:lang w:val="en-US" w:eastAsia="zh-CN"/>
              </w:rPr>
            </w:pPr>
            <w:r>
              <w:rPr>
                <w:rFonts w:hint="eastAsia" w:ascii="Times New Roman" w:hAnsi="Times New Roman" w:eastAsia="宋体" w:cs="Times New Roman"/>
                <w:bCs/>
                <w:color w:val="auto"/>
                <w:sz w:val="24"/>
                <w:szCs w:val="24"/>
                <w:u w:val="none"/>
                <w:lang w:val="en-US" w:eastAsia="zh-CN"/>
              </w:rPr>
              <w:t>注：现有工程全厂废水不外排，没有例行检测要求，因此监测的只有雨水和地下水。</w:t>
            </w:r>
          </w:p>
          <w:p>
            <w:pPr>
              <w:overflowPunct w:val="0"/>
              <w:topLinePunct/>
              <w:spacing w:line="480" w:lineRule="exact"/>
              <w:ind w:firstLine="482" w:firstLineChars="200"/>
              <w:contextualSpacing/>
              <w:rPr>
                <w:rFonts w:hint="eastAsia" w:ascii="Times New Roman" w:hAnsi="Times New Roman" w:eastAsia="宋体" w:cs="Times New Roman"/>
                <w:b/>
                <w:bCs w:val="0"/>
                <w:color w:val="auto"/>
                <w:sz w:val="24"/>
                <w:szCs w:val="24"/>
                <w:u w:val="none"/>
                <w:lang w:val="en-US" w:eastAsia="zh-CN"/>
              </w:rPr>
            </w:pPr>
            <w:r>
              <w:rPr>
                <w:rFonts w:hint="eastAsia" w:cs="Times New Roman"/>
                <w:b/>
                <w:bCs w:val="0"/>
                <w:color w:val="auto"/>
                <w:sz w:val="24"/>
                <w:szCs w:val="24"/>
                <w:u w:val="none"/>
                <w:lang w:val="en-US" w:eastAsia="zh-CN"/>
              </w:rPr>
              <w:t>3</w:t>
            </w:r>
            <w:r>
              <w:rPr>
                <w:rFonts w:hint="eastAsia" w:ascii="Times New Roman" w:hAnsi="Times New Roman" w:eastAsia="宋体" w:cs="Times New Roman"/>
                <w:b/>
                <w:bCs w:val="0"/>
                <w:color w:val="auto"/>
                <w:sz w:val="24"/>
                <w:szCs w:val="24"/>
                <w:u w:val="none"/>
                <w:lang w:val="en-US" w:eastAsia="zh-CN"/>
              </w:rPr>
              <w:t>.3噪声</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项目噪声主要为焚烧炉、余热锅炉、各类风机、空压机、水泵、冷却塔、污水处理站等运行产生的噪声，声源噪声级一般在80~110dB(A)之间。企业通过选用低噪声设备，合理布局，采取减振、隔声、加强绿化等措施降低噪声的排放。</w:t>
            </w:r>
          </w:p>
          <w:p>
            <w:pPr>
              <w:overflowPunct w:val="0"/>
              <w:topLinePunct/>
              <w:spacing w:line="480" w:lineRule="exact"/>
              <w:ind w:firstLine="480" w:firstLineChars="200"/>
              <w:contextualSpacing/>
              <w:rPr>
                <w:rFonts w:hint="default" w:cs="Times New Roman"/>
                <w:bCs/>
                <w:color w:val="auto"/>
                <w:sz w:val="24"/>
                <w:szCs w:val="24"/>
                <w:u w:val="none"/>
                <w:lang w:val="en-US" w:eastAsia="zh-CN"/>
              </w:rPr>
            </w:pPr>
            <w:r>
              <w:rPr>
                <w:rFonts w:hint="eastAsia" w:cs="Times New Roman"/>
                <w:bCs/>
                <w:color w:val="auto"/>
                <w:sz w:val="24"/>
                <w:szCs w:val="24"/>
                <w:u w:val="none"/>
                <w:lang w:val="en-US" w:eastAsia="zh-CN"/>
              </w:rPr>
              <w:t>根据自行监测结果可知</w:t>
            </w:r>
            <w:r>
              <w:rPr>
                <w:rFonts w:hint="eastAsia" w:cs="Times New Roman"/>
                <w:bCs/>
                <w:color w:val="auto"/>
                <w:sz w:val="24"/>
                <w:szCs w:val="24"/>
                <w:highlight w:val="none"/>
                <w:u w:val="none"/>
                <w:lang w:val="en-US" w:eastAsia="zh-CN"/>
              </w:rPr>
              <w:t>（报告编号为ZTGK-LX-1073-2023</w:t>
            </w:r>
            <w:r>
              <w:rPr>
                <w:rFonts w:hint="eastAsia" w:cs="Times New Roman"/>
                <w:bCs/>
                <w:color w:val="auto"/>
                <w:sz w:val="24"/>
                <w:szCs w:val="24"/>
                <w:u w:val="none"/>
                <w:lang w:eastAsia="zh-CN"/>
              </w:rPr>
              <w:t>）</w:t>
            </w:r>
            <w:r>
              <w:rPr>
                <w:rFonts w:hint="eastAsia" w:cs="Times New Roman"/>
                <w:bCs/>
                <w:color w:val="auto"/>
                <w:sz w:val="24"/>
                <w:szCs w:val="24"/>
                <w:u w:val="none"/>
                <w:lang w:val="en-US" w:eastAsia="zh-CN"/>
              </w:rPr>
              <w:t>（检测日期</w:t>
            </w:r>
            <w:r>
              <w:rPr>
                <w:rFonts w:hint="eastAsia" w:cs="Times New Roman"/>
                <w:bCs/>
                <w:color w:val="auto"/>
                <w:sz w:val="24"/>
                <w:szCs w:val="24"/>
                <w:highlight w:val="none"/>
                <w:u w:val="none"/>
                <w:lang w:val="en-US" w:eastAsia="zh-CN"/>
              </w:rPr>
              <w:t>10月13日</w:t>
            </w:r>
            <w:r>
              <w:rPr>
                <w:rFonts w:hint="eastAsia" w:cs="Times New Roman"/>
                <w:bCs/>
                <w:color w:val="auto"/>
                <w:sz w:val="24"/>
                <w:szCs w:val="24"/>
                <w:u w:val="none"/>
                <w:lang w:val="en-US" w:eastAsia="zh-CN"/>
              </w:rPr>
              <w:t>）：</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厂界各监测点昼间噪声结果值在57~59 dB（A），厂界夜间噪声测定值在47-49（A），厂界昼夜噪声测定值均满足《工业企业厂界环境噪声排放标准》（GB 12348-2008）2 类标准要求。</w:t>
            </w:r>
          </w:p>
          <w:p>
            <w:pPr>
              <w:overflowPunct w:val="0"/>
              <w:topLinePunct/>
              <w:spacing w:line="480" w:lineRule="exact"/>
              <w:ind w:firstLine="482" w:firstLineChars="200"/>
              <w:contextualSpacing/>
              <w:rPr>
                <w:rFonts w:hint="eastAsia" w:ascii="Times New Roman" w:hAnsi="Times New Roman" w:eastAsia="宋体" w:cs="Times New Roman"/>
                <w:b/>
                <w:bCs w:val="0"/>
                <w:color w:val="auto"/>
                <w:sz w:val="24"/>
                <w:szCs w:val="24"/>
                <w:u w:val="none"/>
                <w:lang w:val="en-US" w:eastAsia="zh-CN"/>
              </w:rPr>
            </w:pPr>
            <w:r>
              <w:rPr>
                <w:rFonts w:hint="eastAsia" w:cs="Times New Roman"/>
                <w:b/>
                <w:bCs w:val="0"/>
                <w:color w:val="auto"/>
                <w:sz w:val="24"/>
                <w:szCs w:val="24"/>
                <w:u w:val="none"/>
                <w:lang w:val="en-US" w:eastAsia="zh-CN"/>
              </w:rPr>
              <w:t>3</w:t>
            </w:r>
            <w:r>
              <w:rPr>
                <w:rFonts w:hint="eastAsia" w:ascii="Times New Roman" w:hAnsi="Times New Roman" w:eastAsia="宋体" w:cs="Times New Roman"/>
                <w:b/>
                <w:bCs w:val="0"/>
                <w:color w:val="auto"/>
                <w:sz w:val="24"/>
                <w:szCs w:val="24"/>
                <w:u w:val="none"/>
                <w:lang w:val="en-US" w:eastAsia="zh-CN"/>
              </w:rPr>
              <w:t>.4 固废</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一般固废包括炉渣、生活垃圾及各污水处理站产生的污泥。生活垃圾和各污水处理站污泥收集后进入垃圾焚烧炉焚烧处理，炉渣由其他公司综合利用。</w:t>
            </w:r>
          </w:p>
          <w:p>
            <w:pPr>
              <w:overflowPunct w:val="0"/>
              <w:topLinePunct/>
              <w:spacing w:line="480" w:lineRule="exact"/>
              <w:ind w:firstLine="480" w:firstLineChars="200"/>
              <w:contextualSpacing/>
              <w:rPr>
                <w:rFonts w:hint="eastAsia" w:cs="Times New Roman"/>
                <w:bCs/>
                <w:color w:val="auto"/>
                <w:sz w:val="24"/>
                <w:szCs w:val="24"/>
                <w:u w:val="none"/>
                <w:lang w:val="en-US" w:eastAsia="zh-CN"/>
              </w:rPr>
            </w:pPr>
            <w:r>
              <w:rPr>
                <w:rFonts w:hint="eastAsia" w:cs="Times New Roman"/>
                <w:bCs/>
                <w:color w:val="auto"/>
                <w:sz w:val="24"/>
                <w:szCs w:val="24"/>
                <w:u w:val="none"/>
                <w:lang w:val="en-US" w:eastAsia="zh-CN"/>
              </w:rPr>
              <w:t>项目危险废物主要包括布袋除尘器收集的飞灰、废活性炭、废布袋、废润滑油、废机油。其中飞灰经螯合剂稳定化处理后浸出毒性满足《生活垃圾填埋场污染控制标准》（GB16889-2008）要求后，由鲁山县生活垃圾填埋场分区填埋处置。废活性炭和脱水污泥送焚烧工序处置；废布袋和废机油等收集后委托有危废处置资质的公司处置。</w:t>
            </w:r>
          </w:p>
          <w:p>
            <w:pPr>
              <w:spacing w:line="520" w:lineRule="exact"/>
              <w:ind w:firstLine="480" w:firstLineChars="200"/>
              <w:jc w:val="center"/>
              <w:rPr>
                <w:rFonts w:hint="default" w:ascii="Times New Roman" w:hAnsi="黑体" w:eastAsia="黑体" w:cs="Times New Roman"/>
                <w:color w:val="auto"/>
                <w:sz w:val="24"/>
                <w:u w:val="none"/>
                <w:lang w:val="en-US" w:eastAsia="zh-CN"/>
              </w:rPr>
            </w:pPr>
            <w:r>
              <w:rPr>
                <w:rFonts w:hint="eastAsia" w:ascii="Times New Roman" w:hAnsi="黑体" w:eastAsia="黑体" w:cs="Times New Roman"/>
                <w:color w:val="auto"/>
                <w:sz w:val="24"/>
                <w:u w:val="none"/>
                <w:lang w:val="en-US" w:eastAsia="zh-CN"/>
              </w:rPr>
              <w:t>表1</w:t>
            </w:r>
            <w:r>
              <w:rPr>
                <w:rFonts w:hint="eastAsia" w:hAnsi="黑体" w:eastAsia="黑体" w:cs="Times New Roman"/>
                <w:color w:val="auto"/>
                <w:sz w:val="24"/>
                <w:u w:val="none"/>
                <w:lang w:val="en-US" w:eastAsia="zh-CN"/>
              </w:rPr>
              <w:t>8</w:t>
            </w:r>
            <w:r>
              <w:rPr>
                <w:rFonts w:hint="eastAsia" w:ascii="Times New Roman" w:hAnsi="黑体" w:eastAsia="黑体" w:cs="Times New Roman"/>
                <w:color w:val="auto"/>
                <w:sz w:val="24"/>
                <w:u w:val="none"/>
                <w:lang w:val="en-US" w:eastAsia="zh-CN"/>
              </w:rPr>
              <w:t xml:space="preserve">   </w:t>
            </w:r>
            <w:r>
              <w:rPr>
                <w:rFonts w:hint="default" w:ascii="Times New Roman" w:hAnsi="黑体" w:eastAsia="黑体" w:cs="Times New Roman"/>
                <w:color w:val="auto"/>
                <w:sz w:val="24"/>
                <w:u w:val="none"/>
                <w:lang w:val="en-US" w:eastAsia="zh-CN"/>
              </w:rPr>
              <w:t>现有工程污染物排放量汇总一览表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4"/>
              <w:gridCol w:w="540"/>
              <w:gridCol w:w="928"/>
              <w:gridCol w:w="1112"/>
              <w:gridCol w:w="759"/>
              <w:gridCol w:w="943"/>
              <w:gridCol w:w="992"/>
              <w:gridCol w:w="22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9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lang w:eastAsia="zh-CN"/>
                    </w:rPr>
                  </w:pPr>
                  <w:r>
                    <w:rPr>
                      <w:rFonts w:hint="default" w:ascii="Times New Roman" w:hAnsi="Times New Roman" w:eastAsia="宋体" w:cs="Times New Roman"/>
                      <w:b/>
                      <w:bCs/>
                      <w:color w:val="auto"/>
                      <w:sz w:val="21"/>
                      <w:szCs w:val="21"/>
                      <w:u w:val="single"/>
                      <w:lang w:eastAsia="zh-CN"/>
                    </w:rPr>
                    <w:t>类别</w:t>
                  </w:r>
                </w:p>
              </w:tc>
              <w:tc>
                <w:tcPr>
                  <w:tcW w:w="32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lang w:eastAsia="zh-CN"/>
                    </w:rPr>
                  </w:pPr>
                  <w:r>
                    <w:rPr>
                      <w:rFonts w:hint="default" w:ascii="Times New Roman" w:hAnsi="Times New Roman" w:eastAsia="宋体" w:cs="Times New Roman"/>
                      <w:b/>
                      <w:bCs/>
                      <w:color w:val="auto"/>
                      <w:sz w:val="21"/>
                      <w:szCs w:val="21"/>
                      <w:u w:val="single"/>
                      <w:lang w:eastAsia="zh-CN"/>
                    </w:rPr>
                    <w:t>污染源</w:t>
                  </w:r>
                </w:p>
              </w:tc>
              <w:tc>
                <w:tcPr>
                  <w:tcW w:w="1221" w:type="pct"/>
                  <w:gridSpan w:val="2"/>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lang w:eastAsia="zh-CN"/>
                    </w:rPr>
                  </w:pPr>
                  <w:r>
                    <w:rPr>
                      <w:rFonts w:hint="default" w:ascii="Times New Roman" w:hAnsi="Times New Roman" w:eastAsia="宋体" w:cs="Times New Roman"/>
                      <w:b/>
                      <w:bCs/>
                      <w:color w:val="auto"/>
                      <w:sz w:val="21"/>
                      <w:szCs w:val="21"/>
                      <w:u w:val="single"/>
                      <w:lang w:eastAsia="zh-CN"/>
                    </w:rPr>
                    <w:t>污染物种类</w:t>
                  </w:r>
                </w:p>
              </w:tc>
              <w:tc>
                <w:tcPr>
                  <w:tcW w:w="45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lang w:eastAsia="zh-CN"/>
                    </w:rPr>
                  </w:pPr>
                  <w:r>
                    <w:rPr>
                      <w:rFonts w:hint="default" w:ascii="Times New Roman" w:hAnsi="Times New Roman" w:eastAsia="宋体" w:cs="Times New Roman"/>
                      <w:b/>
                      <w:bCs/>
                      <w:color w:val="auto"/>
                      <w:sz w:val="21"/>
                      <w:szCs w:val="21"/>
                      <w:u w:val="single"/>
                    </w:rPr>
                    <w:t>排放浓度mg/m</w:t>
                  </w:r>
                  <w:r>
                    <w:rPr>
                      <w:rFonts w:hint="default" w:ascii="Times New Roman" w:hAnsi="Times New Roman" w:eastAsia="宋体" w:cs="Times New Roman"/>
                      <w:b/>
                      <w:bCs/>
                      <w:color w:val="auto"/>
                      <w:sz w:val="21"/>
                      <w:szCs w:val="21"/>
                      <w:u w:val="single"/>
                      <w:vertAlign w:val="superscript"/>
                    </w:rPr>
                    <w:t>3</w:t>
                  </w:r>
                </w:p>
              </w:tc>
              <w:tc>
                <w:tcPr>
                  <w:tcW w:w="56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rPr>
                    <w:t>排放速率kg/h</w:t>
                  </w:r>
                </w:p>
              </w:tc>
              <w:tc>
                <w:tcPr>
                  <w:tcW w:w="59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lang w:eastAsia="zh-CN"/>
                    </w:rPr>
                    <w:t>排放量</w:t>
                  </w:r>
                  <w:r>
                    <w:rPr>
                      <w:rFonts w:hint="default" w:ascii="Times New Roman" w:hAnsi="Times New Roman" w:eastAsia="宋体" w:cs="Times New Roman"/>
                      <w:b/>
                      <w:bCs/>
                      <w:color w:val="auto"/>
                      <w:sz w:val="21"/>
                      <w:szCs w:val="21"/>
                      <w:u w:val="single"/>
                    </w:rPr>
                    <w:t>t/a</w:t>
                  </w:r>
                </w:p>
              </w:tc>
              <w:tc>
                <w:tcPr>
                  <w:tcW w:w="134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lang w:eastAsia="zh-CN"/>
                    </w:rPr>
                  </w:pPr>
                  <w:r>
                    <w:rPr>
                      <w:rFonts w:hint="eastAsia" w:ascii="Times New Roman" w:hAnsi="Times New Roman" w:eastAsia="宋体" w:cs="Times New Roman"/>
                      <w:b/>
                      <w:bCs/>
                      <w:color w:val="auto"/>
                      <w:sz w:val="21"/>
                      <w:szCs w:val="21"/>
                      <w:u w:val="single"/>
                      <w:lang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493" w:type="pct"/>
                  <w:vMerge w:val="restar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default" w:ascii="Times New Roman" w:hAnsi="Times New Roman" w:eastAsia="宋体" w:cs="Times New Roman"/>
                      <w:b w:val="0"/>
                      <w:bCs w:val="0"/>
                      <w:color w:val="auto"/>
                      <w:sz w:val="21"/>
                      <w:szCs w:val="21"/>
                      <w:u w:val="single"/>
                      <w:lang w:val="en-US" w:eastAsia="zh-CN"/>
                    </w:rPr>
                    <w:t>废气</w:t>
                  </w:r>
                  <w:r>
                    <w:rPr>
                      <w:rFonts w:hint="eastAsia" w:ascii="Times New Roman" w:hAnsi="Times New Roman" w:eastAsia="宋体" w:cs="Times New Roman"/>
                      <w:b w:val="0"/>
                      <w:bCs w:val="0"/>
                      <w:color w:val="auto"/>
                      <w:sz w:val="21"/>
                      <w:szCs w:val="21"/>
                      <w:u w:val="single"/>
                      <w:lang w:val="en-US" w:eastAsia="zh-CN"/>
                    </w:rPr>
                    <w:t>（无组织）</w:t>
                  </w:r>
                </w:p>
              </w:tc>
              <w:tc>
                <w:tcPr>
                  <w:tcW w:w="323" w:type="pct"/>
                  <w:vMerge w:val="restar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eastAsia" w:eastAsia="宋体"/>
                      <w:color w:val="auto"/>
                      <w:kern w:val="0"/>
                      <w:szCs w:val="21"/>
                      <w:highlight w:val="none"/>
                      <w:u w:val="single"/>
                      <w:lang w:val="en-US" w:eastAsia="zh-CN"/>
                    </w:rPr>
                  </w:pPr>
                  <w:r>
                    <w:rPr>
                      <w:rFonts w:hint="eastAsia"/>
                      <w:color w:val="auto"/>
                      <w:kern w:val="0"/>
                      <w:szCs w:val="21"/>
                      <w:highlight w:val="none"/>
                      <w:u w:val="single"/>
                      <w:lang w:val="en-US" w:eastAsia="zh-CN"/>
                    </w:rPr>
                    <w:t>飞灰库</w:t>
                  </w:r>
                </w:p>
              </w:tc>
              <w:tc>
                <w:tcPr>
                  <w:tcW w:w="1221" w:type="pct"/>
                  <w:gridSpan w:val="2"/>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ascii="Times New Roman" w:hAnsi="Times New Roman" w:eastAsia="宋体" w:cs="Times New Roman"/>
                      <w:color w:val="auto"/>
                      <w:szCs w:val="21"/>
                      <w:highlight w:val="none"/>
                      <w:u w:val="single"/>
                    </w:rPr>
                  </w:pPr>
                  <w:r>
                    <w:rPr>
                      <w:rFonts w:hint="eastAsia" w:ascii="Times New Roman" w:hAnsi="Times New Roman" w:eastAsia="宋体" w:cs="Times New Roman"/>
                      <w:color w:val="auto"/>
                      <w:szCs w:val="21"/>
                      <w:highlight w:val="none"/>
                      <w:u w:val="single"/>
                      <w:lang w:val="en-US" w:eastAsia="zh-CN"/>
                    </w:rPr>
                    <w:t>颗粒物</w:t>
                  </w:r>
                </w:p>
              </w:tc>
              <w:tc>
                <w:tcPr>
                  <w:tcW w:w="45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ascii="Times New Roman" w:hAnsi="Times New Roman" w:eastAsia="宋体" w:cs="Times New Roman"/>
                      <w:color w:val="auto"/>
                      <w:szCs w:val="21"/>
                      <w:highlight w:val="none"/>
                      <w:u w:val="single"/>
                      <w:lang w:val="en-US" w:eastAsia="zh-CN"/>
                    </w:rPr>
                    <w:t>0.</w:t>
                  </w:r>
                  <w:r>
                    <w:rPr>
                      <w:rFonts w:hint="eastAsia" w:cs="Times New Roman"/>
                      <w:color w:val="auto"/>
                      <w:szCs w:val="21"/>
                      <w:highlight w:val="none"/>
                      <w:u w:val="single"/>
                      <w:lang w:val="en-US" w:eastAsia="zh-CN"/>
                    </w:rPr>
                    <w:t>287-0.305</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ascii="Times New Roman" w:hAnsi="Times New Roman" w:eastAsia="宋体" w:cs="Times New Roman"/>
                      <w:b w:val="0"/>
                      <w:bCs w:val="0"/>
                      <w:color w:val="auto"/>
                      <w:sz w:val="21"/>
                      <w:szCs w:val="21"/>
                      <w:highlight w:val="none"/>
                      <w:u w:val="single"/>
                      <w:lang w:val="en-US" w:eastAsia="zh-CN"/>
                    </w:rPr>
                    <w:t>/</w:t>
                  </w:r>
                </w:p>
              </w:tc>
              <w:tc>
                <w:tcPr>
                  <w:tcW w:w="5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ascii="Times New Roman" w:hAnsi="Times New Roman" w:eastAsia="宋体" w:cs="Times New Roman"/>
                      <w:b w:val="0"/>
                      <w:bCs w:val="0"/>
                      <w:color w:val="auto"/>
                      <w:sz w:val="21"/>
                      <w:szCs w:val="21"/>
                      <w:highlight w:val="none"/>
                      <w:u w:val="single"/>
                      <w:lang w:val="en-US" w:eastAsia="zh-CN"/>
                    </w:rPr>
                    <w:t>/</w:t>
                  </w:r>
                </w:p>
              </w:tc>
              <w:tc>
                <w:tcPr>
                  <w:tcW w:w="134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auto"/>
                      <w:szCs w:val="21"/>
                      <w:u w:val="single"/>
                      <w:lang w:val="en-US" w:eastAsia="zh-CN"/>
                    </w:rPr>
                  </w:pPr>
                  <w:r>
                    <w:rPr>
                      <w:rFonts w:hint="eastAsia" w:ascii="Times New Roman" w:hAnsi="Times New Roman" w:eastAsia="宋体" w:cs="Times New Roman"/>
                      <w:color w:val="auto"/>
                      <w:szCs w:val="21"/>
                      <w:u w:val="single"/>
                      <w:lang w:val="en-US" w:eastAsia="zh-CN"/>
                    </w:rPr>
                    <w:t>《大气污染物综合排放标准》（GB16297-1996）表2周界外浓度最高点要求限值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493"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p>
              </w:tc>
              <w:tc>
                <w:tcPr>
                  <w:tcW w:w="323"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color w:val="auto"/>
                      <w:kern w:val="0"/>
                      <w:szCs w:val="21"/>
                      <w:highlight w:val="none"/>
                      <w:u w:val="single"/>
                      <w:lang w:val="en-US" w:eastAsia="zh-CN"/>
                    </w:rPr>
                  </w:pPr>
                </w:p>
              </w:tc>
              <w:tc>
                <w:tcPr>
                  <w:tcW w:w="1221" w:type="pct"/>
                  <w:gridSpan w:val="2"/>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auto"/>
                      <w:szCs w:val="21"/>
                      <w:highlight w:val="none"/>
                      <w:u w:val="single"/>
                      <w:lang w:val="en-US" w:eastAsia="zh-CN"/>
                    </w:rPr>
                  </w:pPr>
                  <w:r>
                    <w:rPr>
                      <w:rFonts w:hint="eastAsia"/>
                      <w:color w:val="auto"/>
                      <w:kern w:val="0"/>
                      <w:szCs w:val="21"/>
                      <w:highlight w:val="none"/>
                      <w:u w:val="single"/>
                      <w:lang w:val="en-US" w:eastAsia="zh-CN"/>
                    </w:rPr>
                    <w:t>氨气</w:t>
                  </w:r>
                </w:p>
              </w:tc>
              <w:tc>
                <w:tcPr>
                  <w:tcW w:w="45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Cs w:val="21"/>
                      <w:highlight w:val="none"/>
                      <w:u w:val="single"/>
                      <w:lang w:val="en-US" w:eastAsia="zh-CN"/>
                    </w:rPr>
                  </w:pPr>
                  <w:r>
                    <w:rPr>
                      <w:rFonts w:hint="eastAsia" w:cs="Times New Roman"/>
                      <w:color w:val="auto"/>
                      <w:szCs w:val="21"/>
                      <w:highlight w:val="none"/>
                      <w:u w:val="single"/>
                      <w:lang w:val="en-US" w:eastAsia="zh-CN"/>
                    </w:rPr>
                    <w:t>0.011-0.016</w:t>
                  </w:r>
                </w:p>
              </w:tc>
              <w:tc>
                <w:tcPr>
                  <w:tcW w:w="94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cs="Times New Roman"/>
                      <w:b w:val="0"/>
                      <w:bCs w:val="0"/>
                      <w:color w:val="auto"/>
                      <w:sz w:val="21"/>
                      <w:szCs w:val="21"/>
                      <w:highlight w:val="none"/>
                      <w:u w:val="single"/>
                      <w:lang w:val="en-US" w:eastAsia="zh-CN"/>
                    </w:rPr>
                    <w:t>0.00003717</w:t>
                  </w:r>
                </w:p>
              </w:tc>
              <w:tc>
                <w:tcPr>
                  <w:tcW w:w="9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cs="Times New Roman"/>
                      <w:b w:val="0"/>
                      <w:bCs w:val="0"/>
                      <w:color w:val="auto"/>
                      <w:sz w:val="21"/>
                      <w:szCs w:val="21"/>
                      <w:highlight w:val="none"/>
                      <w:u w:val="single"/>
                      <w:lang w:val="en-US" w:eastAsia="zh-CN"/>
                    </w:rPr>
                    <w:t>0.0000814</w:t>
                  </w:r>
                </w:p>
              </w:tc>
              <w:tc>
                <w:tcPr>
                  <w:tcW w:w="134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auto"/>
                      <w:szCs w:val="21"/>
                      <w:u w:val="single"/>
                      <w:lang w:val="en-US" w:eastAsia="zh-CN"/>
                    </w:rPr>
                  </w:pPr>
                  <w:r>
                    <w:rPr>
                      <w:rFonts w:hint="eastAsia" w:ascii="Times New Roman" w:hAnsi="Times New Roman" w:eastAsia="宋体" w:cs="Times New Roman"/>
                      <w:color w:val="auto"/>
                      <w:szCs w:val="21"/>
                      <w:u w:val="single"/>
                      <w:lang w:val="en-US" w:eastAsia="zh-CN"/>
                    </w:rPr>
                    <w:t>《恶臭污染物排放标准》(GB14554-1993)  表 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49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废水</w:t>
                  </w:r>
                </w:p>
              </w:tc>
              <w:tc>
                <w:tcPr>
                  <w:tcW w:w="4506" w:type="pct"/>
                  <w:gridSpan w:val="7"/>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49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固废</w:t>
                  </w:r>
                </w:p>
              </w:tc>
              <w:tc>
                <w:tcPr>
                  <w:tcW w:w="32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生产过程中</w:t>
                  </w:r>
                </w:p>
              </w:tc>
              <w:tc>
                <w:tcPr>
                  <w:tcW w:w="555"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eastAsia" w:eastAsia="宋体"/>
                      <w:color w:val="auto"/>
                      <w:lang w:val="en-US" w:eastAsia="zh-CN"/>
                    </w:rPr>
                  </w:pPr>
                  <w:r>
                    <w:rPr>
                      <w:rFonts w:hint="eastAsia"/>
                      <w:color w:val="auto"/>
                      <w:lang w:val="en-US" w:eastAsia="zh-CN"/>
                    </w:rPr>
                    <w:t>危险废物</w:t>
                  </w:r>
                </w:p>
              </w:tc>
              <w:tc>
                <w:tcPr>
                  <w:tcW w:w="666"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飞灰</w:t>
                  </w:r>
                </w:p>
              </w:tc>
              <w:tc>
                <w:tcPr>
                  <w:tcW w:w="4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w:t>
                  </w:r>
                </w:p>
              </w:tc>
              <w:tc>
                <w:tcPr>
                  <w:tcW w:w="59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0</w:t>
                  </w:r>
                </w:p>
              </w:tc>
              <w:tc>
                <w:tcPr>
                  <w:tcW w:w="134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color w:val="auto"/>
                    </w:rPr>
                  </w:pPr>
                  <w:r>
                    <w:rPr>
                      <w:rFonts w:hint="eastAsia" w:ascii="Times New Roman" w:hAnsi="宋体" w:cs="Times New Roman"/>
                      <w:color w:val="auto"/>
                      <w:szCs w:val="21"/>
                      <w:u w:val="none"/>
                      <w:lang w:val="zh-CN" w:eastAsia="zh-CN"/>
                    </w:rPr>
                    <w:t>《危险废物贮存污染控制标准》(GB18597-20</w:t>
                  </w:r>
                  <w:r>
                    <w:rPr>
                      <w:rFonts w:hint="eastAsia" w:ascii="Times New Roman" w:hAnsi="宋体" w:cs="Times New Roman"/>
                      <w:color w:val="auto"/>
                      <w:szCs w:val="21"/>
                      <w:u w:val="none"/>
                      <w:lang w:val="en-US" w:eastAsia="zh-CN"/>
                    </w:rPr>
                    <w:t>23</w:t>
                  </w:r>
                  <w:r>
                    <w:rPr>
                      <w:rFonts w:hint="eastAsia" w:ascii="Times New Roman" w:hAnsi="宋体" w:cs="Times New Roman"/>
                      <w:color w:val="auto"/>
                      <w:szCs w:val="21"/>
                      <w:u w:val="none"/>
                      <w:lang w:val="zh-CN"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9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噪声</w:t>
                  </w:r>
                </w:p>
              </w:tc>
              <w:tc>
                <w:tcPr>
                  <w:tcW w:w="3159" w:type="pct"/>
                  <w:gridSpan w:val="6"/>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企业通过选用低噪声设备，合理布局，采取减振、隔声、加强绿化等措施降低噪声的排放。检测结果表明，</w:t>
                  </w:r>
                  <w:r>
                    <w:rPr>
                      <w:rFonts w:hint="eastAsia" w:ascii="Times New Roman" w:hAnsi="Times New Roman" w:eastAsia="宋体" w:cs="Times New Roman"/>
                      <w:b w:val="0"/>
                      <w:bCs w:val="0"/>
                      <w:color w:val="auto"/>
                      <w:sz w:val="21"/>
                      <w:szCs w:val="21"/>
                      <w:u w:val="none"/>
                      <w:lang w:val="en-US" w:eastAsia="zh-CN"/>
                    </w:rPr>
                    <w:t>厂界各监测点昼间噪声结果值在57~59 dB（A），厂界夜间噪声测定值在47-49（A），</w:t>
                  </w:r>
                  <w:r>
                    <w:rPr>
                      <w:rFonts w:hint="default" w:ascii="Times New Roman" w:hAnsi="Times New Roman" w:eastAsia="宋体" w:cs="Times New Roman"/>
                      <w:b w:val="0"/>
                      <w:bCs w:val="0"/>
                      <w:color w:val="auto"/>
                      <w:sz w:val="21"/>
                      <w:szCs w:val="21"/>
                      <w:u w:val="none"/>
                      <w:lang w:val="en-US" w:eastAsia="zh-CN"/>
                    </w:rPr>
                    <w:t>昼间与夜间厂界噪声值均符合</w:t>
                  </w:r>
                  <w:r>
                    <w:rPr>
                      <w:rFonts w:hint="eastAsia" w:ascii="Times New Roman" w:hAnsi="Times New Roman" w:eastAsia="宋体" w:cs="Times New Roman"/>
                      <w:b w:val="0"/>
                      <w:bCs w:val="0"/>
                      <w:color w:val="auto"/>
                      <w:sz w:val="21"/>
                      <w:szCs w:val="21"/>
                      <w:u w:val="none"/>
                      <w:lang w:val="en-US" w:eastAsia="zh-CN"/>
                    </w:rPr>
                    <w:t>标准</w:t>
                  </w:r>
                </w:p>
              </w:tc>
              <w:tc>
                <w:tcPr>
                  <w:tcW w:w="134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《工业企业厂界环境噪声排放标准》（GB12348-2008）表 1 中 2 类标准</w:t>
                  </w:r>
                </w:p>
              </w:tc>
            </w:tr>
          </w:tbl>
          <w:p>
            <w:pPr>
              <w:autoSpaceDE w:val="0"/>
              <w:autoSpaceDN w:val="0"/>
              <w:adjustRightInd w:val="0"/>
              <w:snapToGrid w:val="0"/>
              <w:spacing w:line="520" w:lineRule="exact"/>
              <w:ind w:firstLine="482" w:firstLineChars="200"/>
              <w:jc w:val="left"/>
              <w:rPr>
                <w:b/>
                <w:bCs w:val="0"/>
                <w:color w:val="auto"/>
                <w:sz w:val="24"/>
                <w:highlight w:val="none"/>
                <w:u w:val="none"/>
              </w:rPr>
            </w:pPr>
            <w:r>
              <w:rPr>
                <w:rFonts w:hint="eastAsia"/>
                <w:b/>
                <w:bCs w:val="0"/>
                <w:color w:val="auto"/>
                <w:sz w:val="24"/>
                <w:highlight w:val="none"/>
                <w:u w:val="none"/>
                <w:lang w:val="en-US" w:eastAsia="zh-CN"/>
              </w:rPr>
              <w:t xml:space="preserve">4 </w:t>
            </w:r>
            <w:r>
              <w:rPr>
                <w:rFonts w:hint="eastAsia"/>
                <w:b/>
                <w:bCs w:val="0"/>
                <w:color w:val="auto"/>
                <w:sz w:val="24"/>
                <w:highlight w:val="none"/>
                <w:u w:val="none"/>
                <w:lang w:eastAsia="zh-CN"/>
              </w:rPr>
              <w:t>现</w:t>
            </w:r>
            <w:r>
              <w:rPr>
                <w:b/>
                <w:bCs w:val="0"/>
                <w:color w:val="auto"/>
                <w:sz w:val="24"/>
                <w:highlight w:val="none"/>
                <w:u w:val="none"/>
              </w:rPr>
              <w:t>有工程存在环保问题及整改建议</w:t>
            </w:r>
          </w:p>
          <w:p>
            <w:pPr>
              <w:widowControl/>
              <w:spacing w:line="500" w:lineRule="exact"/>
              <w:ind w:firstLine="480" w:firstLineChars="200"/>
              <w:jc w:val="left"/>
              <w:rPr>
                <w:rFonts w:hint="default" w:ascii="Times New Roman" w:hAnsi="Times New Roman" w:eastAsia="宋体"/>
                <w:bCs/>
                <w:color w:val="auto"/>
                <w:sz w:val="24"/>
                <w:szCs w:val="24"/>
                <w:u w:val="none"/>
                <w:lang w:val="en-US" w:eastAsia="zh-CN"/>
              </w:rPr>
            </w:pPr>
            <w:r>
              <w:rPr>
                <w:rFonts w:hint="eastAsia" w:ascii="Times New Roman" w:hAnsi="Times New Roman" w:eastAsia="宋体"/>
                <w:bCs/>
                <w:color w:val="auto"/>
                <w:sz w:val="24"/>
                <w:szCs w:val="24"/>
                <w:u w:val="none"/>
                <w:lang w:eastAsia="zh-CN"/>
              </w:rPr>
              <w:t>经核实，现有工程已严格执行了“三同时”管理制度，并按照排污许可管理办法要求</w:t>
            </w:r>
            <w:r>
              <w:rPr>
                <w:rFonts w:hint="eastAsia" w:ascii="Times New Roman" w:hAnsi="Times New Roman" w:eastAsia="宋体"/>
                <w:bCs/>
                <w:color w:val="auto"/>
                <w:sz w:val="24"/>
                <w:szCs w:val="24"/>
                <w:u w:val="none"/>
                <w:lang w:val="en-US" w:eastAsia="zh-CN"/>
              </w:rPr>
              <w:t>进行了排污许可证申领</w:t>
            </w:r>
            <w:r>
              <w:rPr>
                <w:rFonts w:hint="eastAsia" w:ascii="Times New Roman" w:hAnsi="Times New Roman" w:eastAsia="宋体"/>
                <w:bCs/>
                <w:color w:val="auto"/>
                <w:sz w:val="24"/>
                <w:szCs w:val="24"/>
                <w:u w:val="none"/>
                <w:lang w:eastAsia="zh-CN"/>
              </w:rPr>
              <w:t>。根据建设单位提供的资料及现状调查，现有工程废气、废水和厂界噪声</w:t>
            </w:r>
            <w:r>
              <w:rPr>
                <w:rFonts w:hint="eastAsia"/>
                <w:bCs/>
                <w:color w:val="auto"/>
                <w:sz w:val="24"/>
                <w:szCs w:val="24"/>
                <w:u w:val="none"/>
                <w:lang w:val="en-US" w:eastAsia="zh-CN"/>
              </w:rPr>
              <w:t>均</w:t>
            </w:r>
            <w:r>
              <w:rPr>
                <w:rFonts w:hint="eastAsia" w:ascii="Times New Roman" w:hAnsi="Times New Roman" w:eastAsia="宋体"/>
                <w:bCs/>
                <w:color w:val="auto"/>
                <w:sz w:val="24"/>
                <w:szCs w:val="24"/>
                <w:u w:val="none"/>
                <w:lang w:eastAsia="zh-CN"/>
              </w:rPr>
              <w:t>达标排放，固体废弃物妥善处置不造成二次污染；运行以来无环保投诉。</w:t>
            </w:r>
          </w:p>
          <w:p>
            <w:pPr>
              <w:widowControl/>
              <w:spacing w:line="500" w:lineRule="exact"/>
              <w:ind w:firstLine="480" w:firstLineChars="200"/>
              <w:jc w:val="left"/>
              <w:rPr>
                <w:rFonts w:hint="eastAsia" w:ascii="Times New Roman" w:hAnsi="Times New Roman" w:eastAsia="宋体"/>
                <w:bCs/>
                <w:color w:val="auto"/>
                <w:sz w:val="24"/>
                <w:szCs w:val="24"/>
                <w:u w:val="none"/>
                <w:lang w:eastAsia="zh-CN"/>
              </w:rPr>
            </w:pPr>
            <w:r>
              <w:rPr>
                <w:rFonts w:hint="eastAsia" w:ascii="Times New Roman" w:hAnsi="Times New Roman" w:eastAsia="宋体"/>
                <w:bCs/>
                <w:color w:val="auto"/>
                <w:sz w:val="24"/>
                <w:szCs w:val="24"/>
                <w:u w:val="none"/>
                <w:lang w:eastAsia="zh-CN"/>
              </w:rPr>
              <w:t>现有工程存在问题及整改措施见下表：</w:t>
            </w:r>
          </w:p>
          <w:p>
            <w:pPr>
              <w:spacing w:line="520" w:lineRule="exact"/>
              <w:ind w:firstLine="480" w:firstLineChars="200"/>
              <w:jc w:val="center"/>
              <w:rPr>
                <w:rFonts w:hint="eastAsia" w:ascii="Times New Roman" w:hAnsi="黑体" w:eastAsia="黑体" w:cs="Times New Roman"/>
                <w:color w:val="auto"/>
                <w:sz w:val="24"/>
                <w:u w:val="none"/>
                <w:lang w:val="zh-CN" w:eastAsia="zh-CN"/>
              </w:rPr>
            </w:pPr>
            <w:r>
              <w:rPr>
                <w:rFonts w:hint="eastAsia" w:ascii="Times New Roman" w:hAnsi="黑体" w:eastAsia="黑体" w:cs="Times New Roman"/>
                <w:color w:val="auto"/>
                <w:sz w:val="24"/>
                <w:u w:val="none"/>
                <w:lang w:val="zh-CN" w:eastAsia="zh-CN"/>
              </w:rPr>
              <w:t>表</w:t>
            </w:r>
            <w:r>
              <w:rPr>
                <w:rFonts w:hint="eastAsia" w:hAnsi="黑体" w:eastAsia="黑体" w:cs="Times New Roman"/>
                <w:color w:val="auto"/>
                <w:sz w:val="24"/>
                <w:u w:val="none"/>
                <w:lang w:val="en-US" w:eastAsia="zh-CN"/>
              </w:rPr>
              <w:t>19</w:t>
            </w:r>
            <w:r>
              <w:rPr>
                <w:rFonts w:hint="eastAsia" w:ascii="Times New Roman" w:hAnsi="黑体" w:eastAsia="黑体" w:cs="Times New Roman"/>
                <w:color w:val="auto"/>
                <w:sz w:val="24"/>
                <w:u w:val="none"/>
                <w:lang w:val="zh-CN" w:eastAsia="zh-CN"/>
              </w:rPr>
              <w:t xml:space="preserve">  现有工程存在问题及整改措施一览表</w:t>
            </w:r>
          </w:p>
          <w:tbl>
            <w:tblPr>
              <w:tblStyle w:val="28"/>
              <w:tblW w:w="843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3" w:type="dxa"/>
                <w:bottom w:w="0" w:type="dxa"/>
                <w:right w:w="23" w:type="dxa"/>
              </w:tblCellMar>
            </w:tblPr>
            <w:tblGrid>
              <w:gridCol w:w="554"/>
              <w:gridCol w:w="2732"/>
              <w:gridCol w:w="3929"/>
              <w:gridCol w:w="122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708" w:hRule="atLeast"/>
                <w:jc w:val="center"/>
              </w:trPr>
              <w:tc>
                <w:tcPr>
                  <w:tcW w:w="554" w:type="dxa"/>
                  <w:tcBorders>
                    <w:tl2br w:val="nil"/>
                    <w:tr2bl w:val="nil"/>
                  </w:tcBorders>
                  <w:noWrap w:val="0"/>
                  <w:vAlign w:val="center"/>
                </w:tcPr>
                <w:p>
                  <w:pPr>
                    <w:spacing w:line="360" w:lineRule="exact"/>
                    <w:jc w:val="center"/>
                    <w:rPr>
                      <w:rFonts w:hint="eastAsia" w:ascii="Times New Roman" w:hAnsi="Times New Roman" w:eastAsia="宋体" w:cs="Times New Roman"/>
                      <w:b/>
                      <w:bCs/>
                      <w:color w:val="auto"/>
                      <w:szCs w:val="24"/>
                      <w:u w:val="none"/>
                      <w:lang w:val="en-US" w:eastAsia="zh-CN"/>
                    </w:rPr>
                  </w:pPr>
                  <w:r>
                    <w:rPr>
                      <w:rFonts w:hint="eastAsia" w:ascii="Times New Roman" w:hAnsi="Times New Roman" w:eastAsia="宋体" w:cs="Times New Roman"/>
                      <w:b/>
                      <w:bCs/>
                      <w:color w:val="auto"/>
                      <w:szCs w:val="24"/>
                      <w:u w:val="none"/>
                      <w:lang w:val="en-US" w:eastAsia="zh-CN"/>
                    </w:rPr>
                    <w:t>序号</w:t>
                  </w:r>
                </w:p>
              </w:tc>
              <w:tc>
                <w:tcPr>
                  <w:tcW w:w="2732" w:type="dxa"/>
                  <w:tcBorders>
                    <w:tl2br w:val="nil"/>
                    <w:tr2bl w:val="nil"/>
                  </w:tcBorders>
                  <w:noWrap w:val="0"/>
                  <w:vAlign w:val="center"/>
                </w:tcPr>
                <w:p>
                  <w:pPr>
                    <w:spacing w:line="360" w:lineRule="exact"/>
                    <w:jc w:val="center"/>
                    <w:rPr>
                      <w:rFonts w:hint="eastAsia" w:ascii="Times New Roman" w:hAnsi="Times New Roman" w:eastAsia="宋体" w:cs="Times New Roman"/>
                      <w:b/>
                      <w:bCs/>
                      <w:color w:val="auto"/>
                      <w:szCs w:val="24"/>
                      <w:u w:val="none"/>
                      <w:lang w:val="en-US" w:eastAsia="zh-CN"/>
                    </w:rPr>
                  </w:pPr>
                  <w:r>
                    <w:rPr>
                      <w:rFonts w:hint="eastAsia" w:ascii="Times New Roman" w:hAnsi="Times New Roman" w:eastAsia="宋体" w:cs="Times New Roman"/>
                      <w:b/>
                      <w:bCs/>
                      <w:color w:val="auto"/>
                      <w:szCs w:val="24"/>
                      <w:u w:val="none"/>
                      <w:lang w:val="en-US" w:eastAsia="zh-CN"/>
                    </w:rPr>
                    <w:t>存在问题</w:t>
                  </w:r>
                </w:p>
              </w:tc>
              <w:tc>
                <w:tcPr>
                  <w:tcW w:w="3929" w:type="dxa"/>
                  <w:tcBorders>
                    <w:right w:val="single" w:color="auto" w:sz="4" w:space="0"/>
                    <w:tl2br w:val="nil"/>
                    <w:tr2bl w:val="nil"/>
                  </w:tcBorders>
                  <w:noWrap w:val="0"/>
                  <w:vAlign w:val="center"/>
                </w:tcPr>
                <w:p>
                  <w:pPr>
                    <w:spacing w:line="360" w:lineRule="exact"/>
                    <w:jc w:val="center"/>
                    <w:rPr>
                      <w:rFonts w:hint="eastAsia" w:ascii="Times New Roman" w:hAnsi="Times New Roman" w:eastAsia="宋体" w:cs="Times New Roman"/>
                      <w:b/>
                      <w:bCs/>
                      <w:color w:val="auto"/>
                      <w:szCs w:val="24"/>
                      <w:u w:val="none"/>
                      <w:lang w:val="en-US" w:eastAsia="zh-CN"/>
                    </w:rPr>
                  </w:pPr>
                  <w:r>
                    <w:rPr>
                      <w:rFonts w:hint="eastAsia" w:ascii="Times New Roman" w:hAnsi="Times New Roman" w:eastAsia="宋体" w:cs="Times New Roman"/>
                      <w:b/>
                      <w:bCs/>
                      <w:color w:val="auto"/>
                      <w:szCs w:val="24"/>
                      <w:u w:val="none"/>
                      <w:lang w:val="en-US" w:eastAsia="zh-CN"/>
                    </w:rPr>
                    <w:t>整改措施</w:t>
                  </w:r>
                </w:p>
              </w:tc>
              <w:tc>
                <w:tcPr>
                  <w:tcW w:w="1223" w:type="dxa"/>
                  <w:tcBorders>
                    <w:left w:val="single" w:color="auto" w:sz="4" w:space="0"/>
                    <w:tl2br w:val="nil"/>
                    <w:tr2bl w:val="nil"/>
                  </w:tcBorders>
                  <w:noWrap w:val="0"/>
                  <w:vAlign w:val="center"/>
                </w:tcPr>
                <w:p>
                  <w:pPr>
                    <w:spacing w:line="360" w:lineRule="exact"/>
                    <w:jc w:val="center"/>
                    <w:rPr>
                      <w:rFonts w:hint="eastAsia" w:ascii="Times New Roman" w:hAnsi="Times New Roman" w:eastAsia="宋体" w:cs="Times New Roman"/>
                      <w:b/>
                      <w:bCs/>
                      <w:color w:val="auto"/>
                      <w:szCs w:val="24"/>
                      <w:u w:val="none"/>
                      <w:lang w:val="en-US" w:eastAsia="zh-CN"/>
                    </w:rPr>
                  </w:pPr>
                  <w:r>
                    <w:rPr>
                      <w:rFonts w:hint="eastAsia" w:ascii="Times New Roman" w:hAnsi="Times New Roman" w:eastAsia="宋体" w:cs="Times New Roman"/>
                      <w:b/>
                      <w:bCs/>
                      <w:color w:val="auto"/>
                      <w:szCs w:val="24"/>
                      <w:u w:val="none"/>
                      <w:lang w:val="en-US" w:eastAsia="zh-CN"/>
                    </w:rPr>
                    <w:t>整改期限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736" w:hRule="atLeast"/>
                <w:jc w:val="center"/>
              </w:trPr>
              <w:tc>
                <w:tcPr>
                  <w:tcW w:w="554" w:type="dxa"/>
                  <w:tcBorders>
                    <w:tl2br w:val="nil"/>
                    <w:tr2bl w:val="nil"/>
                  </w:tcBorders>
                  <w:noWrap w:val="0"/>
                  <w:vAlign w:val="center"/>
                </w:tcPr>
                <w:p>
                  <w:pPr>
                    <w:spacing w:line="360" w:lineRule="exact"/>
                    <w:jc w:val="center"/>
                    <w:rPr>
                      <w:rFonts w:hint="default" w:ascii="Times New Roman" w:hAnsi="Times New Roman" w:eastAsia="宋体" w:cs="Times New Roman"/>
                      <w:color w:val="auto"/>
                      <w:szCs w:val="24"/>
                      <w:u w:val="none"/>
                      <w:lang w:val="en-US" w:eastAsia="zh-CN"/>
                    </w:rPr>
                  </w:pPr>
                  <w:r>
                    <w:rPr>
                      <w:rFonts w:hint="eastAsia" w:ascii="Times New Roman" w:hAnsi="Times New Roman" w:eastAsia="宋体" w:cs="Times New Roman"/>
                      <w:color w:val="auto"/>
                      <w:szCs w:val="24"/>
                      <w:u w:val="none"/>
                      <w:lang w:val="en-US" w:eastAsia="zh-CN"/>
                    </w:rPr>
                    <w:t>1</w:t>
                  </w:r>
                </w:p>
              </w:tc>
              <w:tc>
                <w:tcPr>
                  <w:tcW w:w="2732" w:type="dxa"/>
                  <w:tcBorders>
                    <w:tl2br w:val="nil"/>
                    <w:tr2bl w:val="nil"/>
                  </w:tcBorders>
                  <w:noWrap w:val="0"/>
                  <w:vAlign w:val="center"/>
                </w:tcPr>
                <w:p>
                  <w:pPr>
                    <w:spacing w:line="360" w:lineRule="exact"/>
                    <w:jc w:val="center"/>
                    <w:rPr>
                      <w:rFonts w:hint="default" w:ascii="Times New Roman" w:hAnsi="Times New Roman" w:eastAsia="宋体" w:cs="Times New Roman"/>
                      <w:color w:val="auto"/>
                      <w:szCs w:val="24"/>
                      <w:u w:val="none"/>
                      <w:lang w:val="en-US" w:eastAsia="zh-CN"/>
                    </w:rPr>
                  </w:pPr>
                  <w:r>
                    <w:rPr>
                      <w:rFonts w:hint="eastAsia" w:cs="Times New Roman"/>
                      <w:color w:val="auto"/>
                      <w:szCs w:val="24"/>
                      <w:u w:val="none"/>
                      <w:lang w:val="en-US" w:eastAsia="zh-CN"/>
                    </w:rPr>
                    <w:t>现有飞灰暂存库未设氨气处理设施</w:t>
                  </w:r>
                </w:p>
              </w:tc>
              <w:tc>
                <w:tcPr>
                  <w:tcW w:w="3929" w:type="dxa"/>
                  <w:tcBorders>
                    <w:right w:val="single" w:color="auto" w:sz="4" w:space="0"/>
                    <w:tl2br w:val="nil"/>
                    <w:tr2bl w:val="nil"/>
                  </w:tcBorders>
                  <w:noWrap w:val="0"/>
                  <w:vAlign w:val="center"/>
                </w:tcPr>
                <w:p>
                  <w:pPr>
                    <w:spacing w:line="360" w:lineRule="exact"/>
                    <w:jc w:val="center"/>
                    <w:rPr>
                      <w:rFonts w:hint="default" w:ascii="Times New Roman" w:hAnsi="Times New Roman" w:eastAsia="宋体" w:cs="Times New Roman"/>
                      <w:color w:val="auto"/>
                      <w:szCs w:val="24"/>
                      <w:u w:val="none"/>
                      <w:lang w:val="en-US" w:eastAsia="zh-CN"/>
                    </w:rPr>
                  </w:pPr>
                  <w:r>
                    <w:rPr>
                      <w:rFonts w:hint="eastAsia" w:ascii="Times New Roman" w:hAnsi="Times New Roman" w:eastAsia="宋体" w:cs="Times New Roman"/>
                      <w:color w:val="auto"/>
                      <w:szCs w:val="24"/>
                      <w:u w:val="none"/>
                      <w:lang w:val="en-US" w:eastAsia="zh-CN"/>
                    </w:rPr>
                    <w:t>按照</w:t>
                  </w:r>
                  <w:r>
                    <w:rPr>
                      <w:rFonts w:hint="eastAsia" w:cs="Times New Roman"/>
                      <w:color w:val="auto"/>
                      <w:szCs w:val="24"/>
                      <w:u w:val="none"/>
                      <w:lang w:val="en-US" w:eastAsia="zh-CN"/>
                    </w:rPr>
                    <w:t>扩建工程飞灰库所上氨气处理设施水洗喷淋塔等进行整改，将库内氨气收集处理，且在库内安装喷干雾装置进行降尘</w:t>
                  </w:r>
                </w:p>
              </w:tc>
              <w:tc>
                <w:tcPr>
                  <w:tcW w:w="1223" w:type="dxa"/>
                  <w:tcBorders>
                    <w:left w:val="single" w:color="auto" w:sz="4" w:space="0"/>
                    <w:tl2br w:val="nil"/>
                    <w:tr2bl w:val="nil"/>
                  </w:tcBorders>
                  <w:noWrap w:val="0"/>
                  <w:vAlign w:val="center"/>
                </w:tcPr>
                <w:p>
                  <w:pPr>
                    <w:spacing w:line="360" w:lineRule="exact"/>
                    <w:jc w:val="center"/>
                    <w:rPr>
                      <w:rFonts w:hint="eastAsia" w:ascii="Times New Roman" w:hAnsi="Times New Roman" w:eastAsia="宋体" w:cs="Times New Roman"/>
                      <w:color w:val="auto"/>
                      <w:szCs w:val="24"/>
                      <w:u w:val="none"/>
                      <w:lang w:val="en-US" w:eastAsia="zh-CN"/>
                    </w:rPr>
                  </w:pPr>
                  <w:r>
                    <w:rPr>
                      <w:rFonts w:hint="eastAsia" w:ascii="Times New Roman" w:hAnsi="Times New Roman" w:eastAsia="宋体" w:cs="Times New Roman"/>
                      <w:color w:val="auto"/>
                      <w:szCs w:val="24"/>
                      <w:u w:val="none"/>
                      <w:lang w:val="en-US" w:eastAsia="zh-CN"/>
                    </w:rPr>
                    <w:t>1个月</w:t>
                  </w:r>
                </w:p>
              </w:tc>
            </w:tr>
          </w:tbl>
          <w:p>
            <w:pPr>
              <w:pStyle w:val="60"/>
              <w:bidi w:val="0"/>
              <w:ind w:left="0" w:leftChars="0" w:firstLine="480" w:firstLineChars="200"/>
              <w:rPr>
                <w:rFonts w:hint="eastAsia" w:ascii="Times New Roman" w:hAnsi="Times New Roman" w:cs="Times New Roman"/>
                <w:color w:val="auto"/>
                <w:lang w:val="en-US" w:eastAsia="zh-CN"/>
              </w:rPr>
            </w:pPr>
          </w:p>
        </w:tc>
      </w:tr>
    </w:tbl>
    <w:p>
      <w:pPr>
        <w:pStyle w:val="24"/>
        <w:jc w:val="center"/>
        <w:rPr>
          <w:rFonts w:ascii="Times New Roman" w:hAnsi="Times New Roman" w:eastAsia="黑体" w:cs="Times New Roman"/>
          <w:snapToGrid w:val="0"/>
          <w:color w:val="auto"/>
          <w:sz w:val="36"/>
          <w:szCs w:val="36"/>
        </w:rPr>
        <w:sectPr>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cols w:space="720" w:num="1"/>
          <w:docGrid w:linePitch="312" w:charSpace="0"/>
        </w:sectPr>
      </w:pPr>
    </w:p>
    <w:p>
      <w:pPr>
        <w:pStyle w:val="24"/>
        <w:adjustRightInd w:val="0"/>
        <w:snapToGrid w:val="0"/>
        <w:spacing w:before="0" w:beforeAutospacing="0" w:after="0" w:afterAutospacing="0" w:line="14" w:lineRule="auto"/>
        <w:jc w:val="center"/>
        <w:rPr>
          <w:rFonts w:ascii="Times New Roman" w:hAnsi="Times New Roman" w:eastAsia="黑体" w:cs="Times New Roman"/>
          <w:snapToGrid w:val="0"/>
          <w:color w:val="auto"/>
          <w:sz w:val="30"/>
          <w:szCs w:val="30"/>
        </w:rPr>
      </w:pPr>
    </w:p>
    <w:p>
      <w:pPr>
        <w:spacing w:beforeLines="50" w:afterLines="50"/>
        <w:jc w:val="center"/>
        <w:outlineLvl w:val="0"/>
        <w:rPr>
          <w:rFonts w:ascii="Times New Roman" w:hAnsi="Times New Roman" w:eastAsia="黑体" w:cs="Times New Roman"/>
          <w:b/>
          <w:bCs/>
          <w:color w:val="auto"/>
          <w:sz w:val="30"/>
          <w:szCs w:val="30"/>
        </w:rPr>
      </w:pPr>
      <w:r>
        <w:rPr>
          <w:rFonts w:ascii="Times New Roman" w:hAnsi="Times New Roman" w:eastAsia="黑体" w:cs="Times New Roman"/>
          <w:b/>
          <w:bCs/>
          <w:color w:val="auto"/>
          <w:sz w:val="30"/>
          <w:szCs w:val="30"/>
        </w:rPr>
        <w:t>三、区域环境质量现状、环境保护目标及评价标准</w:t>
      </w:r>
    </w:p>
    <w:tbl>
      <w:tblPr>
        <w:tblStyle w:val="2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2"/>
        <w:gridCol w:w="87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7" w:hRule="atLeast"/>
          <w:jc w:val="center"/>
        </w:trPr>
        <w:tc>
          <w:tcPr>
            <w:tcW w:w="532" w:type="dxa"/>
            <w:vAlign w:val="center"/>
          </w:tcPr>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区域</w:t>
            </w:r>
          </w:p>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环境</w:t>
            </w:r>
          </w:p>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质量</w:t>
            </w:r>
          </w:p>
          <w:p>
            <w:pPr>
              <w:spacing w:line="400" w:lineRule="exact"/>
              <w:jc w:val="center"/>
              <w:rPr>
                <w:rFonts w:ascii="Times New Roman" w:hAnsi="Times New Roman" w:cs="Times New Roman"/>
                <w:b/>
                <w:bCs/>
                <w:color w:val="auto"/>
                <w:sz w:val="28"/>
                <w:szCs w:val="28"/>
              </w:rPr>
            </w:pPr>
            <w:r>
              <w:rPr>
                <w:rFonts w:ascii="Times New Roman" w:hAnsi="Times New Roman" w:cs="Times New Roman"/>
                <w:b/>
                <w:bCs/>
                <w:color w:val="auto"/>
                <w:sz w:val="24"/>
              </w:rPr>
              <w:t>现状</w:t>
            </w:r>
          </w:p>
        </w:tc>
        <w:tc>
          <w:tcPr>
            <w:tcW w:w="8751" w:type="dxa"/>
            <w:vAlign w:val="center"/>
          </w:tcPr>
          <w:p>
            <w:pPr>
              <w:pStyle w:val="47"/>
              <w:keepNext w:val="0"/>
              <w:keepLines w:val="0"/>
              <w:pageBreakBefore w:val="0"/>
              <w:widowControl w:val="0"/>
              <w:kinsoku/>
              <w:wordWrap/>
              <w:overflowPunct/>
              <w:topLinePunct w:val="0"/>
              <w:autoSpaceDE/>
              <w:autoSpaceDN/>
              <w:bidi w:val="0"/>
              <w:adjustRightInd/>
              <w:snapToGrid/>
              <w:spacing w:line="520" w:lineRule="exact"/>
              <w:ind w:left="0" w:leftChars="0" w:firstLine="498" w:firstLineChars="200"/>
              <w:textAlignment w:val="auto"/>
              <w:rPr>
                <w:rFonts w:ascii="Times New Roman" w:hAnsi="Times New Roman" w:cs="Times New Roman"/>
                <w:b/>
                <w:bCs/>
                <w:color w:val="auto"/>
                <w:sz w:val="24"/>
              </w:rPr>
            </w:pPr>
            <w:r>
              <w:rPr>
                <w:rFonts w:hint="eastAsia" w:ascii="Times New Roman" w:hAnsi="Times New Roman" w:cs="Times New Roman"/>
                <w:b/>
                <w:bCs/>
                <w:color w:val="auto"/>
                <w:sz w:val="24"/>
                <w:lang w:val="en-US" w:eastAsia="zh-CN"/>
              </w:rPr>
              <w:t>1</w:t>
            </w:r>
            <w:r>
              <w:rPr>
                <w:rFonts w:ascii="Times New Roman" w:hAnsi="Times New Roman" w:cs="Times New Roman"/>
                <w:b/>
                <w:bCs/>
                <w:color w:val="auto"/>
                <w:sz w:val="24"/>
              </w:rPr>
              <w:t>环境空气质量现状</w:t>
            </w:r>
          </w:p>
          <w:p>
            <w:pPr>
              <w:pStyle w:val="98"/>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b/>
                <w:bCs/>
                <w:color w:val="auto"/>
                <w:sz w:val="24"/>
                <w:highlight w:val="none"/>
                <w:lang w:val="en-US" w:eastAsia="zh-CN"/>
              </w:rPr>
              <w:t>1.1常规因子</w:t>
            </w:r>
            <w:r>
              <w:rPr>
                <w:rFonts w:ascii="Times New Roman" w:hAnsi="Times New Roman" w:cs="Times New Roman"/>
                <w:b/>
                <w:bCs/>
                <w:color w:val="auto"/>
                <w:sz w:val="24"/>
                <w:highlight w:val="none"/>
              </w:rPr>
              <w:t>环境空气质量现状</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default" w:ascii="Times New Roman" w:hAnsi="Times New Roman" w:eastAsia="宋体" w:cs="Times New Roman"/>
                <w:b w:val="0"/>
                <w:bCs w:val="0"/>
                <w:color w:val="auto"/>
                <w:kern w:val="0"/>
                <w:sz w:val="24"/>
                <w:szCs w:val="24"/>
                <w:highlight w:val="none"/>
                <w:u w:val="none"/>
                <w:lang w:val="en-US" w:eastAsia="zh-CN"/>
              </w:rPr>
            </w:pPr>
            <w:r>
              <w:rPr>
                <w:rFonts w:hint="default" w:ascii="Times New Roman" w:hAnsi="Times New Roman" w:eastAsia="宋体" w:cs="Times New Roman"/>
                <w:b w:val="0"/>
                <w:bCs w:val="0"/>
                <w:color w:val="auto"/>
                <w:kern w:val="0"/>
                <w:sz w:val="24"/>
                <w:szCs w:val="24"/>
                <w:highlight w:val="none"/>
                <w:u w:val="none"/>
                <w:lang w:val="en-US" w:eastAsia="zh-CN"/>
              </w:rPr>
              <w:t>根据环境空气质量功能区划分，项目所在地为二类功能区。环境空气质量执行《环境空气质量标准》（GB3095-2012）中规定的二级标准及修改单要求。</w:t>
            </w:r>
          </w:p>
          <w:p>
            <w:pPr>
              <w:pStyle w:val="98"/>
              <w:ind w:firstLine="480"/>
              <w:rPr>
                <w:rFonts w:ascii="Times New Roman" w:hAnsi="Times New Roman" w:cs="Times New Roman"/>
                <w:bCs/>
                <w:color w:val="auto"/>
              </w:rPr>
            </w:pPr>
            <w:r>
              <w:rPr>
                <w:rFonts w:ascii="Times New Roman" w:hAnsi="Times New Roman" w:cs="Times New Roman"/>
                <w:bCs/>
                <w:color w:val="auto"/>
              </w:rPr>
              <w:t>本次环境空气质量现状引用</w:t>
            </w:r>
            <w:r>
              <w:rPr>
                <w:rFonts w:hint="eastAsia" w:ascii="Times New Roman" w:hAnsi="Times New Roman" w:cs="Times New Roman"/>
                <w:bCs/>
                <w:color w:val="auto"/>
                <w:lang w:val="en-US" w:eastAsia="zh-CN"/>
              </w:rPr>
              <w:t>平顶山市2022环境年鉴中</w:t>
            </w:r>
            <w:r>
              <w:rPr>
                <w:rFonts w:hint="eastAsia" w:ascii="Times New Roman" w:hAnsi="Times New Roman" w:eastAsia="宋体" w:cs="Times New Roman"/>
                <w:bCs/>
                <w:color w:val="auto"/>
                <w:lang w:val="en-US" w:eastAsia="zh-CN"/>
              </w:rPr>
              <w:t>2022年平顶山市环境空气监测结果，监测时间：2022年全年，监测因子为SO</w:t>
            </w:r>
            <w:r>
              <w:rPr>
                <w:rFonts w:hint="eastAsia" w:ascii="Times New Roman" w:hAnsi="Times New Roman" w:eastAsia="宋体" w:cs="Times New Roman"/>
                <w:bCs/>
                <w:color w:val="auto"/>
                <w:vertAlign w:val="subscript"/>
                <w:lang w:val="en-US" w:eastAsia="zh-CN"/>
              </w:rPr>
              <w:t>2</w:t>
            </w:r>
            <w:r>
              <w:rPr>
                <w:rFonts w:hint="eastAsia" w:ascii="Times New Roman" w:hAnsi="Times New Roman" w:eastAsia="宋体" w:cs="Times New Roman"/>
                <w:bCs/>
                <w:color w:val="auto"/>
                <w:lang w:val="en-US" w:eastAsia="zh-CN"/>
              </w:rPr>
              <w:t>、NO</w:t>
            </w:r>
            <w:r>
              <w:rPr>
                <w:rFonts w:hint="eastAsia" w:ascii="Times New Roman" w:hAnsi="Times New Roman" w:eastAsia="宋体" w:cs="Times New Roman"/>
                <w:bCs/>
                <w:color w:val="auto"/>
                <w:vertAlign w:val="subscript"/>
                <w:lang w:val="en-US" w:eastAsia="zh-CN"/>
              </w:rPr>
              <w:t>2</w:t>
            </w:r>
            <w:r>
              <w:rPr>
                <w:rFonts w:hint="eastAsia" w:ascii="Times New Roman" w:hAnsi="Times New Roman" w:eastAsia="宋体" w:cs="Times New Roman"/>
                <w:bCs/>
                <w:color w:val="auto"/>
                <w:lang w:val="en-US" w:eastAsia="zh-CN"/>
              </w:rPr>
              <w:t>、PM</w:t>
            </w:r>
            <w:r>
              <w:rPr>
                <w:rFonts w:hint="eastAsia" w:ascii="Times New Roman" w:hAnsi="Times New Roman" w:cs="Times New Roman"/>
                <w:bCs/>
                <w:color w:val="auto"/>
                <w:vertAlign w:val="subscript"/>
                <w:lang w:val="en-US" w:eastAsia="zh-CN"/>
              </w:rPr>
              <w:t>2.5</w:t>
            </w:r>
            <w:r>
              <w:rPr>
                <w:rFonts w:hint="eastAsia" w:ascii="Times New Roman" w:hAnsi="Times New Roman" w:eastAsia="宋体" w:cs="Times New Roman"/>
                <w:bCs/>
                <w:color w:val="auto"/>
                <w:lang w:val="en-US" w:eastAsia="zh-CN"/>
              </w:rPr>
              <w:t>、PM</w:t>
            </w:r>
            <w:r>
              <w:rPr>
                <w:rFonts w:hint="eastAsia" w:ascii="Times New Roman" w:hAnsi="Times New Roman" w:eastAsia="宋体" w:cs="Times New Roman"/>
                <w:bCs/>
                <w:color w:val="auto"/>
                <w:vertAlign w:val="subscript"/>
                <w:lang w:val="en-US" w:eastAsia="zh-CN"/>
              </w:rPr>
              <w:t>10</w:t>
            </w:r>
            <w:r>
              <w:rPr>
                <w:rFonts w:hint="eastAsia" w:ascii="Times New Roman" w:hAnsi="Times New Roman" w:eastAsia="宋体" w:cs="Times New Roman"/>
                <w:bCs/>
                <w:color w:val="auto"/>
                <w:lang w:val="en-US" w:eastAsia="zh-CN"/>
              </w:rPr>
              <w:t>、CO、O</w:t>
            </w:r>
            <w:r>
              <w:rPr>
                <w:rFonts w:hint="eastAsia" w:ascii="Times New Roman" w:hAnsi="Times New Roman" w:eastAsia="宋体" w:cs="Times New Roman"/>
                <w:bCs/>
                <w:color w:val="auto"/>
                <w:vertAlign w:val="subscript"/>
                <w:lang w:val="en-US" w:eastAsia="zh-CN"/>
              </w:rPr>
              <w:t>3</w:t>
            </w:r>
            <w:r>
              <w:rPr>
                <w:rFonts w:hint="eastAsia" w:ascii="Times New Roman" w:hAnsi="Times New Roman" w:eastAsia="宋体" w:cs="Times New Roman"/>
                <w:bCs/>
                <w:color w:val="auto"/>
                <w:lang w:val="en-US" w:eastAsia="zh-CN"/>
              </w:rPr>
              <w:t>八小时共6项</w:t>
            </w:r>
            <w:r>
              <w:rPr>
                <w:rFonts w:ascii="Times New Roman" w:hAnsi="Times New Roman" w:cs="Times New Roman"/>
                <w:bCs/>
                <w:color w:val="auto"/>
              </w:rPr>
              <w:t>，其检测结果见下表：</w:t>
            </w:r>
          </w:p>
          <w:p>
            <w:pPr>
              <w:spacing w:line="520" w:lineRule="exact"/>
              <w:ind w:firstLine="480" w:firstLineChars="200"/>
              <w:jc w:val="center"/>
              <w:rPr>
                <w:rFonts w:hint="eastAsia" w:ascii="Times New Roman" w:hAnsi="Times New Roman" w:eastAsia="黑体" w:cs="Times New Roman"/>
                <w:color w:val="auto"/>
                <w:sz w:val="24"/>
              </w:rPr>
            </w:pPr>
            <w:r>
              <w:rPr>
                <w:rFonts w:hint="eastAsia" w:ascii="Times New Roman" w:hAnsi="Times New Roman" w:eastAsia="黑体" w:cs="Times New Roman"/>
                <w:color w:val="auto"/>
                <w:sz w:val="24"/>
              </w:rPr>
              <w:t>表</w:t>
            </w:r>
            <w:r>
              <w:rPr>
                <w:rFonts w:hint="eastAsia" w:eastAsia="黑体" w:cs="Times New Roman"/>
                <w:color w:val="auto"/>
                <w:sz w:val="24"/>
                <w:lang w:val="en-US" w:eastAsia="zh-CN"/>
              </w:rPr>
              <w:t>20</w:t>
            </w:r>
            <w:r>
              <w:rPr>
                <w:rFonts w:hint="eastAsia" w:ascii="Times New Roman" w:hAnsi="Times New Roman" w:eastAsia="黑体" w:cs="Times New Roman"/>
                <w:color w:val="auto"/>
                <w:sz w:val="24"/>
              </w:rPr>
              <w:t xml:space="preserve"> </w:t>
            </w:r>
            <w:r>
              <w:rPr>
                <w:rFonts w:hint="eastAsia" w:eastAsia="黑体" w:cs="Times New Roman"/>
                <w:color w:val="auto"/>
                <w:sz w:val="24"/>
                <w:lang w:val="en-US" w:eastAsia="zh-CN"/>
              </w:rPr>
              <w:t xml:space="preserve">    平顶山市</w:t>
            </w:r>
            <w:r>
              <w:rPr>
                <w:rFonts w:hint="eastAsia" w:ascii="Times New Roman" w:hAnsi="Times New Roman" w:eastAsia="黑体" w:cs="Times New Roman"/>
                <w:color w:val="auto"/>
                <w:sz w:val="24"/>
              </w:rPr>
              <w:t>环境空气质量达标情况一览表</w:t>
            </w:r>
          </w:p>
          <w:tbl>
            <w:tblPr>
              <w:tblStyle w:val="28"/>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91"/>
              <w:gridCol w:w="1100"/>
              <w:gridCol w:w="1655"/>
              <w:gridCol w:w="1566"/>
              <w:gridCol w:w="1517"/>
              <w:gridCol w:w="134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91" w:type="dxa"/>
                  <w:noWrap w:val="0"/>
                  <w:vAlign w:val="center"/>
                </w:tcPr>
                <w:p>
                  <w:pPr>
                    <w:spacing w:line="360" w:lineRule="exact"/>
                    <w:jc w:val="center"/>
                    <w:rPr>
                      <w:rFonts w:ascii="Times New Roman" w:hAnsi="Times New Roman" w:cs="Times New Roman"/>
                      <w:b/>
                      <w:bCs/>
                      <w:color w:val="auto"/>
                      <w:szCs w:val="21"/>
                    </w:rPr>
                  </w:pPr>
                  <w:r>
                    <w:rPr>
                      <w:rFonts w:ascii="Times New Roman" w:hAnsi="Times New Roman" w:cs="Times New Roman"/>
                      <w:b/>
                      <w:bCs/>
                      <w:color w:val="auto"/>
                      <w:szCs w:val="21"/>
                    </w:rPr>
                    <w:t>监测点位</w:t>
                  </w:r>
                </w:p>
              </w:tc>
              <w:tc>
                <w:tcPr>
                  <w:tcW w:w="2755" w:type="dxa"/>
                  <w:gridSpan w:val="2"/>
                  <w:noWrap w:val="0"/>
                  <w:vAlign w:val="center"/>
                </w:tcPr>
                <w:p>
                  <w:pPr>
                    <w:spacing w:line="360" w:lineRule="exact"/>
                    <w:jc w:val="center"/>
                    <w:rPr>
                      <w:rFonts w:ascii="Times New Roman" w:hAnsi="Times New Roman" w:cs="Times New Roman"/>
                      <w:b/>
                      <w:bCs/>
                      <w:color w:val="auto"/>
                      <w:szCs w:val="21"/>
                    </w:rPr>
                  </w:pPr>
                  <w:r>
                    <w:rPr>
                      <w:rFonts w:ascii="Times New Roman" w:hAnsi="Times New Roman" w:cs="Times New Roman"/>
                      <w:b/>
                      <w:bCs/>
                      <w:color w:val="auto"/>
                      <w:szCs w:val="21"/>
                    </w:rPr>
                    <w:t>监测项目</w:t>
                  </w:r>
                </w:p>
              </w:tc>
              <w:tc>
                <w:tcPr>
                  <w:tcW w:w="1566" w:type="dxa"/>
                  <w:noWrap w:val="0"/>
                  <w:vAlign w:val="center"/>
                </w:tcPr>
                <w:p>
                  <w:pPr>
                    <w:spacing w:line="360" w:lineRule="exact"/>
                    <w:jc w:val="center"/>
                    <w:rPr>
                      <w:rFonts w:ascii="Times New Roman" w:hAnsi="Times New Roman" w:cs="Times New Roman"/>
                      <w:b/>
                      <w:bCs/>
                      <w:color w:val="auto"/>
                      <w:szCs w:val="21"/>
                    </w:rPr>
                  </w:pPr>
                  <w:r>
                    <w:rPr>
                      <w:rFonts w:ascii="Times New Roman" w:hAnsi="Times New Roman" w:cs="Times New Roman"/>
                      <w:b/>
                      <w:bCs/>
                      <w:color w:val="auto"/>
                      <w:szCs w:val="21"/>
                    </w:rPr>
                    <w:t>监测结果</w:t>
                  </w:r>
                </w:p>
              </w:tc>
              <w:tc>
                <w:tcPr>
                  <w:tcW w:w="1517" w:type="dxa"/>
                  <w:noWrap w:val="0"/>
                  <w:vAlign w:val="center"/>
                </w:tcPr>
                <w:p>
                  <w:pPr>
                    <w:spacing w:line="360" w:lineRule="exact"/>
                    <w:jc w:val="center"/>
                    <w:rPr>
                      <w:rFonts w:ascii="Times New Roman" w:hAnsi="Times New Roman" w:cs="Times New Roman"/>
                      <w:b/>
                      <w:bCs/>
                      <w:color w:val="auto"/>
                      <w:szCs w:val="21"/>
                    </w:rPr>
                  </w:pPr>
                  <w:r>
                    <w:rPr>
                      <w:rFonts w:ascii="Times New Roman" w:hAnsi="Times New Roman" w:cs="Times New Roman"/>
                      <w:b/>
                      <w:bCs/>
                      <w:color w:val="auto"/>
                      <w:szCs w:val="21"/>
                    </w:rPr>
                    <w:t>标准</w:t>
                  </w:r>
                </w:p>
              </w:tc>
              <w:tc>
                <w:tcPr>
                  <w:tcW w:w="1348" w:type="dxa"/>
                  <w:noWrap w:val="0"/>
                  <w:vAlign w:val="center"/>
                </w:tcPr>
                <w:p>
                  <w:pPr>
                    <w:spacing w:line="360" w:lineRule="exact"/>
                    <w:jc w:val="center"/>
                    <w:rPr>
                      <w:rFonts w:ascii="Times New Roman" w:hAnsi="Times New Roman" w:cs="Times New Roman"/>
                      <w:b/>
                      <w:bCs/>
                      <w:color w:val="auto"/>
                      <w:szCs w:val="21"/>
                    </w:rPr>
                  </w:pPr>
                  <w:r>
                    <w:rPr>
                      <w:rFonts w:ascii="Times New Roman" w:hAnsi="Times New Roman" w:cs="Times New Roman"/>
                      <w:b/>
                      <w:bCs/>
                      <w:color w:val="auto"/>
                      <w:szCs w:val="21"/>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91" w:type="dxa"/>
                  <w:vMerge w:val="restart"/>
                  <w:noWrap w:val="0"/>
                  <w:vAlign w:val="center"/>
                </w:tcPr>
                <w:p>
                  <w:pPr>
                    <w:spacing w:line="360" w:lineRule="exact"/>
                    <w:jc w:val="center"/>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平顶山市</w:t>
                  </w:r>
                </w:p>
              </w:tc>
              <w:tc>
                <w:tcPr>
                  <w:tcW w:w="1100"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SO</w:t>
                  </w:r>
                  <w:r>
                    <w:rPr>
                      <w:rFonts w:ascii="Times New Roman" w:hAnsi="Times New Roman" w:cs="Times New Roman"/>
                      <w:color w:val="auto"/>
                      <w:szCs w:val="21"/>
                      <w:vertAlign w:val="subscript"/>
                    </w:rPr>
                    <w:t>2</w:t>
                  </w:r>
                </w:p>
              </w:tc>
              <w:tc>
                <w:tcPr>
                  <w:tcW w:w="1655" w:type="dxa"/>
                  <w:noWrap w:val="0"/>
                  <w:vAlign w:val="center"/>
                </w:tcPr>
                <w:p>
                  <w:pPr>
                    <w:spacing w:line="360" w:lineRule="exact"/>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日均值</w:t>
                  </w:r>
                </w:p>
              </w:tc>
              <w:tc>
                <w:tcPr>
                  <w:tcW w:w="1566" w:type="dxa"/>
                  <w:noWrap w:val="0"/>
                  <w:vAlign w:val="center"/>
                </w:tcPr>
                <w:p>
                  <w:pPr>
                    <w:adjustRightInd w:val="0"/>
                    <w:snapToGrid w:val="0"/>
                    <w:spacing w:line="360" w:lineRule="exact"/>
                    <w:jc w:val="center"/>
                    <w:rPr>
                      <w:rFonts w:ascii="Times New Roman" w:hAnsi="Times New Roman" w:cs="Times New Roman"/>
                      <w:color w:val="auto"/>
                      <w:szCs w:val="21"/>
                    </w:rPr>
                  </w:pPr>
                  <w:r>
                    <w:rPr>
                      <w:rFonts w:hint="eastAsia" w:cs="Times New Roman"/>
                      <w:color w:val="auto"/>
                      <w:szCs w:val="21"/>
                      <w:lang w:val="en-US" w:eastAsia="zh-CN"/>
                    </w:rPr>
                    <w:t>7</w:t>
                  </w:r>
                  <w:r>
                    <w:rPr>
                      <w:rFonts w:ascii="Times New Roman" w:hAnsi="Times New Roman" w:cs="Times New Roman"/>
                      <w:color w:val="auto"/>
                      <w:szCs w:val="21"/>
                    </w:rPr>
                    <w:t>μg/m</w:t>
                  </w:r>
                  <w:r>
                    <w:rPr>
                      <w:rFonts w:ascii="Times New Roman" w:hAnsi="Times New Roman" w:cs="Times New Roman"/>
                      <w:color w:val="auto"/>
                      <w:szCs w:val="21"/>
                      <w:vertAlign w:val="superscript"/>
                    </w:rPr>
                    <w:t>3</w:t>
                  </w:r>
                </w:p>
              </w:tc>
              <w:tc>
                <w:tcPr>
                  <w:tcW w:w="1517"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60ug/m</w:t>
                  </w:r>
                  <w:r>
                    <w:rPr>
                      <w:rFonts w:ascii="Times New Roman" w:hAnsi="Times New Roman" w:cs="Times New Roman"/>
                      <w:color w:val="auto"/>
                      <w:szCs w:val="21"/>
                      <w:vertAlign w:val="superscript"/>
                    </w:rPr>
                    <w:t>3</w:t>
                  </w:r>
                </w:p>
              </w:tc>
              <w:tc>
                <w:tcPr>
                  <w:tcW w:w="1348"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91" w:type="dxa"/>
                  <w:vMerge w:val="continue"/>
                  <w:noWrap w:val="0"/>
                  <w:vAlign w:val="center"/>
                </w:tcPr>
                <w:p>
                  <w:pPr>
                    <w:spacing w:line="360" w:lineRule="exact"/>
                    <w:jc w:val="center"/>
                    <w:rPr>
                      <w:rFonts w:ascii="Times New Roman" w:hAnsi="Times New Roman" w:cs="Times New Roman"/>
                      <w:color w:val="auto"/>
                      <w:szCs w:val="21"/>
                    </w:rPr>
                  </w:pPr>
                </w:p>
              </w:tc>
              <w:tc>
                <w:tcPr>
                  <w:tcW w:w="1100"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NO</w:t>
                  </w:r>
                  <w:r>
                    <w:rPr>
                      <w:rFonts w:ascii="Times New Roman" w:hAnsi="Times New Roman" w:cs="Times New Roman"/>
                      <w:color w:val="auto"/>
                      <w:szCs w:val="21"/>
                      <w:vertAlign w:val="subscript"/>
                    </w:rPr>
                    <w:t>2</w:t>
                  </w:r>
                </w:p>
              </w:tc>
              <w:tc>
                <w:tcPr>
                  <w:tcW w:w="1655" w:type="dxa"/>
                  <w:noWrap w:val="0"/>
                  <w:vAlign w:val="center"/>
                </w:tcPr>
                <w:p>
                  <w:pPr>
                    <w:spacing w:line="360" w:lineRule="exact"/>
                    <w:jc w:val="center"/>
                    <w:rPr>
                      <w:rFonts w:ascii="Times New Roman" w:hAnsi="Times New Roman" w:cs="Times New Roman"/>
                      <w:color w:val="auto"/>
                      <w:szCs w:val="21"/>
                    </w:rPr>
                  </w:pPr>
                  <w:r>
                    <w:rPr>
                      <w:rFonts w:hint="eastAsia" w:cs="Times New Roman"/>
                      <w:color w:val="auto"/>
                      <w:szCs w:val="21"/>
                      <w:lang w:val="en-US" w:eastAsia="zh-CN"/>
                    </w:rPr>
                    <w:t>日均值</w:t>
                  </w:r>
                </w:p>
              </w:tc>
              <w:tc>
                <w:tcPr>
                  <w:tcW w:w="1566" w:type="dxa"/>
                  <w:noWrap w:val="0"/>
                  <w:vAlign w:val="center"/>
                </w:tcPr>
                <w:p>
                  <w:pPr>
                    <w:adjustRightInd w:val="0"/>
                    <w:snapToGrid w:val="0"/>
                    <w:spacing w:line="360" w:lineRule="exact"/>
                    <w:jc w:val="center"/>
                    <w:rPr>
                      <w:rFonts w:ascii="Times New Roman" w:hAnsi="Times New Roman" w:cs="Times New Roman"/>
                      <w:color w:val="auto"/>
                      <w:szCs w:val="21"/>
                    </w:rPr>
                  </w:pPr>
                  <w:r>
                    <w:rPr>
                      <w:rFonts w:hint="eastAsia" w:cs="Times New Roman"/>
                      <w:color w:val="auto"/>
                      <w:szCs w:val="21"/>
                      <w:lang w:val="en-US" w:eastAsia="zh-CN"/>
                    </w:rPr>
                    <w:t>25</w:t>
                  </w:r>
                  <w:r>
                    <w:rPr>
                      <w:rFonts w:ascii="Times New Roman" w:hAnsi="Times New Roman" w:cs="Times New Roman"/>
                      <w:color w:val="auto"/>
                      <w:szCs w:val="21"/>
                    </w:rPr>
                    <w:t>μg/m</w:t>
                  </w:r>
                  <w:r>
                    <w:rPr>
                      <w:rFonts w:ascii="Times New Roman" w:hAnsi="Times New Roman" w:cs="Times New Roman"/>
                      <w:color w:val="auto"/>
                      <w:szCs w:val="21"/>
                      <w:vertAlign w:val="superscript"/>
                    </w:rPr>
                    <w:t>3</w:t>
                  </w:r>
                </w:p>
              </w:tc>
              <w:tc>
                <w:tcPr>
                  <w:tcW w:w="1517"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40ug/m</w:t>
                  </w:r>
                  <w:r>
                    <w:rPr>
                      <w:rFonts w:ascii="Times New Roman" w:hAnsi="Times New Roman" w:cs="Times New Roman"/>
                      <w:color w:val="auto"/>
                      <w:szCs w:val="21"/>
                      <w:vertAlign w:val="superscript"/>
                    </w:rPr>
                    <w:t>3</w:t>
                  </w:r>
                </w:p>
              </w:tc>
              <w:tc>
                <w:tcPr>
                  <w:tcW w:w="1348"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91" w:type="dxa"/>
                  <w:vMerge w:val="continue"/>
                  <w:noWrap w:val="0"/>
                  <w:vAlign w:val="center"/>
                </w:tcPr>
                <w:p>
                  <w:pPr>
                    <w:spacing w:line="360" w:lineRule="exact"/>
                    <w:jc w:val="center"/>
                    <w:rPr>
                      <w:rFonts w:ascii="Times New Roman" w:hAnsi="Times New Roman" w:cs="Times New Roman"/>
                      <w:color w:val="auto"/>
                      <w:szCs w:val="21"/>
                    </w:rPr>
                  </w:pPr>
                </w:p>
              </w:tc>
              <w:tc>
                <w:tcPr>
                  <w:tcW w:w="1100"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PM</w:t>
                  </w:r>
                  <w:r>
                    <w:rPr>
                      <w:rFonts w:ascii="Times New Roman" w:hAnsi="Times New Roman" w:cs="Times New Roman"/>
                      <w:color w:val="auto"/>
                      <w:szCs w:val="21"/>
                      <w:vertAlign w:val="subscript"/>
                    </w:rPr>
                    <w:t>10</w:t>
                  </w:r>
                </w:p>
              </w:tc>
              <w:tc>
                <w:tcPr>
                  <w:tcW w:w="1655" w:type="dxa"/>
                  <w:noWrap w:val="0"/>
                  <w:vAlign w:val="center"/>
                </w:tcPr>
                <w:p>
                  <w:pPr>
                    <w:spacing w:line="360" w:lineRule="exact"/>
                    <w:jc w:val="center"/>
                    <w:rPr>
                      <w:rFonts w:ascii="Times New Roman" w:hAnsi="Times New Roman" w:cs="Times New Roman"/>
                      <w:color w:val="auto"/>
                      <w:szCs w:val="21"/>
                    </w:rPr>
                  </w:pPr>
                  <w:r>
                    <w:rPr>
                      <w:rFonts w:hint="eastAsia" w:cs="Times New Roman"/>
                      <w:color w:val="auto"/>
                      <w:szCs w:val="21"/>
                      <w:lang w:val="en-US" w:eastAsia="zh-CN"/>
                    </w:rPr>
                    <w:t>日均值</w:t>
                  </w:r>
                </w:p>
              </w:tc>
              <w:tc>
                <w:tcPr>
                  <w:tcW w:w="1566" w:type="dxa"/>
                  <w:noWrap w:val="0"/>
                  <w:vAlign w:val="center"/>
                </w:tcPr>
                <w:p>
                  <w:pPr>
                    <w:adjustRightInd w:val="0"/>
                    <w:snapToGrid w:val="0"/>
                    <w:spacing w:line="360" w:lineRule="exact"/>
                    <w:jc w:val="center"/>
                    <w:rPr>
                      <w:rFonts w:ascii="Times New Roman" w:hAnsi="Times New Roman" w:cs="Times New Roman"/>
                      <w:color w:val="auto"/>
                      <w:szCs w:val="21"/>
                    </w:rPr>
                  </w:pPr>
                  <w:r>
                    <w:rPr>
                      <w:rFonts w:hint="eastAsia" w:cs="Times New Roman"/>
                      <w:color w:val="auto"/>
                      <w:szCs w:val="21"/>
                      <w:lang w:val="en-US" w:eastAsia="zh-CN"/>
                    </w:rPr>
                    <w:t>94</w:t>
                  </w:r>
                  <w:r>
                    <w:rPr>
                      <w:rFonts w:ascii="Times New Roman" w:hAnsi="Times New Roman" w:cs="Times New Roman"/>
                      <w:color w:val="auto"/>
                      <w:szCs w:val="21"/>
                    </w:rPr>
                    <w:t>μg/m</w:t>
                  </w:r>
                  <w:r>
                    <w:rPr>
                      <w:rFonts w:ascii="Times New Roman" w:hAnsi="Times New Roman" w:cs="Times New Roman"/>
                      <w:color w:val="auto"/>
                      <w:szCs w:val="21"/>
                      <w:vertAlign w:val="superscript"/>
                    </w:rPr>
                    <w:t>3</w:t>
                  </w:r>
                </w:p>
              </w:tc>
              <w:tc>
                <w:tcPr>
                  <w:tcW w:w="1517"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70ug/m</w:t>
                  </w:r>
                  <w:r>
                    <w:rPr>
                      <w:rFonts w:ascii="Times New Roman" w:hAnsi="Times New Roman" w:cs="Times New Roman"/>
                      <w:color w:val="auto"/>
                      <w:szCs w:val="21"/>
                      <w:vertAlign w:val="superscript"/>
                    </w:rPr>
                    <w:t>3</w:t>
                  </w:r>
                </w:p>
              </w:tc>
              <w:tc>
                <w:tcPr>
                  <w:tcW w:w="1348"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超标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91" w:type="dxa"/>
                  <w:vMerge w:val="continue"/>
                  <w:noWrap w:val="0"/>
                  <w:vAlign w:val="center"/>
                </w:tcPr>
                <w:p>
                  <w:pPr>
                    <w:spacing w:line="360" w:lineRule="exact"/>
                    <w:jc w:val="center"/>
                    <w:rPr>
                      <w:rFonts w:ascii="Times New Roman" w:hAnsi="Times New Roman" w:cs="Times New Roman"/>
                      <w:color w:val="auto"/>
                      <w:szCs w:val="21"/>
                    </w:rPr>
                  </w:pPr>
                </w:p>
              </w:tc>
              <w:tc>
                <w:tcPr>
                  <w:tcW w:w="1100"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PM</w:t>
                  </w:r>
                  <w:r>
                    <w:rPr>
                      <w:rFonts w:ascii="Times New Roman" w:hAnsi="Times New Roman" w:cs="Times New Roman"/>
                      <w:color w:val="auto"/>
                      <w:szCs w:val="21"/>
                      <w:vertAlign w:val="subscript"/>
                    </w:rPr>
                    <w:t>2.5</w:t>
                  </w:r>
                </w:p>
              </w:tc>
              <w:tc>
                <w:tcPr>
                  <w:tcW w:w="1655" w:type="dxa"/>
                  <w:noWrap w:val="0"/>
                  <w:vAlign w:val="center"/>
                </w:tcPr>
                <w:p>
                  <w:pPr>
                    <w:spacing w:line="360" w:lineRule="exact"/>
                    <w:jc w:val="center"/>
                    <w:rPr>
                      <w:rFonts w:ascii="Times New Roman" w:hAnsi="Times New Roman" w:cs="Times New Roman"/>
                      <w:color w:val="auto"/>
                      <w:szCs w:val="21"/>
                    </w:rPr>
                  </w:pPr>
                  <w:r>
                    <w:rPr>
                      <w:rFonts w:hint="eastAsia" w:cs="Times New Roman"/>
                      <w:color w:val="auto"/>
                      <w:szCs w:val="21"/>
                      <w:lang w:val="en-US" w:eastAsia="zh-CN"/>
                    </w:rPr>
                    <w:t>日均值</w:t>
                  </w:r>
                </w:p>
              </w:tc>
              <w:tc>
                <w:tcPr>
                  <w:tcW w:w="1566" w:type="dxa"/>
                  <w:noWrap w:val="0"/>
                  <w:vAlign w:val="center"/>
                </w:tcPr>
                <w:p>
                  <w:pPr>
                    <w:adjustRightInd w:val="0"/>
                    <w:snapToGrid w:val="0"/>
                    <w:spacing w:line="360" w:lineRule="exact"/>
                    <w:jc w:val="center"/>
                    <w:rPr>
                      <w:rFonts w:ascii="Times New Roman" w:hAnsi="Times New Roman" w:cs="Times New Roman"/>
                      <w:color w:val="auto"/>
                      <w:szCs w:val="21"/>
                    </w:rPr>
                  </w:pPr>
                  <w:r>
                    <w:rPr>
                      <w:rFonts w:hint="eastAsia" w:cs="Times New Roman"/>
                      <w:color w:val="auto"/>
                      <w:szCs w:val="21"/>
                      <w:lang w:val="en-US" w:eastAsia="zh-CN"/>
                    </w:rPr>
                    <w:t>49</w:t>
                  </w:r>
                  <w:r>
                    <w:rPr>
                      <w:rFonts w:ascii="Times New Roman" w:hAnsi="Times New Roman" w:cs="Times New Roman"/>
                      <w:color w:val="auto"/>
                      <w:szCs w:val="21"/>
                    </w:rPr>
                    <w:t>μg/m</w:t>
                  </w:r>
                  <w:r>
                    <w:rPr>
                      <w:rFonts w:ascii="Times New Roman" w:hAnsi="Times New Roman" w:cs="Times New Roman"/>
                      <w:color w:val="auto"/>
                      <w:szCs w:val="21"/>
                      <w:vertAlign w:val="superscript"/>
                    </w:rPr>
                    <w:t>3</w:t>
                  </w:r>
                </w:p>
              </w:tc>
              <w:tc>
                <w:tcPr>
                  <w:tcW w:w="1517"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35ug/m</w:t>
                  </w:r>
                  <w:r>
                    <w:rPr>
                      <w:rFonts w:ascii="Times New Roman" w:hAnsi="Times New Roman" w:cs="Times New Roman"/>
                      <w:color w:val="auto"/>
                      <w:szCs w:val="21"/>
                      <w:vertAlign w:val="superscript"/>
                    </w:rPr>
                    <w:t>3</w:t>
                  </w:r>
                </w:p>
              </w:tc>
              <w:tc>
                <w:tcPr>
                  <w:tcW w:w="1348"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超标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91" w:type="dxa"/>
                  <w:vMerge w:val="continue"/>
                  <w:noWrap w:val="0"/>
                  <w:vAlign w:val="center"/>
                </w:tcPr>
                <w:p>
                  <w:pPr>
                    <w:spacing w:line="360" w:lineRule="exact"/>
                    <w:jc w:val="center"/>
                    <w:rPr>
                      <w:rFonts w:ascii="Times New Roman" w:hAnsi="Times New Roman" w:cs="Times New Roman"/>
                      <w:color w:val="auto"/>
                      <w:szCs w:val="21"/>
                    </w:rPr>
                  </w:pPr>
                </w:p>
              </w:tc>
              <w:tc>
                <w:tcPr>
                  <w:tcW w:w="1100"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O</w:t>
                  </w:r>
                  <w:r>
                    <w:rPr>
                      <w:rFonts w:ascii="Times New Roman" w:hAnsi="Times New Roman" w:cs="Times New Roman"/>
                      <w:color w:val="auto"/>
                      <w:szCs w:val="21"/>
                      <w:vertAlign w:val="subscript"/>
                    </w:rPr>
                    <w:t>3</w:t>
                  </w:r>
                </w:p>
              </w:tc>
              <w:tc>
                <w:tcPr>
                  <w:tcW w:w="1655" w:type="dxa"/>
                  <w:noWrap w:val="0"/>
                  <w:vAlign w:val="center"/>
                </w:tcPr>
                <w:p>
                  <w:pPr>
                    <w:spacing w:line="360" w:lineRule="exact"/>
                    <w:jc w:val="center"/>
                    <w:rPr>
                      <w:rFonts w:ascii="Times New Roman" w:hAnsi="Times New Roman" w:cs="Times New Roman"/>
                      <w:color w:val="auto"/>
                      <w:szCs w:val="21"/>
                    </w:rPr>
                  </w:pPr>
                  <w:r>
                    <w:rPr>
                      <w:rFonts w:hint="eastAsia" w:cs="Times New Roman"/>
                      <w:color w:val="auto"/>
                      <w:szCs w:val="21"/>
                      <w:lang w:val="en-US" w:eastAsia="zh-CN"/>
                    </w:rPr>
                    <w:t>日均值</w:t>
                  </w:r>
                </w:p>
              </w:tc>
              <w:tc>
                <w:tcPr>
                  <w:tcW w:w="1566" w:type="dxa"/>
                  <w:noWrap w:val="0"/>
                  <w:vAlign w:val="center"/>
                </w:tcPr>
                <w:p>
                  <w:pPr>
                    <w:adjustRightInd w:val="0"/>
                    <w:snapToGrid w:val="0"/>
                    <w:spacing w:line="360" w:lineRule="exact"/>
                    <w:jc w:val="center"/>
                    <w:rPr>
                      <w:rFonts w:ascii="Times New Roman" w:hAnsi="Times New Roman" w:cs="Times New Roman"/>
                      <w:color w:val="auto"/>
                      <w:szCs w:val="21"/>
                    </w:rPr>
                  </w:pPr>
                  <w:r>
                    <w:rPr>
                      <w:rFonts w:hint="eastAsia" w:cs="Times New Roman"/>
                      <w:color w:val="auto"/>
                      <w:szCs w:val="21"/>
                      <w:lang w:val="en-US" w:eastAsia="zh-CN"/>
                    </w:rPr>
                    <w:t>106</w:t>
                  </w:r>
                  <w:r>
                    <w:rPr>
                      <w:rFonts w:ascii="Times New Roman" w:hAnsi="Times New Roman" w:cs="Times New Roman"/>
                      <w:color w:val="auto"/>
                      <w:szCs w:val="21"/>
                    </w:rPr>
                    <w:t>μg/m</w:t>
                  </w:r>
                  <w:r>
                    <w:rPr>
                      <w:rFonts w:ascii="Times New Roman" w:hAnsi="Times New Roman" w:cs="Times New Roman"/>
                      <w:color w:val="auto"/>
                      <w:szCs w:val="21"/>
                      <w:vertAlign w:val="superscript"/>
                    </w:rPr>
                    <w:t>3</w:t>
                  </w:r>
                </w:p>
              </w:tc>
              <w:tc>
                <w:tcPr>
                  <w:tcW w:w="1517"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160ug/m</w:t>
                  </w:r>
                  <w:r>
                    <w:rPr>
                      <w:rFonts w:ascii="Times New Roman" w:hAnsi="Times New Roman" w:cs="Times New Roman"/>
                      <w:color w:val="auto"/>
                      <w:szCs w:val="21"/>
                      <w:vertAlign w:val="superscript"/>
                    </w:rPr>
                    <w:t>3</w:t>
                  </w:r>
                </w:p>
              </w:tc>
              <w:tc>
                <w:tcPr>
                  <w:tcW w:w="1348"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91" w:type="dxa"/>
                  <w:vMerge w:val="continue"/>
                  <w:noWrap w:val="0"/>
                  <w:vAlign w:val="center"/>
                </w:tcPr>
                <w:p>
                  <w:pPr>
                    <w:spacing w:line="360" w:lineRule="exact"/>
                    <w:jc w:val="center"/>
                    <w:rPr>
                      <w:rFonts w:ascii="Times New Roman" w:hAnsi="Times New Roman" w:cs="Times New Roman"/>
                      <w:color w:val="auto"/>
                      <w:szCs w:val="21"/>
                    </w:rPr>
                  </w:pPr>
                </w:p>
              </w:tc>
              <w:tc>
                <w:tcPr>
                  <w:tcW w:w="1100"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CO</w:t>
                  </w:r>
                </w:p>
              </w:tc>
              <w:tc>
                <w:tcPr>
                  <w:tcW w:w="1655" w:type="dxa"/>
                  <w:noWrap w:val="0"/>
                  <w:vAlign w:val="center"/>
                </w:tcPr>
                <w:p>
                  <w:pPr>
                    <w:spacing w:line="360" w:lineRule="exact"/>
                    <w:jc w:val="center"/>
                    <w:rPr>
                      <w:rFonts w:ascii="Times New Roman" w:hAnsi="Times New Roman" w:cs="Times New Roman"/>
                      <w:color w:val="auto"/>
                      <w:szCs w:val="21"/>
                    </w:rPr>
                  </w:pPr>
                  <w:r>
                    <w:rPr>
                      <w:rFonts w:hint="eastAsia" w:cs="Times New Roman"/>
                      <w:color w:val="auto"/>
                      <w:szCs w:val="21"/>
                      <w:lang w:val="en-US" w:eastAsia="zh-CN"/>
                    </w:rPr>
                    <w:t>日均值</w:t>
                  </w:r>
                </w:p>
              </w:tc>
              <w:tc>
                <w:tcPr>
                  <w:tcW w:w="1566" w:type="dxa"/>
                  <w:noWrap w:val="0"/>
                  <w:vAlign w:val="center"/>
                </w:tcPr>
                <w:p>
                  <w:pPr>
                    <w:adjustRightInd w:val="0"/>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w:t>
                  </w:r>
                  <w:r>
                    <w:rPr>
                      <w:rFonts w:hint="eastAsia" w:cs="Times New Roman"/>
                      <w:color w:val="auto"/>
                      <w:szCs w:val="21"/>
                      <w:lang w:val="en-US" w:eastAsia="zh-CN"/>
                    </w:rPr>
                    <w:t>6</w:t>
                  </w:r>
                  <w:r>
                    <w:rPr>
                      <w:rFonts w:ascii="Times New Roman" w:hAnsi="Times New Roman" w:cs="Times New Roman"/>
                      <w:color w:val="auto"/>
                      <w:szCs w:val="21"/>
                    </w:rPr>
                    <w:t>mg/m</w:t>
                  </w:r>
                  <w:r>
                    <w:rPr>
                      <w:rFonts w:ascii="Times New Roman" w:hAnsi="Times New Roman" w:cs="Times New Roman"/>
                      <w:color w:val="auto"/>
                      <w:szCs w:val="21"/>
                      <w:vertAlign w:val="superscript"/>
                    </w:rPr>
                    <w:t>3</w:t>
                  </w:r>
                </w:p>
              </w:tc>
              <w:tc>
                <w:tcPr>
                  <w:tcW w:w="1517"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4mg/m</w:t>
                  </w:r>
                  <w:r>
                    <w:rPr>
                      <w:rFonts w:ascii="Times New Roman" w:hAnsi="Times New Roman" w:cs="Times New Roman"/>
                      <w:color w:val="auto"/>
                      <w:szCs w:val="21"/>
                      <w:vertAlign w:val="superscript"/>
                    </w:rPr>
                    <w:t>3</w:t>
                  </w:r>
                </w:p>
              </w:tc>
              <w:tc>
                <w:tcPr>
                  <w:tcW w:w="1348" w:type="dxa"/>
                  <w:noWrap w:val="0"/>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达标</w:t>
                  </w:r>
                </w:p>
              </w:tc>
            </w:tr>
          </w:tbl>
          <w:p>
            <w:pPr>
              <w:pStyle w:val="95"/>
              <w:snapToGrid w:val="0"/>
              <w:spacing w:line="360" w:lineRule="auto"/>
              <w:ind w:firstLine="480"/>
              <w:rPr>
                <w:rFonts w:ascii="Times New Roman" w:hAnsi="Times New Roman" w:cs="Times New Roman"/>
                <w:bCs/>
                <w:color w:val="auto"/>
                <w:szCs w:val="24"/>
              </w:rPr>
            </w:pPr>
            <w:r>
              <w:rPr>
                <w:rFonts w:ascii="Times New Roman" w:hAnsi="Times New Roman" w:cs="Times New Roman"/>
                <w:bCs/>
                <w:color w:val="auto"/>
                <w:szCs w:val="24"/>
              </w:rPr>
              <w:t>由上表可知，区域环境空气质量除PM</w:t>
            </w:r>
            <w:r>
              <w:rPr>
                <w:rFonts w:ascii="Times New Roman" w:hAnsi="Times New Roman" w:cs="Times New Roman"/>
                <w:bCs/>
                <w:color w:val="auto"/>
                <w:szCs w:val="24"/>
                <w:vertAlign w:val="subscript"/>
              </w:rPr>
              <w:t>10</w:t>
            </w:r>
            <w:r>
              <w:rPr>
                <w:rFonts w:ascii="Times New Roman" w:hAnsi="Times New Roman" w:cs="Times New Roman"/>
                <w:bCs/>
                <w:color w:val="auto"/>
                <w:szCs w:val="24"/>
              </w:rPr>
              <w:t>、PM</w:t>
            </w:r>
            <w:r>
              <w:rPr>
                <w:rFonts w:ascii="Times New Roman" w:hAnsi="Times New Roman" w:cs="Times New Roman"/>
                <w:bCs/>
                <w:color w:val="auto"/>
                <w:szCs w:val="24"/>
                <w:vertAlign w:val="subscript"/>
              </w:rPr>
              <w:t>2.5</w:t>
            </w:r>
            <w:r>
              <w:rPr>
                <w:rFonts w:ascii="Times New Roman" w:hAnsi="Times New Roman" w:cs="Times New Roman"/>
                <w:bCs/>
                <w:color w:val="auto"/>
                <w:szCs w:val="24"/>
              </w:rPr>
              <w:t>超标外，其余各监测因子均满足《环境空气质量标准》（GB3095-2012）二级标准</w:t>
            </w:r>
            <w:r>
              <w:rPr>
                <w:rFonts w:hint="eastAsia" w:ascii="Times New Roman" w:hAnsi="Times New Roman" w:cs="Times New Roman"/>
                <w:bCs/>
                <w:color w:val="auto"/>
                <w:szCs w:val="24"/>
                <w:lang w:val="en-US" w:eastAsia="zh-CN"/>
              </w:rPr>
              <w:t>及修改单</w:t>
            </w:r>
            <w:r>
              <w:rPr>
                <w:rFonts w:hint="eastAsia" w:ascii="Times New Roman" w:hAnsi="Times New Roman" w:cs="Times New Roman"/>
                <w:bCs/>
                <w:color w:val="auto"/>
                <w:szCs w:val="24"/>
              </w:rPr>
              <w:t>，因此本项目所在区域属于城市环境空气不达标区。</w:t>
            </w:r>
          </w:p>
          <w:p>
            <w:pPr>
              <w:pStyle w:val="95"/>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为持续改善全市环境空气质量，打赢打好污染防治攻坚战，</w:t>
            </w:r>
            <w:r>
              <w:rPr>
                <w:rFonts w:hint="default" w:ascii="Times New Roman" w:hAnsi="Times New Roman" w:eastAsia="宋体" w:cs="Times New Roman"/>
                <w:color w:val="auto"/>
                <w:lang w:val="en-US" w:eastAsia="zh-CN"/>
              </w:rPr>
              <w:t>平顶山市生态环境保护委员会办公室</w:t>
            </w:r>
            <w:r>
              <w:rPr>
                <w:rFonts w:hint="eastAsia" w:ascii="Times New Roman" w:hAnsi="Times New Roman" w:eastAsia="宋体" w:cs="Times New Roman"/>
                <w:color w:val="auto"/>
                <w:lang w:val="en-US" w:eastAsia="zh-CN"/>
              </w:rPr>
              <w:t>发布</w:t>
            </w:r>
            <w:r>
              <w:rPr>
                <w:rFonts w:hint="default" w:ascii="Times New Roman" w:hAnsi="Times New Roman" w:eastAsia="宋体" w:cs="Times New Roman"/>
                <w:color w:val="auto"/>
                <w:lang w:val="en-US" w:eastAsia="zh-CN"/>
              </w:rPr>
              <w:t>文件</w:t>
            </w:r>
            <w:r>
              <w:rPr>
                <w:rFonts w:hint="eastAsia" w:ascii="Times New Roman" w:hAnsi="Times New Roman" w:eastAsia="宋体" w:cs="Times New Roman"/>
                <w:color w:val="auto"/>
                <w:lang w:val="en-US" w:eastAsia="zh-CN"/>
              </w:rPr>
              <w:t>《平顶山市生态环境保护委员会办公室关于印发平顶山市 2023 年蓝天保卫战实施方案的通知》</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平环委办〔2023〕13号</w:t>
            </w:r>
            <w:r>
              <w:rPr>
                <w:rFonts w:hint="default" w:ascii="Times New Roman" w:hAnsi="Times New Roman" w:eastAsia="宋体" w:cs="Times New Roman"/>
                <w:color w:val="auto"/>
                <w:lang w:val="en-US" w:eastAsia="zh-CN"/>
              </w:rPr>
              <w:t>）号）</w:t>
            </w:r>
            <w:r>
              <w:rPr>
                <w:rFonts w:hint="eastAsia" w:ascii="宋体" w:hAnsi="宋体" w:eastAsia="宋体" w:cs="宋体"/>
                <w:color w:val="auto"/>
                <w:sz w:val="24"/>
                <w:szCs w:val="24"/>
                <w:u w:val="none"/>
                <w:lang w:val="en-US" w:eastAsia="zh-CN"/>
              </w:rPr>
              <w:t>经</w:t>
            </w:r>
            <w:r>
              <w:rPr>
                <w:rFonts w:ascii="宋体" w:hAnsi="宋体" w:eastAsia="宋体" w:cs="宋体"/>
                <w:color w:val="auto"/>
                <w:sz w:val="24"/>
                <w:szCs w:val="24"/>
                <w:u w:val="none"/>
              </w:rPr>
              <w:t>全市上下认真贯彻落实攻坚方案提供各项措施和要求后，区域环境空气质量将进一步得到有效改善。</w:t>
            </w:r>
            <w:r>
              <w:rPr>
                <w:rFonts w:hint="default" w:ascii="Times New Roman" w:hAnsi="Times New Roman" w:cs="Times New Roman"/>
                <w:color w:val="auto"/>
                <w:lang w:val="en-US" w:eastAsia="zh-CN"/>
              </w:rPr>
              <w:t>同时本项目</w:t>
            </w:r>
            <w:r>
              <w:rPr>
                <w:rFonts w:hint="eastAsia" w:ascii="Times New Roman" w:hAnsi="Times New Roman" w:cs="Times New Roman"/>
                <w:color w:val="auto"/>
                <w:lang w:val="en-US" w:eastAsia="zh-CN"/>
              </w:rPr>
              <w:t>施工期、运行期确保废气达标排放，</w:t>
            </w:r>
            <w:r>
              <w:rPr>
                <w:rFonts w:hint="default" w:ascii="Times New Roman" w:hAnsi="Times New Roman" w:cs="Times New Roman"/>
                <w:color w:val="auto"/>
                <w:lang w:val="en-US" w:eastAsia="zh-CN"/>
              </w:rPr>
              <w:t>项目建设对区域环境空气质量影响较小。同时本项目</w:t>
            </w:r>
            <w:r>
              <w:rPr>
                <w:rFonts w:hint="eastAsia" w:ascii="Times New Roman" w:hAnsi="Times New Roman" w:cs="Times New Roman"/>
                <w:color w:val="auto"/>
                <w:lang w:val="en-US" w:eastAsia="zh-CN"/>
              </w:rPr>
              <w:t>施工期确保废气达标排放，运营期废气排放量较小，经处理后均达标排放，因此本</w:t>
            </w:r>
            <w:r>
              <w:rPr>
                <w:rFonts w:hint="default" w:ascii="Times New Roman" w:hAnsi="Times New Roman" w:cs="Times New Roman"/>
                <w:color w:val="auto"/>
                <w:lang w:val="en-US" w:eastAsia="zh-CN"/>
              </w:rPr>
              <w:t>项目建设对区域环境空气质量影响较小。</w:t>
            </w:r>
          </w:p>
          <w:p>
            <w:pPr>
              <w:pStyle w:val="95"/>
              <w:ind w:firstLine="480"/>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1.2项目</w:t>
            </w:r>
            <w:r>
              <w:rPr>
                <w:rFonts w:hint="eastAsia" w:ascii="Times New Roman" w:hAnsi="Times New Roman" w:cs="Times New Roman"/>
                <w:b/>
                <w:bCs/>
                <w:color w:val="auto"/>
                <w:kern w:val="2"/>
                <w:sz w:val="24"/>
                <w:szCs w:val="24"/>
                <w:lang w:val="en-US" w:eastAsia="zh-CN" w:bidi="ar-SA"/>
              </w:rPr>
              <w:t>其他特征污染</w:t>
            </w:r>
            <w:r>
              <w:rPr>
                <w:rFonts w:hint="default" w:ascii="Times New Roman" w:hAnsi="Times New Roman" w:eastAsia="宋体" w:cs="Times New Roman"/>
                <w:b/>
                <w:bCs/>
                <w:color w:val="auto"/>
                <w:kern w:val="2"/>
                <w:sz w:val="24"/>
                <w:szCs w:val="24"/>
                <w:lang w:val="en-US" w:eastAsia="zh-CN" w:bidi="ar-SA"/>
              </w:rPr>
              <w:t>因子现状</w:t>
            </w: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line="520" w:lineRule="exact"/>
              <w:ind w:leftChars="0" w:firstLine="480" w:firstLineChars="200"/>
              <w:textAlignment w:val="auto"/>
              <w:rPr>
                <w:rFonts w:hint="default" w:ascii="Times New Roman" w:hAnsi="Times New Roman" w:eastAsia="黑体" w:cs="Times New Roman"/>
                <w:color w:val="auto"/>
                <w:sz w:val="24"/>
                <w:lang w:eastAsia="zh-CN"/>
              </w:rPr>
            </w:pPr>
            <w:r>
              <w:rPr>
                <w:rFonts w:hint="eastAsia" w:ascii="Times New Roman" w:hAnsi="Times New Roman" w:cs="Times New Roman"/>
                <w:color w:val="auto"/>
                <w:sz w:val="24"/>
                <w:lang w:val="en-US" w:eastAsia="zh-CN"/>
              </w:rPr>
              <w:t>本项目涉及废气特征污染因子为氨气，</w:t>
            </w:r>
            <w:r>
              <w:rPr>
                <w:rFonts w:hint="default" w:ascii="Times New Roman" w:hAnsi="Times New Roman" w:cs="Times New Roman"/>
                <w:color w:val="auto"/>
                <w:sz w:val="24"/>
                <w:lang w:eastAsia="zh-CN"/>
              </w:rPr>
              <w:t>为了解项目所在区域</w:t>
            </w:r>
            <w:r>
              <w:rPr>
                <w:rFonts w:hint="eastAsia" w:ascii="Times New Roman" w:hAnsi="Times New Roman" w:cs="Times New Roman"/>
                <w:color w:val="auto"/>
                <w:sz w:val="24"/>
                <w:lang w:val="en-US" w:eastAsia="zh-CN"/>
              </w:rPr>
              <w:t>氨气</w:t>
            </w:r>
            <w:r>
              <w:rPr>
                <w:rFonts w:hint="eastAsia" w:ascii="Times New Roman" w:hAnsi="Times New Roman" w:cs="Times New Roman"/>
                <w:color w:val="auto"/>
                <w:sz w:val="24"/>
                <w:lang w:eastAsia="zh-CN"/>
              </w:rPr>
              <w:t>环境空气</w:t>
            </w:r>
            <w:r>
              <w:rPr>
                <w:rFonts w:hint="default" w:ascii="Times New Roman" w:hAnsi="Times New Roman" w:cs="Times New Roman"/>
                <w:color w:val="auto"/>
                <w:sz w:val="24"/>
                <w:lang w:eastAsia="zh-CN"/>
              </w:rPr>
              <w:t>质量现状，</w:t>
            </w:r>
            <w:r>
              <w:rPr>
                <w:rFonts w:hint="eastAsia" w:ascii="Times New Roman" w:hAnsi="Times New Roman" w:cs="Times New Roman"/>
                <w:color w:val="auto"/>
                <w:sz w:val="24"/>
                <w:lang w:val="en-US" w:eastAsia="zh-CN"/>
              </w:rPr>
              <w:t>本次评价</w:t>
            </w:r>
            <w:r>
              <w:rPr>
                <w:rFonts w:hint="eastAsia" w:cs="Times New Roman"/>
                <w:color w:val="auto"/>
                <w:sz w:val="24"/>
                <w:lang w:val="en-US" w:eastAsia="zh-CN"/>
              </w:rPr>
              <w:t>引用</w:t>
            </w:r>
            <w:r>
              <w:rPr>
                <w:rFonts w:hint="eastAsia" w:ascii="Times New Roman" w:hAnsi="Times New Roman" w:eastAsia="宋体" w:cs="Times New Roman"/>
                <w:bCs/>
                <w:color w:val="auto"/>
                <w:kern w:val="2"/>
                <w:sz w:val="24"/>
                <w:szCs w:val="20"/>
                <w:highlight w:val="none"/>
                <w:lang w:val="en-US" w:eastAsia="zh-CN" w:bidi="ar-SA"/>
              </w:rPr>
              <w:t>鲁山首创环保能源有限公司鲁山县生活垃圾焚烧发电项目</w:t>
            </w:r>
            <w:r>
              <w:rPr>
                <w:rFonts w:hint="eastAsia" w:ascii="Times New Roman" w:hAnsi="Times New Roman" w:eastAsia="宋体" w:cs="Times New Roman"/>
                <w:color w:val="auto"/>
                <w:sz w:val="24"/>
                <w:lang w:val="en-US" w:eastAsia="zh-CN"/>
              </w:rPr>
              <w:t>自行监测报告数据，检测公司为</w:t>
            </w:r>
            <w:r>
              <w:rPr>
                <w:rFonts w:hint="eastAsia" w:ascii="Times New Roman" w:hAnsi="Times New Roman" w:eastAsia="宋体" w:cs="Times New Roman"/>
                <w:color w:val="auto"/>
                <w:sz w:val="24"/>
                <w:highlight w:val="none"/>
                <w:lang w:eastAsia="zh-CN"/>
              </w:rPr>
              <w:t>河南</w:t>
            </w:r>
            <w:r>
              <w:rPr>
                <w:rFonts w:hint="eastAsia" w:ascii="Times New Roman" w:hAnsi="Times New Roman" w:eastAsia="宋体" w:cs="Times New Roman"/>
                <w:color w:val="auto"/>
                <w:sz w:val="24"/>
                <w:highlight w:val="none"/>
                <w:lang w:val="en-US" w:eastAsia="zh-CN"/>
              </w:rPr>
              <w:t>中天高科检测技术服务</w:t>
            </w:r>
            <w:r>
              <w:rPr>
                <w:rFonts w:hint="eastAsia" w:ascii="Times New Roman" w:hAnsi="Times New Roman" w:eastAsia="宋体" w:cs="Times New Roman"/>
                <w:color w:val="auto"/>
                <w:sz w:val="24"/>
                <w:highlight w:val="none"/>
                <w:lang w:eastAsia="zh-CN"/>
              </w:rPr>
              <w:t>有限公司</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检测时间为</w:t>
            </w:r>
            <w:r>
              <w:rPr>
                <w:rFonts w:hint="eastAsia" w:ascii="Times New Roman" w:hAnsi="Times New Roman" w:eastAsia="宋体" w:cs="Times New Roman"/>
                <w:color w:val="auto"/>
                <w:sz w:val="24"/>
                <w:lang w:eastAsia="zh-CN"/>
              </w:rPr>
              <w:t>202</w:t>
            </w:r>
            <w:r>
              <w:rPr>
                <w:rFonts w:hint="eastAsia"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lang w:eastAsia="zh-CN"/>
              </w:rPr>
              <w:t>年</w:t>
            </w:r>
            <w:r>
              <w:rPr>
                <w:rFonts w:hint="eastAsia" w:ascii="Times New Roman" w:hAnsi="Times New Roman" w:eastAsia="宋体" w:cs="Times New Roman"/>
                <w:color w:val="auto"/>
                <w:sz w:val="24"/>
                <w:lang w:val="en-US" w:eastAsia="zh-CN"/>
              </w:rPr>
              <w:t>9</w:t>
            </w:r>
            <w:r>
              <w:rPr>
                <w:rFonts w:hint="eastAsia" w:ascii="Times New Roman" w:hAnsi="Times New Roman" w:eastAsia="宋体" w:cs="Times New Roman"/>
                <w:color w:val="auto"/>
                <w:sz w:val="24"/>
                <w:lang w:eastAsia="zh-CN"/>
              </w:rPr>
              <w:t>月</w:t>
            </w:r>
            <w:r>
              <w:rPr>
                <w:rFonts w:hint="eastAsia" w:ascii="Times New Roman" w:hAnsi="Times New Roman" w:eastAsia="宋体" w:cs="Times New Roman"/>
                <w:color w:val="auto"/>
                <w:sz w:val="24"/>
                <w:lang w:val="en-US" w:eastAsia="zh-CN"/>
              </w:rPr>
              <w:t>26</w:t>
            </w:r>
            <w:r>
              <w:rPr>
                <w:rFonts w:hint="eastAsia" w:ascii="Times New Roman" w:hAnsi="Times New Roman" w:eastAsia="宋体" w:cs="Times New Roman"/>
                <w:color w:val="auto"/>
                <w:sz w:val="24"/>
                <w:lang w:eastAsia="zh-CN"/>
              </w:rPr>
              <w:t>日，</w:t>
            </w:r>
            <w:r>
              <w:rPr>
                <w:rFonts w:hint="eastAsia" w:cs="Times New Roman"/>
                <w:color w:val="auto"/>
                <w:sz w:val="24"/>
                <w:lang w:val="en-US" w:eastAsia="zh-CN"/>
              </w:rPr>
              <w:t>见附件11，</w:t>
            </w:r>
            <w:r>
              <w:rPr>
                <w:rFonts w:hint="default" w:ascii="Times New Roman" w:hAnsi="Times New Roman" w:cs="Times New Roman"/>
                <w:color w:val="auto"/>
                <w:sz w:val="24"/>
              </w:rPr>
              <w:t>检测</w:t>
            </w:r>
            <w:r>
              <w:rPr>
                <w:rFonts w:hint="eastAsia" w:ascii="Times New Roman" w:hAnsi="Times New Roman" w:cs="Times New Roman"/>
                <w:color w:val="auto"/>
                <w:sz w:val="24"/>
                <w:lang w:val="en-US" w:eastAsia="zh-CN"/>
              </w:rPr>
              <w:t>内容及</w:t>
            </w:r>
            <w:r>
              <w:rPr>
                <w:rFonts w:hint="default" w:ascii="Times New Roman" w:hAnsi="Times New Roman" w:cs="Times New Roman"/>
                <w:color w:val="auto"/>
                <w:sz w:val="24"/>
              </w:rPr>
              <w:t>结果如下表</w:t>
            </w:r>
            <w:r>
              <w:rPr>
                <w:rFonts w:hint="default" w:ascii="Times New Roman" w:hAnsi="Times New Roman" w:cs="Times New Roman"/>
                <w:color w:val="auto"/>
                <w:sz w:val="24"/>
                <w:lang w:eastAsia="zh-CN"/>
              </w:rPr>
              <w:t>：</w:t>
            </w:r>
          </w:p>
          <w:p>
            <w:pPr>
              <w:pStyle w:val="27"/>
              <w:keepNext w:val="0"/>
              <w:keepLines w:val="0"/>
              <w:pageBreakBefore w:val="0"/>
              <w:widowControl/>
              <w:kinsoku/>
              <w:wordWrap/>
              <w:overflowPunct/>
              <w:topLinePunct w:val="0"/>
              <w:autoSpaceDE/>
              <w:autoSpaceDN/>
              <w:bidi w:val="0"/>
              <w:adjustRightInd/>
              <w:snapToGrid w:val="0"/>
              <w:spacing w:after="0"/>
              <w:ind w:left="0" w:leftChars="0" w:firstLine="0"/>
              <w:jc w:val="center"/>
              <w:textAlignment w:val="auto"/>
              <w:rPr>
                <w:b/>
                <w:bCs/>
                <w:color w:val="auto"/>
                <w:sz w:val="24"/>
                <w:szCs w:val="24"/>
              </w:rPr>
            </w:pPr>
            <w:r>
              <w:rPr>
                <w:rFonts w:hint="eastAsia" w:ascii="Times New Roman" w:hAnsi="Times New Roman" w:eastAsia="黑体" w:cs="Times New Roman"/>
                <w:color w:val="auto"/>
                <w:kern w:val="2"/>
                <w:sz w:val="24"/>
                <w:szCs w:val="24"/>
                <w:lang w:val="en-US" w:eastAsia="zh-CN" w:bidi="ar-SA"/>
              </w:rPr>
              <w:t>表2</w:t>
            </w:r>
            <w:r>
              <w:rPr>
                <w:rFonts w:hint="eastAsia" w:eastAsia="黑体" w:cs="Times New Roman"/>
                <w:color w:val="auto"/>
                <w:kern w:val="2"/>
                <w:sz w:val="24"/>
                <w:szCs w:val="24"/>
                <w:lang w:val="en-US" w:eastAsia="zh-CN" w:bidi="ar-SA"/>
              </w:rPr>
              <w:t>1</w:t>
            </w:r>
            <w:r>
              <w:rPr>
                <w:rFonts w:hint="eastAsia" w:ascii="Times New Roman" w:hAnsi="Times New Roman" w:eastAsia="黑体" w:cs="Times New Roman"/>
                <w:color w:val="auto"/>
                <w:kern w:val="2"/>
                <w:sz w:val="24"/>
                <w:szCs w:val="24"/>
                <w:lang w:val="en-US" w:eastAsia="zh-CN" w:bidi="ar-SA"/>
              </w:rPr>
              <w:t xml:space="preserve">  检测内容一览表</w:t>
            </w:r>
          </w:p>
          <w:tbl>
            <w:tblPr>
              <w:tblStyle w:val="28"/>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6"/>
              <w:gridCol w:w="3129"/>
              <w:gridCol w:w="1624"/>
              <w:gridCol w:w="2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tblHeader/>
                <w:jc w:val="center"/>
              </w:trPr>
              <w:tc>
                <w:tcPr>
                  <w:tcW w:w="977"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b/>
                      <w:bCs/>
                      <w:color w:val="auto"/>
                      <w:sz w:val="21"/>
                      <w:szCs w:val="21"/>
                    </w:rPr>
                  </w:pPr>
                  <w:r>
                    <w:rPr>
                      <w:b/>
                      <w:bCs/>
                      <w:color w:val="auto"/>
                      <w:sz w:val="21"/>
                      <w:szCs w:val="21"/>
                    </w:rPr>
                    <w:t>检测类别</w:t>
                  </w:r>
                </w:p>
              </w:tc>
              <w:tc>
                <w:tcPr>
                  <w:tcW w:w="1834"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ascii="Times New Roman" w:hAnsi="Times New Roman" w:eastAsia="宋体" w:cs="Times New Roman"/>
                      <w:color w:val="auto"/>
                      <w:sz w:val="21"/>
                      <w:szCs w:val="21"/>
                    </w:rPr>
                  </w:pPr>
                  <w:r>
                    <w:rPr>
                      <w:rFonts w:ascii="Times New Roman" w:hAnsi="Times New Roman" w:eastAsia="宋体" w:cs="Times New Roman"/>
                      <w:b/>
                      <w:bCs/>
                      <w:color w:val="auto"/>
                      <w:sz w:val="21"/>
                      <w:szCs w:val="21"/>
                    </w:rPr>
                    <w:t>检测点位</w:t>
                  </w:r>
                </w:p>
              </w:tc>
              <w:tc>
                <w:tcPr>
                  <w:tcW w:w="952"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b/>
                      <w:bCs/>
                      <w:color w:val="auto"/>
                      <w:sz w:val="21"/>
                      <w:szCs w:val="21"/>
                    </w:rPr>
                  </w:pPr>
                  <w:r>
                    <w:rPr>
                      <w:b/>
                      <w:bCs/>
                      <w:color w:val="auto"/>
                      <w:sz w:val="21"/>
                      <w:szCs w:val="21"/>
                    </w:rPr>
                    <w:t>检测项目</w:t>
                  </w:r>
                </w:p>
              </w:tc>
              <w:tc>
                <w:tcPr>
                  <w:tcW w:w="1235"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b/>
                      <w:bCs/>
                      <w:color w:val="auto"/>
                      <w:sz w:val="21"/>
                      <w:szCs w:val="21"/>
                    </w:rPr>
                  </w:pPr>
                  <w:r>
                    <w:rPr>
                      <w:b/>
                      <w:bCs/>
                      <w:color w:val="auto"/>
                      <w:sz w:val="21"/>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977"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color w:val="auto"/>
                      <w:sz w:val="21"/>
                      <w:szCs w:val="21"/>
                    </w:rPr>
                  </w:pPr>
                  <w:r>
                    <w:rPr>
                      <w:color w:val="auto"/>
                      <w:sz w:val="21"/>
                      <w:szCs w:val="21"/>
                    </w:rPr>
                    <w:t>环境空气</w:t>
                  </w:r>
                </w:p>
              </w:tc>
              <w:tc>
                <w:tcPr>
                  <w:tcW w:w="1834" w:type="pct"/>
                  <w:noWrap w:val="0"/>
                  <w:vAlign w:val="center"/>
                </w:tcPr>
                <w:p>
                  <w:pPr>
                    <w:pStyle w:val="43"/>
                    <w:spacing w:line="240" w:lineRule="auto"/>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鲁山首创环保能源有限公司鲁山县生活垃圾焚烧发电项目厂界外上⻛向 1 个参照点，</w:t>
                  </w:r>
                </w:p>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b w:val="0"/>
                      <w:bCs/>
                      <w:color w:val="auto"/>
                      <w:lang w:val="en-US" w:eastAsia="zh-CN"/>
                    </w:rPr>
                    <w:t>下⻛向3个检测点</w:t>
                  </w:r>
                </w:p>
              </w:tc>
              <w:tc>
                <w:tcPr>
                  <w:tcW w:w="952"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color w:val="auto"/>
                      <w:sz w:val="21"/>
                      <w:szCs w:val="21"/>
                      <w:lang w:val="en-US" w:eastAsia="zh-CN" w:bidi="ar-SA"/>
                    </w:rPr>
                  </w:pPr>
                  <w:r>
                    <w:rPr>
                      <w:rFonts w:hint="eastAsia"/>
                      <w:color w:val="auto"/>
                      <w:sz w:val="21"/>
                      <w:szCs w:val="21"/>
                      <w:lang w:val="en-US" w:eastAsia="zh-CN" w:bidi="ar-SA"/>
                    </w:rPr>
                    <w:t>氨</w:t>
                  </w:r>
                </w:p>
              </w:tc>
              <w:tc>
                <w:tcPr>
                  <w:tcW w:w="1235"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color w:val="auto"/>
                      <w:sz w:val="21"/>
                      <w:szCs w:val="21"/>
                      <w:lang w:val="en-US" w:eastAsia="zh-CN" w:bidi="ar-SA"/>
                    </w:rPr>
                  </w:pPr>
                  <w:r>
                    <w:rPr>
                      <w:color w:val="auto"/>
                      <w:sz w:val="21"/>
                      <w:szCs w:val="21"/>
                    </w:rPr>
                    <w:t>检测</w:t>
                  </w:r>
                  <w:r>
                    <w:rPr>
                      <w:rFonts w:hint="eastAsia"/>
                      <w:color w:val="auto"/>
                      <w:sz w:val="21"/>
                      <w:szCs w:val="21"/>
                      <w:lang w:val="en-US" w:eastAsia="zh-CN"/>
                    </w:rPr>
                    <w:t>1</w:t>
                  </w:r>
                  <w:r>
                    <w:rPr>
                      <w:color w:val="auto"/>
                      <w:sz w:val="21"/>
                      <w:szCs w:val="21"/>
                    </w:rPr>
                    <w:t>天，</w:t>
                  </w:r>
                  <w:r>
                    <w:rPr>
                      <w:rFonts w:hint="eastAsia"/>
                      <w:color w:val="auto"/>
                      <w:sz w:val="21"/>
                      <w:szCs w:val="21"/>
                      <w:lang w:val="en-US" w:eastAsia="zh-CN"/>
                    </w:rPr>
                    <w:t>3次/天</w:t>
                  </w:r>
                </w:p>
              </w:tc>
            </w:tr>
          </w:tbl>
          <w:p>
            <w:pPr>
              <w:pStyle w:val="18"/>
              <w:keepNext w:val="0"/>
              <w:keepLines w:val="0"/>
              <w:pageBreakBefore w:val="0"/>
              <w:widowControl w:val="0"/>
              <w:numPr>
                <w:ilvl w:val="0"/>
                <w:numId w:val="0"/>
              </w:numPr>
              <w:kinsoku/>
              <w:wordWrap/>
              <w:overflowPunct/>
              <w:topLinePunct w:val="0"/>
              <w:autoSpaceDE/>
              <w:autoSpaceDN/>
              <w:bidi w:val="0"/>
              <w:adjustRightInd/>
              <w:snapToGrid/>
              <w:spacing w:after="0" w:line="520" w:lineRule="exact"/>
              <w:jc w:val="center"/>
              <w:textAlignment w:val="auto"/>
              <w:rPr>
                <w:rFonts w:hint="default" w:ascii="Times New Roman" w:hAnsi="Times New Roman" w:eastAsia="黑体" w:cs="Times New Roman"/>
                <w:color w:val="auto"/>
                <w:sz w:val="24"/>
                <w:lang w:eastAsia="zh-CN"/>
              </w:rPr>
            </w:pPr>
            <w:r>
              <w:rPr>
                <w:rFonts w:hint="default" w:ascii="Times New Roman" w:hAnsi="Times New Roman" w:eastAsia="黑体" w:cs="Times New Roman"/>
                <w:color w:val="auto"/>
                <w:sz w:val="24"/>
                <w:lang w:eastAsia="zh-CN"/>
              </w:rPr>
              <w:t>表</w:t>
            </w:r>
            <w:r>
              <w:rPr>
                <w:rFonts w:hint="eastAsia" w:eastAsia="黑体" w:cs="Times New Roman"/>
                <w:color w:val="auto"/>
                <w:sz w:val="24"/>
                <w:lang w:val="en-US" w:eastAsia="zh-CN"/>
              </w:rPr>
              <w:t xml:space="preserve">22        </w:t>
            </w:r>
            <w:r>
              <w:rPr>
                <w:rFonts w:hint="eastAsia" w:ascii="Times New Roman" w:hAnsi="Times New Roman" w:eastAsia="黑体" w:cs="Times New Roman"/>
                <w:color w:val="auto"/>
                <w:sz w:val="24"/>
                <w:highlight w:val="none"/>
                <w:lang w:val="en-US" w:eastAsia="zh-CN"/>
              </w:rPr>
              <w:t>氨</w:t>
            </w:r>
            <w:r>
              <w:rPr>
                <w:rFonts w:hint="eastAsia" w:ascii="Times New Roman" w:hAnsi="Times New Roman" w:eastAsia="黑体" w:cs="Times New Roman"/>
                <w:color w:val="auto"/>
                <w:sz w:val="24"/>
                <w:lang w:val="en-US" w:eastAsia="zh-CN"/>
              </w:rPr>
              <w:t>检测结果统计</w:t>
            </w:r>
            <w:r>
              <w:rPr>
                <w:rFonts w:hint="default" w:ascii="Times New Roman" w:hAnsi="Times New Roman" w:eastAsia="黑体" w:cs="Times New Roman"/>
                <w:color w:val="auto"/>
                <w:sz w:val="24"/>
                <w:lang w:eastAsia="zh-CN"/>
              </w:rPr>
              <w:t>表  单位：mg/m</w:t>
            </w:r>
            <w:r>
              <w:rPr>
                <w:rFonts w:hint="default" w:ascii="Times New Roman" w:hAnsi="Times New Roman" w:eastAsia="黑体" w:cs="Times New Roman"/>
                <w:color w:val="auto"/>
                <w:sz w:val="24"/>
                <w:vertAlign w:val="superscript"/>
                <w:lang w:eastAsia="zh-CN"/>
              </w:rPr>
              <w:t>3</w:t>
            </w:r>
          </w:p>
          <w:tbl>
            <w:tblPr>
              <w:tblStyle w:val="28"/>
              <w:tblW w:w="853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2"/>
              <w:gridCol w:w="2707"/>
              <w:gridCol w:w="2148"/>
              <w:gridCol w:w="1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113" w:type="pct"/>
                  <w:vMerge w:val="restart"/>
                  <w:tcBorders>
                    <w:top w:val="single" w:color="auto" w:sz="4" w:space="0"/>
                  </w:tcBorders>
                  <w:noWrap w:val="0"/>
                  <w:vAlign w:val="center"/>
                </w:tcPr>
                <w:p>
                  <w:pPr>
                    <w:pStyle w:val="43"/>
                    <w:spacing w:line="240" w:lineRule="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采样时间（年月日时分）</w:t>
                  </w:r>
                </w:p>
              </w:tc>
              <w:tc>
                <w:tcPr>
                  <w:tcW w:w="1585" w:type="pct"/>
                  <w:vMerge w:val="restart"/>
                  <w:tcBorders>
                    <w:top w:val="single" w:color="auto" w:sz="4" w:space="0"/>
                  </w:tcBorders>
                  <w:noWrap w:val="0"/>
                  <w:vAlign w:val="center"/>
                </w:tcPr>
                <w:p>
                  <w:pPr>
                    <w:pStyle w:val="43"/>
                    <w:spacing w:line="240" w:lineRule="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检测点位</w:t>
                  </w:r>
                </w:p>
              </w:tc>
              <w:tc>
                <w:tcPr>
                  <w:tcW w:w="2300" w:type="pct"/>
                  <w:gridSpan w:val="2"/>
                  <w:tcBorders>
                    <w:top w:val="single" w:color="auto" w:sz="4" w:space="0"/>
                  </w:tcBorders>
                  <w:noWrap w:val="0"/>
                  <w:vAlign w:val="center"/>
                </w:tcPr>
                <w:p>
                  <w:pPr>
                    <w:pStyle w:val="43"/>
                    <w:spacing w:line="240" w:lineRule="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氨检测结果（mg/m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113" w:type="pct"/>
                  <w:vMerge w:val="continue"/>
                  <w:noWrap w:val="0"/>
                  <w:vAlign w:val="center"/>
                </w:tcPr>
                <w:p>
                  <w:pPr>
                    <w:pStyle w:val="43"/>
                    <w:spacing w:line="240" w:lineRule="auto"/>
                    <w:rPr>
                      <w:color w:val="auto"/>
                    </w:rPr>
                  </w:pPr>
                </w:p>
              </w:tc>
              <w:tc>
                <w:tcPr>
                  <w:tcW w:w="1585" w:type="pct"/>
                  <w:vMerge w:val="continue"/>
                  <w:noWrap w:val="0"/>
                  <w:vAlign w:val="center"/>
                </w:tcPr>
                <w:p>
                  <w:pPr>
                    <w:pStyle w:val="43"/>
                    <w:spacing w:line="240" w:lineRule="auto"/>
                    <w:rPr>
                      <w:color w:val="auto"/>
                    </w:rPr>
                  </w:pPr>
                </w:p>
              </w:tc>
              <w:tc>
                <w:tcPr>
                  <w:tcW w:w="1257" w:type="pct"/>
                  <w:tcBorders>
                    <w:top w:val="single" w:color="auto" w:sz="4" w:space="0"/>
                  </w:tcBorders>
                  <w:noWrap w:val="0"/>
                  <w:vAlign w:val="center"/>
                </w:tcPr>
                <w:p>
                  <w:pPr>
                    <w:pStyle w:val="43"/>
                    <w:spacing w:line="240" w:lineRule="auto"/>
                    <w:rPr>
                      <w:rFonts w:hint="default" w:eastAsia="宋体"/>
                      <w:color w:val="auto"/>
                      <w:lang w:val="en-US" w:eastAsia="zh-CN"/>
                    </w:rPr>
                  </w:pPr>
                  <w:r>
                    <w:rPr>
                      <w:rFonts w:hint="eastAsia"/>
                      <w:color w:val="auto"/>
                      <w:lang w:val="en-US" w:eastAsia="zh-CN"/>
                    </w:rPr>
                    <w:t>测定值</w:t>
                  </w:r>
                </w:p>
              </w:tc>
              <w:tc>
                <w:tcPr>
                  <w:tcW w:w="1042" w:type="pct"/>
                  <w:tcBorders>
                    <w:top w:val="single" w:color="auto" w:sz="4" w:space="0"/>
                  </w:tcBorders>
                  <w:noWrap w:val="0"/>
                  <w:vAlign w:val="center"/>
                </w:tcPr>
                <w:p>
                  <w:pPr>
                    <w:pStyle w:val="43"/>
                    <w:spacing w:line="240" w:lineRule="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最大值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restart"/>
                  <w:noWrap w:val="0"/>
                  <w:vAlign w:val="center"/>
                </w:tcPr>
                <w:p>
                  <w:pPr>
                    <w:pStyle w:val="43"/>
                    <w:jc w:val="center"/>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2023.09.26</w:t>
                  </w:r>
                </w:p>
                <w:p>
                  <w:pPr>
                    <w:jc w:val="center"/>
                    <w:rPr>
                      <w:rFonts w:hint="default"/>
                      <w:color w:val="auto"/>
                      <w:lang w:val="en-US" w:eastAsia="zh-CN"/>
                    </w:rPr>
                  </w:pPr>
                  <w:r>
                    <w:rPr>
                      <w:rFonts w:hint="eastAsia" w:ascii="Times New Roman" w:hAnsi="Times New Roman" w:eastAsia="宋体" w:cs="Times New Roman"/>
                      <w:b w:val="0"/>
                      <w:bCs/>
                      <w:color w:val="auto"/>
                      <w:lang w:val="en-US" w:eastAsia="zh-CN"/>
                    </w:rPr>
                    <w:t>11:30-12.30</w:t>
                  </w:r>
                </w:p>
              </w:tc>
              <w:tc>
                <w:tcPr>
                  <w:tcW w:w="1585" w:type="pct"/>
                  <w:noWrap w:val="0"/>
                  <w:vAlign w:val="center"/>
                </w:tcPr>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厂界外1#（上风向）</w:t>
                  </w:r>
                </w:p>
              </w:tc>
              <w:tc>
                <w:tcPr>
                  <w:tcW w:w="1257" w:type="pct"/>
                  <w:noWrap w:val="0"/>
                  <w:vAlign w:val="center"/>
                </w:tcPr>
                <w:p>
                  <w:pPr>
                    <w:pStyle w:val="43"/>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0.037</w:t>
                  </w:r>
                </w:p>
              </w:tc>
              <w:tc>
                <w:tcPr>
                  <w:tcW w:w="1042" w:type="pct"/>
                  <w:vMerge w:val="restart"/>
                  <w:noWrap w:val="0"/>
                  <w:vAlign w:val="center"/>
                </w:tcPr>
                <w:p>
                  <w:pPr>
                    <w:pStyle w:val="43"/>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jc w:val="center"/>
                    <w:rPr>
                      <w:color w:val="auto"/>
                    </w:rPr>
                  </w:pPr>
                </w:p>
              </w:tc>
              <w:tc>
                <w:tcPr>
                  <w:tcW w:w="1585" w:type="pct"/>
                  <w:noWrap w:val="0"/>
                  <w:vAlign w:val="center"/>
                </w:tcPr>
                <w:p>
                  <w:pPr>
                    <w:pStyle w:val="43"/>
                    <w:jc w:val="center"/>
                    <w:rPr>
                      <w:color w:val="auto"/>
                    </w:rPr>
                  </w:pPr>
                  <w:r>
                    <w:rPr>
                      <w:rFonts w:hint="eastAsia" w:ascii="Times New Roman" w:hAnsi="Times New Roman" w:eastAsia="宋体" w:cs="Times New Roman"/>
                      <w:b w:val="0"/>
                      <w:bCs/>
                      <w:color w:val="auto"/>
                      <w:lang w:val="en-US" w:eastAsia="zh-CN"/>
                    </w:rPr>
                    <w:t>厂界外2#（下风向）</w:t>
                  </w:r>
                </w:p>
              </w:tc>
              <w:tc>
                <w:tcPr>
                  <w:tcW w:w="1257" w:type="pct"/>
                  <w:noWrap w:val="0"/>
                  <w:vAlign w:val="center"/>
                </w:tcPr>
                <w:p>
                  <w:pPr>
                    <w:pStyle w:val="43"/>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0.051</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jc w:val="center"/>
                    <w:rPr>
                      <w:rFonts w:hint="default" w:ascii="Times New Roman" w:hAnsi="Times New Roman" w:eastAsia="宋体" w:cs="Times New Roman"/>
                      <w:b w:val="0"/>
                      <w:bCs/>
                      <w:color w:val="auto"/>
                      <w:lang w:val="en-US" w:eastAsia="zh-CN"/>
                    </w:rPr>
                  </w:pPr>
                </w:p>
              </w:tc>
              <w:tc>
                <w:tcPr>
                  <w:tcW w:w="1585" w:type="pct"/>
                  <w:noWrap w:val="0"/>
                  <w:vAlign w:val="center"/>
                </w:tcPr>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厂界外3#（下风向）</w:t>
                  </w:r>
                </w:p>
              </w:tc>
              <w:tc>
                <w:tcPr>
                  <w:tcW w:w="1257" w:type="pct"/>
                  <w:noWrap w:val="0"/>
                  <w:vAlign w:val="center"/>
                </w:tcPr>
                <w:p>
                  <w:pPr>
                    <w:pStyle w:val="43"/>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0.044</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jc w:val="center"/>
                    <w:rPr>
                      <w:rFonts w:hint="default" w:ascii="Times New Roman" w:hAnsi="Times New Roman" w:eastAsia="宋体" w:cs="Times New Roman"/>
                      <w:b w:val="0"/>
                      <w:bCs/>
                      <w:color w:val="auto"/>
                      <w:lang w:val="en-US" w:eastAsia="zh-CN"/>
                    </w:rPr>
                  </w:pPr>
                </w:p>
              </w:tc>
              <w:tc>
                <w:tcPr>
                  <w:tcW w:w="1585" w:type="pct"/>
                  <w:noWrap w:val="0"/>
                  <w:vAlign w:val="center"/>
                </w:tcPr>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厂界外4#（下风向）</w:t>
                  </w:r>
                </w:p>
              </w:tc>
              <w:tc>
                <w:tcPr>
                  <w:tcW w:w="1257" w:type="pct"/>
                  <w:noWrap w:val="0"/>
                  <w:vAlign w:val="center"/>
                </w:tcPr>
                <w:p>
                  <w:pPr>
                    <w:pStyle w:val="43"/>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0.068</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restart"/>
                  <w:noWrap w:val="0"/>
                  <w:vAlign w:val="center"/>
                </w:tcPr>
                <w:p>
                  <w:pPr>
                    <w:pStyle w:val="43"/>
                    <w:jc w:val="center"/>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2023.09.26</w:t>
                  </w:r>
                </w:p>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12:37-13.37</w:t>
                  </w:r>
                </w:p>
              </w:tc>
              <w:tc>
                <w:tcPr>
                  <w:tcW w:w="1585" w:type="pct"/>
                  <w:noWrap w:val="0"/>
                  <w:vAlign w:val="center"/>
                </w:tcPr>
                <w:p>
                  <w:pPr>
                    <w:jc w:val="center"/>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厂界外1#（上风向）</w:t>
                  </w:r>
                </w:p>
              </w:tc>
              <w:tc>
                <w:tcPr>
                  <w:tcW w:w="1257" w:type="pct"/>
                  <w:noWrap w:val="0"/>
                  <w:vAlign w:val="center"/>
                </w:tcPr>
                <w:p>
                  <w:pPr>
                    <w:pStyle w:val="43"/>
                    <w:ind w:right="113" w:rightChars="0"/>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0.037</w:t>
                  </w:r>
                </w:p>
              </w:tc>
              <w:tc>
                <w:tcPr>
                  <w:tcW w:w="1042" w:type="pct"/>
                  <w:vMerge w:val="restart"/>
                  <w:noWrap w:val="0"/>
                  <w:vAlign w:val="center"/>
                </w:tcPr>
                <w:p>
                  <w:pPr>
                    <w:pStyle w:val="43"/>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ind w:right="113" w:rightChars="0"/>
                    <w:jc w:val="center"/>
                    <w:rPr>
                      <w:rFonts w:hint="default" w:ascii="Times New Roman" w:hAnsi="Times New Roman" w:eastAsia="宋体" w:cs="Times New Roman"/>
                      <w:b w:val="0"/>
                      <w:bCs/>
                      <w:color w:val="auto"/>
                      <w:lang w:val="en-US" w:eastAsia="zh-CN"/>
                    </w:rPr>
                  </w:pPr>
                </w:p>
              </w:tc>
              <w:tc>
                <w:tcPr>
                  <w:tcW w:w="1585" w:type="pct"/>
                  <w:noWrap w:val="0"/>
                  <w:vAlign w:val="center"/>
                </w:tcPr>
                <w:p>
                  <w:pPr>
                    <w:pStyle w:val="43"/>
                    <w:ind w:right="113" w:rightChars="0"/>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厂界外2#（下风向）</w:t>
                  </w:r>
                </w:p>
              </w:tc>
              <w:tc>
                <w:tcPr>
                  <w:tcW w:w="1257" w:type="pct"/>
                  <w:noWrap w:val="0"/>
                  <w:vAlign w:val="center"/>
                </w:tcPr>
                <w:p>
                  <w:pPr>
                    <w:pStyle w:val="43"/>
                    <w:ind w:right="113" w:rightChars="0"/>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0.047</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ind w:right="113" w:rightChars="0"/>
                    <w:jc w:val="center"/>
                    <w:rPr>
                      <w:rFonts w:hint="default" w:ascii="Times New Roman" w:hAnsi="Times New Roman" w:eastAsia="宋体" w:cs="Times New Roman"/>
                      <w:b w:val="0"/>
                      <w:bCs/>
                      <w:color w:val="auto"/>
                      <w:lang w:val="en-US" w:eastAsia="zh-CN"/>
                    </w:rPr>
                  </w:pPr>
                </w:p>
              </w:tc>
              <w:tc>
                <w:tcPr>
                  <w:tcW w:w="1585" w:type="pct"/>
                  <w:noWrap w:val="0"/>
                  <w:vAlign w:val="center"/>
                </w:tcPr>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厂界外3#（下风向）</w:t>
                  </w:r>
                </w:p>
              </w:tc>
              <w:tc>
                <w:tcPr>
                  <w:tcW w:w="1257" w:type="pct"/>
                  <w:noWrap w:val="0"/>
                  <w:vAlign w:val="center"/>
                </w:tcPr>
                <w:p>
                  <w:pPr>
                    <w:pStyle w:val="43"/>
                    <w:ind w:right="113" w:rightChars="0"/>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0.046</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ind w:right="113" w:rightChars="0"/>
                    <w:jc w:val="center"/>
                    <w:rPr>
                      <w:rFonts w:hint="default" w:ascii="Times New Roman" w:hAnsi="Times New Roman" w:eastAsia="宋体" w:cs="Times New Roman"/>
                      <w:b w:val="0"/>
                      <w:bCs/>
                      <w:color w:val="auto"/>
                      <w:lang w:val="en-US" w:eastAsia="zh-CN"/>
                    </w:rPr>
                  </w:pPr>
                </w:p>
              </w:tc>
              <w:tc>
                <w:tcPr>
                  <w:tcW w:w="1585" w:type="pct"/>
                  <w:noWrap w:val="0"/>
                  <w:vAlign w:val="center"/>
                </w:tcPr>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厂界外4#（下风向）</w:t>
                  </w:r>
                </w:p>
              </w:tc>
              <w:tc>
                <w:tcPr>
                  <w:tcW w:w="1257" w:type="pct"/>
                  <w:noWrap w:val="0"/>
                  <w:vAlign w:val="center"/>
                </w:tcPr>
                <w:p>
                  <w:pPr>
                    <w:pStyle w:val="43"/>
                    <w:ind w:right="113" w:rightChars="0"/>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0.066</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restart"/>
                  <w:noWrap w:val="0"/>
                  <w:vAlign w:val="center"/>
                </w:tcPr>
                <w:p>
                  <w:pPr>
                    <w:pStyle w:val="43"/>
                    <w:jc w:val="center"/>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2023.09.26</w:t>
                  </w:r>
                </w:p>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13:44-14.44</w:t>
                  </w:r>
                </w:p>
              </w:tc>
              <w:tc>
                <w:tcPr>
                  <w:tcW w:w="1585" w:type="pct"/>
                  <w:noWrap w:val="0"/>
                  <w:vAlign w:val="center"/>
                </w:tcPr>
                <w:p>
                  <w:pPr>
                    <w:jc w:val="center"/>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厂界外1#（上风向）</w:t>
                  </w:r>
                </w:p>
              </w:tc>
              <w:tc>
                <w:tcPr>
                  <w:tcW w:w="1257" w:type="pct"/>
                  <w:noWrap w:val="0"/>
                  <w:vAlign w:val="center"/>
                </w:tcPr>
                <w:p>
                  <w:pPr>
                    <w:pStyle w:val="43"/>
                    <w:ind w:right="113" w:rightChars="0"/>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0.039</w:t>
                  </w:r>
                </w:p>
              </w:tc>
              <w:tc>
                <w:tcPr>
                  <w:tcW w:w="1042" w:type="pct"/>
                  <w:vMerge w:val="restart"/>
                  <w:noWrap w:val="0"/>
                  <w:vAlign w:val="center"/>
                </w:tcPr>
                <w:p>
                  <w:pPr>
                    <w:pStyle w:val="43"/>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ind w:right="113" w:rightChars="0"/>
                    <w:rPr>
                      <w:rFonts w:hint="default" w:ascii="Times New Roman" w:hAnsi="Times New Roman" w:eastAsia="宋体" w:cs="Times New Roman"/>
                      <w:b w:val="0"/>
                      <w:bCs/>
                      <w:color w:val="auto"/>
                      <w:lang w:val="en-US" w:eastAsia="zh-CN"/>
                    </w:rPr>
                  </w:pPr>
                </w:p>
              </w:tc>
              <w:tc>
                <w:tcPr>
                  <w:tcW w:w="1585" w:type="pct"/>
                  <w:noWrap w:val="0"/>
                  <w:vAlign w:val="center"/>
                </w:tcPr>
                <w:p>
                  <w:pPr>
                    <w:pStyle w:val="43"/>
                    <w:ind w:right="113" w:rightChars="0"/>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厂界外2#（下风向）</w:t>
                  </w:r>
                </w:p>
              </w:tc>
              <w:tc>
                <w:tcPr>
                  <w:tcW w:w="1257" w:type="pct"/>
                  <w:noWrap w:val="0"/>
                  <w:vAlign w:val="center"/>
                </w:tcPr>
                <w:p>
                  <w:pPr>
                    <w:pStyle w:val="43"/>
                    <w:ind w:right="113" w:rightChars="0"/>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0.050</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113" w:type="pct"/>
                  <w:vMerge w:val="continue"/>
                  <w:noWrap w:val="0"/>
                  <w:vAlign w:val="center"/>
                </w:tcPr>
                <w:p>
                  <w:pPr>
                    <w:pStyle w:val="43"/>
                    <w:ind w:right="113" w:rightChars="0"/>
                    <w:rPr>
                      <w:rFonts w:hint="default" w:ascii="Times New Roman" w:hAnsi="Times New Roman" w:eastAsia="宋体" w:cs="Times New Roman"/>
                      <w:b w:val="0"/>
                      <w:bCs/>
                      <w:color w:val="auto"/>
                      <w:lang w:val="en-US" w:eastAsia="zh-CN"/>
                    </w:rPr>
                  </w:pPr>
                </w:p>
              </w:tc>
              <w:tc>
                <w:tcPr>
                  <w:tcW w:w="1585" w:type="pct"/>
                  <w:noWrap w:val="0"/>
                  <w:vAlign w:val="center"/>
                </w:tcPr>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厂界外3#（下风向）</w:t>
                  </w:r>
                </w:p>
              </w:tc>
              <w:tc>
                <w:tcPr>
                  <w:tcW w:w="1257" w:type="pct"/>
                  <w:noWrap w:val="0"/>
                  <w:vAlign w:val="center"/>
                </w:tcPr>
                <w:p>
                  <w:pPr>
                    <w:pStyle w:val="43"/>
                    <w:ind w:right="113" w:rightChars="0"/>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0.041</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1113" w:type="pct"/>
                  <w:vMerge w:val="continue"/>
                  <w:noWrap w:val="0"/>
                  <w:vAlign w:val="center"/>
                </w:tcPr>
                <w:p>
                  <w:pPr>
                    <w:pStyle w:val="43"/>
                    <w:ind w:right="113" w:rightChars="0"/>
                    <w:rPr>
                      <w:rFonts w:hint="default" w:ascii="Times New Roman" w:hAnsi="Times New Roman" w:eastAsia="宋体" w:cs="Times New Roman"/>
                      <w:b w:val="0"/>
                      <w:bCs/>
                      <w:color w:val="auto"/>
                      <w:lang w:val="en-US" w:eastAsia="zh-CN"/>
                    </w:rPr>
                  </w:pPr>
                </w:p>
              </w:tc>
              <w:tc>
                <w:tcPr>
                  <w:tcW w:w="1585" w:type="pct"/>
                  <w:noWrap w:val="0"/>
                  <w:vAlign w:val="center"/>
                </w:tcPr>
                <w:p>
                  <w:pPr>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厂界外4#（下风向）</w:t>
                  </w:r>
                </w:p>
              </w:tc>
              <w:tc>
                <w:tcPr>
                  <w:tcW w:w="1257" w:type="pct"/>
                  <w:noWrap w:val="0"/>
                  <w:vAlign w:val="center"/>
                </w:tcPr>
                <w:p>
                  <w:pPr>
                    <w:pStyle w:val="43"/>
                    <w:ind w:right="113" w:rightChars="0"/>
                    <w:rPr>
                      <w:rFonts w:hint="eastAsia"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0.064</w:t>
                  </w:r>
                </w:p>
              </w:tc>
              <w:tc>
                <w:tcPr>
                  <w:tcW w:w="1042" w:type="pct"/>
                  <w:vMerge w:val="continue"/>
                  <w:noWrap w:val="0"/>
                  <w:vAlign w:val="center"/>
                </w:tcPr>
                <w:p>
                  <w:pPr>
                    <w:pStyle w:val="43"/>
                    <w:rPr>
                      <w:rFonts w:hint="default" w:ascii="Times New Roman" w:hAnsi="Times New Roman" w:eastAsia="宋体" w:cs="Times New Roman"/>
                      <w:b w:val="0"/>
                      <w:bCs/>
                      <w:color w:val="auto"/>
                      <w:lang w:val="en-US" w:eastAsia="zh-CN"/>
                    </w:rPr>
                  </w:pP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b/>
                <w:bCs/>
                <w:color w:val="auto"/>
                <w:sz w:val="24"/>
                <w:szCs w:val="20"/>
                <w:highlight w:val="yellow"/>
                <w:lang w:val="en-US" w:eastAsia="zh-CN"/>
              </w:rPr>
            </w:pPr>
            <w:r>
              <w:rPr>
                <w:rFonts w:hint="default" w:ascii="Times New Roman" w:hAnsi="Times New Roman" w:cs="Times New Roman"/>
                <w:color w:val="auto"/>
                <w:sz w:val="24"/>
                <w:highlight w:val="none"/>
                <w:lang w:eastAsia="zh-CN"/>
              </w:rPr>
              <w:t>由上表的数据可知，</w:t>
            </w:r>
            <w:r>
              <w:rPr>
                <w:rFonts w:hint="eastAsia" w:ascii="Times New Roman" w:hAnsi="Times New Roman" w:cs="Times New Roman"/>
                <w:color w:val="auto"/>
                <w:sz w:val="24"/>
                <w:highlight w:val="none"/>
                <w:lang w:eastAsia="zh-CN"/>
              </w:rPr>
              <w:t>项目所在区域的</w:t>
            </w:r>
            <w:r>
              <w:rPr>
                <w:rFonts w:hint="eastAsia" w:ascii="Times New Roman" w:hAnsi="Times New Roman" w:cs="Times New Roman"/>
                <w:color w:val="auto"/>
                <w:sz w:val="24"/>
                <w:highlight w:val="none"/>
                <w:lang w:val="en-US" w:eastAsia="zh-CN"/>
              </w:rPr>
              <w:t>氨</w:t>
            </w:r>
            <w:r>
              <w:rPr>
                <w:rFonts w:hint="default" w:ascii="Times New Roman" w:hAnsi="Times New Roman" w:cs="Times New Roman"/>
                <w:color w:val="auto"/>
                <w:sz w:val="24"/>
                <w:highlight w:val="none"/>
                <w:lang w:eastAsia="zh-CN"/>
              </w:rPr>
              <w:t>监测结果</w:t>
            </w:r>
            <w:r>
              <w:rPr>
                <w:rFonts w:hint="eastAsia" w:cs="Times New Roman"/>
                <w:bCs/>
                <w:color w:val="auto"/>
                <w:sz w:val="24"/>
                <w:szCs w:val="24"/>
                <w:highlight w:val="none"/>
                <w:u w:val="none"/>
                <w:lang w:val="en-US" w:eastAsia="zh-CN"/>
              </w:rPr>
              <w:t>满足《环境影响评价技术导则 大气环境》(HJ2.2-2018)中附录D的标准限值要求</w:t>
            </w:r>
            <w:r>
              <w:rPr>
                <w:rFonts w:hint="default" w:ascii="Times New Roman" w:hAnsi="Times New Roman" w:cs="Times New Roman"/>
                <w:color w:val="auto"/>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ascii="Times New Roman" w:hAnsi="Times New Roman" w:cs="Times New Roman"/>
                <w:b/>
                <w:bCs/>
                <w:color w:val="auto"/>
                <w:sz w:val="24"/>
                <w:szCs w:val="20"/>
              </w:rPr>
            </w:pPr>
            <w:r>
              <w:rPr>
                <w:rFonts w:hint="eastAsia" w:ascii="Times New Roman" w:hAnsi="Times New Roman" w:cs="Times New Roman"/>
                <w:b/>
                <w:bCs/>
                <w:color w:val="auto"/>
                <w:sz w:val="24"/>
                <w:szCs w:val="20"/>
                <w:lang w:val="en-US" w:eastAsia="zh-CN"/>
              </w:rPr>
              <w:t>2</w:t>
            </w:r>
            <w:r>
              <w:rPr>
                <w:rFonts w:ascii="Times New Roman" w:hAnsi="Times New Roman" w:cs="Times New Roman"/>
                <w:b/>
                <w:bCs/>
                <w:color w:val="auto"/>
                <w:sz w:val="24"/>
                <w:szCs w:val="20"/>
              </w:rPr>
              <w:t>地表水质量现状</w:t>
            </w:r>
          </w:p>
          <w:p>
            <w:pPr>
              <w:widowControl/>
              <w:spacing w:line="480" w:lineRule="exact"/>
              <w:ind w:firstLine="480" w:firstLineChars="200"/>
              <w:jc w:val="left"/>
              <w:rPr>
                <w:rFonts w:ascii="Times New Roman" w:hAnsi="Times New Roman" w:cs="Times New Roman"/>
                <w:color w:val="auto"/>
                <w:sz w:val="24"/>
              </w:rPr>
            </w:pPr>
            <w:r>
              <w:rPr>
                <w:rFonts w:ascii="Times New Roman" w:hAnsi="Times New Roman" w:cs="Times New Roman"/>
                <w:color w:val="auto"/>
                <w:sz w:val="24"/>
              </w:rPr>
              <w:t>结合本项目所处的地理位置，离本项目最近的地表水体为</w:t>
            </w:r>
            <w:r>
              <w:rPr>
                <w:rFonts w:hint="eastAsia" w:ascii="Times New Roman" w:hAnsi="Times New Roman" w:cs="Times New Roman"/>
                <w:color w:val="auto"/>
                <w:sz w:val="24"/>
                <w:lang w:val="en-US" w:eastAsia="zh-CN"/>
              </w:rPr>
              <w:t>澎河</w:t>
            </w:r>
            <w:r>
              <w:rPr>
                <w:rFonts w:hint="eastAsia" w:cs="Times New Roman"/>
                <w:color w:val="auto"/>
                <w:sz w:val="24"/>
                <w:lang w:val="en-US" w:eastAsia="zh-CN"/>
              </w:rPr>
              <w:t>水库</w:t>
            </w:r>
            <w:r>
              <w:rPr>
                <w:rFonts w:ascii="Times New Roman" w:hAnsi="Times New Roman" w:cs="Times New Roman"/>
                <w:color w:val="auto"/>
                <w:sz w:val="24"/>
              </w:rPr>
              <w:t>（位于项目</w:t>
            </w:r>
            <w:r>
              <w:rPr>
                <w:rFonts w:hint="eastAsia" w:cs="Times New Roman"/>
                <w:color w:val="auto"/>
                <w:sz w:val="24"/>
                <w:lang w:val="en-US" w:eastAsia="zh-CN"/>
              </w:rPr>
              <w:t>西</w:t>
            </w:r>
            <w:r>
              <w:rPr>
                <w:rFonts w:ascii="Times New Roman" w:hAnsi="Times New Roman" w:cs="Times New Roman"/>
                <w:color w:val="auto"/>
                <w:sz w:val="24"/>
              </w:rPr>
              <w:t>侧约</w:t>
            </w:r>
            <w:r>
              <w:rPr>
                <w:rFonts w:hint="eastAsia" w:cs="Times New Roman"/>
                <w:color w:val="auto"/>
                <w:sz w:val="24"/>
                <w:lang w:val="en-US" w:eastAsia="zh-CN"/>
              </w:rPr>
              <w:t>1400</w:t>
            </w:r>
            <w:r>
              <w:rPr>
                <w:rFonts w:ascii="Times New Roman" w:hAnsi="Times New Roman" w:cs="Times New Roman"/>
                <w:color w:val="auto"/>
                <w:sz w:val="24"/>
              </w:rPr>
              <w:t>m）</w:t>
            </w:r>
            <w:r>
              <w:rPr>
                <w:rFonts w:hint="eastAsia" w:cs="Times New Roman"/>
                <w:color w:val="auto"/>
                <w:sz w:val="24"/>
                <w:lang w:val="en-US" w:eastAsia="zh-CN"/>
              </w:rPr>
              <w:t>和冷水河</w:t>
            </w:r>
            <w:r>
              <w:rPr>
                <w:rFonts w:ascii="Times New Roman" w:hAnsi="Times New Roman" w:cs="Times New Roman"/>
                <w:color w:val="auto"/>
                <w:sz w:val="24"/>
              </w:rPr>
              <w:t>（位于项目</w:t>
            </w:r>
            <w:r>
              <w:rPr>
                <w:rFonts w:hint="eastAsia" w:cs="Times New Roman"/>
                <w:color w:val="auto"/>
                <w:sz w:val="24"/>
                <w:lang w:val="en-US" w:eastAsia="zh-CN"/>
              </w:rPr>
              <w:t>东</w:t>
            </w:r>
            <w:r>
              <w:rPr>
                <w:rFonts w:ascii="Times New Roman" w:hAnsi="Times New Roman" w:cs="Times New Roman"/>
                <w:color w:val="auto"/>
                <w:sz w:val="24"/>
              </w:rPr>
              <w:t>侧约</w:t>
            </w:r>
            <w:r>
              <w:rPr>
                <w:rFonts w:hint="eastAsia" w:cs="Times New Roman"/>
                <w:color w:val="auto"/>
                <w:sz w:val="24"/>
                <w:lang w:val="en-US" w:eastAsia="zh-CN"/>
              </w:rPr>
              <w:t>750</w:t>
            </w:r>
            <w:r>
              <w:rPr>
                <w:rFonts w:ascii="Times New Roman" w:hAnsi="Times New Roman" w:cs="Times New Roman"/>
                <w:color w:val="auto"/>
                <w:sz w:val="24"/>
              </w:rPr>
              <w:t>m）。根据地表水质量功能区划分，项目所在地的水环境执行《地表水环境质量标准》（GB3838-2002）Ⅲ类标准。</w:t>
            </w:r>
            <w:r>
              <w:rPr>
                <w:rFonts w:hint="eastAsia" w:ascii="Times New Roman" w:hAnsi="Times New Roman" w:eastAsia="宋体"/>
                <w:color w:val="auto"/>
                <w:sz w:val="24"/>
                <w:szCs w:val="24"/>
              </w:rPr>
              <w:t>本次评价引用平顶山市</w:t>
            </w:r>
            <w:r>
              <w:rPr>
                <w:rFonts w:hint="eastAsia" w:ascii="Times New Roman" w:hAnsi="Times New Roman" w:eastAsia="宋体"/>
                <w:color w:val="auto"/>
                <w:sz w:val="24"/>
                <w:szCs w:val="24"/>
                <w:lang w:val="en-US" w:eastAsia="zh-CN"/>
              </w:rPr>
              <w:t>2022</w:t>
            </w:r>
            <w:r>
              <w:rPr>
                <w:rFonts w:hint="eastAsia" w:ascii="Times New Roman" w:hAnsi="Times New Roman" w:eastAsia="宋体"/>
                <w:color w:val="auto"/>
                <w:sz w:val="24"/>
                <w:szCs w:val="24"/>
              </w:rPr>
              <w:t>环境</w:t>
            </w:r>
            <w:r>
              <w:rPr>
                <w:rFonts w:hint="eastAsia" w:ascii="Times New Roman" w:hAnsi="Times New Roman" w:eastAsia="宋体"/>
                <w:color w:val="auto"/>
                <w:sz w:val="24"/>
                <w:szCs w:val="24"/>
                <w:lang w:val="en-US" w:eastAsia="zh-CN"/>
              </w:rPr>
              <w:t>年鉴中</w:t>
            </w:r>
            <w:r>
              <w:rPr>
                <w:rFonts w:hint="eastAsia" w:ascii="Times New Roman" w:hAnsi="Times New Roman" w:eastAsia="宋体"/>
                <w:color w:val="auto"/>
                <w:sz w:val="24"/>
                <w:szCs w:val="24"/>
                <w:lang w:eastAsia="zh-CN"/>
              </w:rPr>
              <w:t>城市河流水质监测</w:t>
            </w:r>
            <w:r>
              <w:rPr>
                <w:rFonts w:hint="eastAsia" w:ascii="Times New Roman" w:hAnsi="Times New Roman" w:eastAsia="宋体"/>
                <w:color w:val="auto"/>
                <w:sz w:val="24"/>
                <w:szCs w:val="24"/>
                <w:lang w:val="en-US" w:eastAsia="zh-CN"/>
              </w:rPr>
              <w:t>澎河新孔庄桥</w:t>
            </w:r>
            <w:r>
              <w:rPr>
                <w:rFonts w:hint="eastAsia" w:ascii="Times New Roman" w:hAnsi="Times New Roman" w:eastAsia="宋体"/>
                <w:color w:val="auto"/>
                <w:sz w:val="24"/>
                <w:szCs w:val="24"/>
              </w:rPr>
              <w:t>断面</w:t>
            </w:r>
            <w:r>
              <w:rPr>
                <w:rFonts w:hint="eastAsia"/>
                <w:color w:val="auto"/>
                <w:sz w:val="24"/>
                <w:szCs w:val="24"/>
                <w:lang w:val="en-US" w:eastAsia="zh-CN"/>
              </w:rPr>
              <w:t>和</w:t>
            </w:r>
            <w:r>
              <w:rPr>
                <w:rFonts w:hint="eastAsia" w:ascii="Times New Roman" w:hAnsi="Times New Roman" w:eastAsia="宋体"/>
                <w:color w:val="auto"/>
                <w:sz w:val="24"/>
                <w:szCs w:val="24"/>
                <w:lang w:val="en-US" w:eastAsia="zh-CN"/>
              </w:rPr>
              <w:t>冷水河田庄桥</w:t>
            </w:r>
            <w:r>
              <w:rPr>
                <w:rFonts w:hint="eastAsia" w:ascii="Times New Roman" w:hAnsi="Times New Roman" w:eastAsia="宋体"/>
                <w:color w:val="auto"/>
                <w:sz w:val="24"/>
                <w:szCs w:val="24"/>
              </w:rPr>
              <w:t>的监测数据</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lang w:val="en-US" w:eastAsia="zh-CN"/>
              </w:rPr>
              <w:t>监测结果见下表：</w:t>
            </w:r>
          </w:p>
          <w:p>
            <w:pPr>
              <w:spacing w:line="500" w:lineRule="exact"/>
              <w:jc w:val="center"/>
              <w:rPr>
                <w:rFonts w:hint="eastAsia" w:ascii="Times New Roman" w:hAnsi="Times New Roman" w:eastAsia="黑体" w:cs="Times New Roman"/>
                <w:color w:val="auto"/>
                <w:sz w:val="24"/>
                <w:lang w:val="zh-CN" w:eastAsia="zh-CN"/>
              </w:rPr>
            </w:pPr>
            <w:r>
              <w:rPr>
                <w:rFonts w:hint="eastAsia" w:ascii="Times New Roman" w:hAnsi="Times New Roman" w:eastAsia="黑体" w:cs="Times New Roman"/>
                <w:color w:val="auto"/>
                <w:sz w:val="24"/>
                <w:lang w:val="zh-CN" w:eastAsia="zh-CN"/>
              </w:rPr>
              <w:t>表</w:t>
            </w:r>
            <w:r>
              <w:rPr>
                <w:rFonts w:hint="eastAsia" w:eastAsia="黑体" w:cs="Times New Roman"/>
                <w:color w:val="auto"/>
                <w:sz w:val="24"/>
                <w:lang w:val="en-US" w:eastAsia="zh-CN"/>
              </w:rPr>
              <w:t>23</w:t>
            </w:r>
            <w:r>
              <w:rPr>
                <w:rFonts w:hint="eastAsia" w:ascii="Times New Roman" w:hAnsi="Times New Roman" w:eastAsia="黑体" w:cs="Times New Roman"/>
                <w:color w:val="auto"/>
                <w:sz w:val="24"/>
                <w:lang w:val="zh-CN" w:eastAsia="zh-CN"/>
              </w:rPr>
              <w:t xml:space="preserve">   </w:t>
            </w:r>
            <w:r>
              <w:rPr>
                <w:rFonts w:hint="eastAsia" w:ascii="Times New Roman" w:hAnsi="Times New Roman" w:eastAsia="黑体" w:cs="Times New Roman"/>
                <w:color w:val="auto"/>
                <w:sz w:val="24"/>
                <w:lang w:val="en-US" w:eastAsia="zh-CN"/>
              </w:rPr>
              <w:t xml:space="preserve">       </w:t>
            </w:r>
            <w:r>
              <w:rPr>
                <w:rFonts w:hint="eastAsia" w:ascii="Times New Roman" w:hAnsi="Times New Roman" w:eastAsia="黑体" w:cs="Times New Roman"/>
                <w:color w:val="auto"/>
                <w:sz w:val="24"/>
                <w:lang w:val="zh-CN" w:eastAsia="zh-CN"/>
              </w:rPr>
              <w:t xml:space="preserve">水环境质量现状监测结果 </w:t>
            </w:r>
            <w:r>
              <w:rPr>
                <w:rFonts w:hint="eastAsia" w:ascii="Times New Roman" w:hAnsi="Times New Roman" w:eastAsia="黑体" w:cs="Times New Roman"/>
                <w:color w:val="auto"/>
                <w:sz w:val="24"/>
                <w:lang w:val="en-US" w:eastAsia="zh-CN"/>
              </w:rPr>
              <w:t xml:space="preserve">     </w:t>
            </w:r>
            <w:r>
              <w:rPr>
                <w:rFonts w:hint="eastAsia" w:ascii="Times New Roman" w:hAnsi="Times New Roman" w:eastAsia="黑体" w:cs="Times New Roman"/>
                <w:color w:val="auto"/>
                <w:sz w:val="24"/>
                <w:lang w:val="zh-CN" w:eastAsia="zh-CN"/>
              </w:rPr>
              <w:t xml:space="preserve"> 单位：mg/L（除pH外）</w:t>
            </w:r>
          </w:p>
          <w:tbl>
            <w:tblPr>
              <w:tblStyle w:val="28"/>
              <w:tblW w:w="8615" w:type="dxa"/>
              <w:jc w:val="center"/>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Layout w:type="fixed"/>
              <w:tblCellMar>
                <w:top w:w="0" w:type="dxa"/>
                <w:left w:w="108" w:type="dxa"/>
                <w:bottom w:w="0" w:type="dxa"/>
                <w:right w:w="108" w:type="dxa"/>
              </w:tblCellMar>
            </w:tblPr>
            <w:tblGrid>
              <w:gridCol w:w="744"/>
              <w:gridCol w:w="1141"/>
              <w:gridCol w:w="1379"/>
              <w:gridCol w:w="1095"/>
              <w:gridCol w:w="900"/>
              <w:gridCol w:w="945"/>
              <w:gridCol w:w="1499"/>
              <w:gridCol w:w="912"/>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856" w:hRule="atLeast"/>
                <w:jc w:val="center"/>
              </w:trPr>
              <w:tc>
                <w:tcPr>
                  <w:tcW w:w="744" w:type="dxa"/>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断面名称</w:t>
                  </w: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采样时间</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pH值</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化学</w:t>
                  </w:r>
                </w:p>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需氧量</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总磷</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氨氮</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高锰酸盐指数</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总氮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744" w:type="dxa"/>
                  <w:vMerge w:val="restart"/>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澎河新孔庄桥</w:t>
                  </w: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1月13日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8.3</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14</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0.06</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0.600</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4.61</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54"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2月17日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7.5</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9</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0.05</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0.715</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2.3</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14.0</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39"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3月10日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7.8</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0.06</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0.369</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2.8</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12.2</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79"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4月12日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7.9</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0.08</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0.200</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3.2</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4.84</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9"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5月19日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8.3</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0.04</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0.268</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2.6</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1.21</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39"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6月16日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8.2</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0.06</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0.265</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3.0</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1.76</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73"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7月12日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7.1</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0.04</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0.766</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4.2</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1.37</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00"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8月12日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8.0</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0.04</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0.262</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4.1</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00"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9月8日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7.5</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0.05</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0.396</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4.2</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55"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10月8日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34"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11月8日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8.1</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0.04</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0.187</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3.0</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r>
                    <w:rPr>
                      <w:rFonts w:hint="eastAsia" w:ascii="Times New Roman" w:hAnsi="Times New Roman" w:eastAsia="宋体" w:cs="Times New Roman"/>
                      <w:b w:val="0"/>
                      <w:bCs w:val="0"/>
                      <w:color w:val="auto"/>
                      <w:sz w:val="21"/>
                      <w:szCs w:val="21"/>
                      <w:highlight w:val="none"/>
                      <w:u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59"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12月13日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7.5</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0.04</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0.187</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3.1</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最小值</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7.1</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9</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0.04</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0.187</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2.3</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1.21</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0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zh-CN" w:eastAsia="zh-CN"/>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最大值</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8.3</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14</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0.08</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0.766</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4.2</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14.0</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9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年均值</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7.7</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0.05</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0.383</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3.2</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5.71</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9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标准限值（</w:t>
                  </w:r>
                  <w:r>
                    <w:rPr>
                      <w:rFonts w:hint="eastAsia" w:ascii="Times New Roman" w:hAnsi="Times New Roman" w:eastAsia="宋体" w:cs="Times New Roman"/>
                      <w:color w:val="auto"/>
                      <w:kern w:val="0"/>
                      <w:sz w:val="21"/>
                      <w:szCs w:val="21"/>
                      <w:highlight w:val="none"/>
                      <w:lang w:val="en-US" w:eastAsia="zh-CN" w:bidi="ar"/>
                    </w:rPr>
                    <w:fldChar w:fldCharType="begin"/>
                  </w:r>
                  <w:r>
                    <w:rPr>
                      <w:rFonts w:hint="eastAsia" w:ascii="Times New Roman" w:hAnsi="Times New Roman" w:eastAsia="宋体" w:cs="Times New Roman"/>
                      <w:color w:val="auto"/>
                      <w:kern w:val="0"/>
                      <w:sz w:val="21"/>
                      <w:szCs w:val="21"/>
                      <w:highlight w:val="none"/>
                      <w:lang w:val="en-US" w:eastAsia="zh-CN" w:bidi="ar"/>
                    </w:rPr>
                    <w:instrText xml:space="preserve"> = 3 \* ROMAN \* MERGEFORMAT </w:instrText>
                  </w:r>
                  <w:r>
                    <w:rPr>
                      <w:rFonts w:hint="eastAsia" w:ascii="Times New Roman" w:hAnsi="Times New Roman" w:eastAsia="宋体" w:cs="Times New Roman"/>
                      <w:color w:val="auto"/>
                      <w:kern w:val="0"/>
                      <w:sz w:val="21"/>
                      <w:szCs w:val="21"/>
                      <w:highlight w:val="none"/>
                      <w:lang w:val="en-US" w:eastAsia="zh-CN" w:bidi="ar"/>
                    </w:rPr>
                    <w:fldChar w:fldCharType="separate"/>
                  </w:r>
                  <w:r>
                    <w:rPr>
                      <w:rFonts w:hint="eastAsia" w:ascii="Times New Roman" w:hAnsi="Times New Roman" w:eastAsia="宋体" w:cs="Times New Roman"/>
                      <w:color w:val="auto"/>
                      <w:kern w:val="0"/>
                      <w:sz w:val="21"/>
                      <w:szCs w:val="21"/>
                      <w:highlight w:val="none"/>
                      <w:lang w:val="en-US" w:eastAsia="zh-CN" w:bidi="ar"/>
                    </w:rPr>
                    <w:t>Ⅲ</w:t>
                  </w:r>
                  <w:r>
                    <w:rPr>
                      <w:rFonts w:hint="eastAsia" w:ascii="Times New Roman" w:hAnsi="Times New Roman" w:eastAsia="宋体" w:cs="Times New Roman"/>
                      <w:color w:val="auto"/>
                      <w:kern w:val="0"/>
                      <w:sz w:val="21"/>
                      <w:szCs w:val="21"/>
                      <w:highlight w:val="none"/>
                      <w:lang w:val="en-US" w:eastAsia="zh-CN" w:bidi="ar"/>
                    </w:rPr>
                    <w:fldChar w:fldCharType="end"/>
                  </w:r>
                  <w:r>
                    <w:rPr>
                      <w:rFonts w:hint="eastAsia" w:ascii="Times New Roman" w:hAnsi="Times New Roman" w:eastAsia="宋体" w:cs="Times New Roman"/>
                      <w:color w:val="auto"/>
                      <w:kern w:val="0"/>
                      <w:sz w:val="21"/>
                      <w:szCs w:val="21"/>
                      <w:highlight w:val="none"/>
                      <w:lang w:val="en-US" w:eastAsia="zh-CN" w:bidi="ar"/>
                    </w:rPr>
                    <w:t>类）</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7-9</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20</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0.2</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1.0</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6</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1.0</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7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达标情况</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超标</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51" w:hRule="atLeast"/>
                <w:jc w:val="center"/>
              </w:trPr>
              <w:tc>
                <w:tcPr>
                  <w:tcW w:w="744" w:type="dxa"/>
                  <w:vMerge w:val="restart"/>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r>
                    <w:rPr>
                      <w:rFonts w:hint="eastAsia" w:ascii="Times New Roman" w:hAnsi="Times New Roman" w:eastAsia="宋体" w:cs="Times New Roman"/>
                      <w:color w:val="auto"/>
                      <w:kern w:val="0"/>
                      <w:sz w:val="21"/>
                      <w:szCs w:val="21"/>
                      <w:highlight w:val="none"/>
                      <w:lang w:val="en-US" w:eastAsia="zh-CN" w:bidi="ar"/>
                    </w:rPr>
                    <w:t>冷水河田庄桥</w:t>
                  </w: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1月13日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7.7</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11</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0.07</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0.901</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5.42</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9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2月17日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7.6</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10</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0.10</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0.921</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2.9</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10.5</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7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3月10日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7.5</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0.05</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0.647</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3.0</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8.02</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4月12日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7.7</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0.26</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1.74</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5.3</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7.44</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5月19日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7.8</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0.10</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0.615</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4.4</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2.63</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5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6月16日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7.5</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0.03</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0.394</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3.1</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1.66</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0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7月12日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9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8月12日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7.0</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0.04</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0.279</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4.4</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7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9月8日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7.0</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0.13</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0.784</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5.0</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7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10月8日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0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11月8日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9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12月13日</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断流</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1"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最小值</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7.0</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10</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0.03</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0.279</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2.9</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1.66</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06"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最大值</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7.8</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11</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0.26</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1.74</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5.3</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10.5</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17"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年均值</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7.4</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10</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0.10</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0.785</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4.0</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5.94</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2"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标准值</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u w:val="none"/>
                      <w:lang w:val="en-US" w:eastAsia="zh-CN"/>
                    </w:rPr>
                    <w:t>7-9</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u w:val="none"/>
                      <w:lang w:val="en-US" w:eastAsia="zh-CN"/>
                    </w:rPr>
                    <w:t>20</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u w:val="none"/>
                      <w:lang w:val="en-US" w:eastAsia="zh-CN"/>
                    </w:rPr>
                    <w:t>0.2</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u w:val="none"/>
                      <w:lang w:val="en-US" w:eastAsia="zh-CN"/>
                    </w:rPr>
                    <w:t>1.0</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u w:val="none"/>
                      <w:lang w:val="en-US" w:eastAsia="zh-CN"/>
                    </w:rPr>
                    <w:t>6</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u w:val="none"/>
                      <w:lang w:val="en-US" w:eastAsia="zh-CN"/>
                    </w:rPr>
                    <w:t>1.0</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72" w:hRule="atLeast"/>
                <w:jc w:val="center"/>
              </w:trPr>
              <w:tc>
                <w:tcPr>
                  <w:tcW w:w="744" w:type="dxa"/>
                  <w:vMerge w:val="continue"/>
                  <w:tcBorders>
                    <w:righ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jc w:val="center"/>
                    <w:rPr>
                      <w:rFonts w:hint="eastAsia" w:ascii="Times New Roman" w:hAnsi="Times New Roman" w:eastAsia="宋体" w:cs="Times New Roman"/>
                      <w:color w:val="auto"/>
                      <w:kern w:val="0"/>
                      <w:sz w:val="21"/>
                      <w:szCs w:val="21"/>
                      <w:highlight w:val="none"/>
                      <w:lang w:val="zh-CN" w:eastAsia="zh-CN" w:bidi="ar"/>
                    </w:rPr>
                  </w:pPr>
                </w:p>
              </w:tc>
              <w:tc>
                <w:tcPr>
                  <w:tcW w:w="1141"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达标情况</w:t>
                  </w:r>
                </w:p>
              </w:tc>
              <w:tc>
                <w:tcPr>
                  <w:tcW w:w="1379"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1095"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900"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超标率8.3</w:t>
                  </w:r>
                  <w:r>
                    <w:rPr>
                      <w:rFonts w:hint="eastAsia" w:ascii="宋体" w:hAnsi="宋体" w:eastAsia="宋体" w:cs="宋体"/>
                      <w:color w:val="auto"/>
                      <w:kern w:val="0"/>
                      <w:sz w:val="21"/>
                      <w:szCs w:val="21"/>
                      <w:highlight w:val="none"/>
                      <w:lang w:val="en-US" w:eastAsia="zh-CN" w:bidi="ar"/>
                    </w:rPr>
                    <w:t>％</w:t>
                  </w:r>
                </w:p>
              </w:tc>
              <w:tc>
                <w:tcPr>
                  <w:tcW w:w="945"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超标率8.3</w:t>
                  </w:r>
                  <w:r>
                    <w:rPr>
                      <w:rFonts w:hint="eastAsia" w:ascii="宋体" w:hAnsi="宋体" w:eastAsia="宋体" w:cs="宋体"/>
                      <w:color w:val="auto"/>
                      <w:kern w:val="0"/>
                      <w:sz w:val="21"/>
                      <w:szCs w:val="21"/>
                      <w:highlight w:val="none"/>
                      <w:lang w:val="en-US" w:eastAsia="zh-CN" w:bidi="ar"/>
                    </w:rPr>
                    <w:t>％</w:t>
                  </w:r>
                </w:p>
              </w:tc>
              <w:tc>
                <w:tcPr>
                  <w:tcW w:w="1499" w:type="dxa"/>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达标</w:t>
                  </w:r>
                </w:p>
              </w:tc>
              <w:tc>
                <w:tcPr>
                  <w:tcW w:w="912" w:type="dxa"/>
                  <w:tcBorders>
                    <w:left w:val="single" w:color="auto" w:sz="4" w:space="0"/>
                  </w:tcBorders>
                  <w:noWrap w:val="0"/>
                  <w:vAlign w:val="center"/>
                </w:tcPr>
                <w:p>
                  <w:pPr>
                    <w:pStyle w:val="14"/>
                    <w:keepNext w:val="0"/>
                    <w:keepLines w:val="0"/>
                    <w:pageBreakBefore w:val="0"/>
                    <w:kinsoku/>
                    <w:wordWrap/>
                    <w:overflowPunct/>
                    <w:autoSpaceDE/>
                    <w:autoSpaceDN/>
                    <w:bidi w:val="0"/>
                    <w:spacing w:after="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超标</w:t>
                  </w:r>
                </w:p>
              </w:tc>
            </w:tr>
          </w:tbl>
          <w:p>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eastAsia" w:ascii="Times New Roman" w:hAnsi="Times New Roman" w:eastAsia="宋体"/>
                <w:color w:val="auto"/>
                <w:sz w:val="24"/>
                <w:lang w:eastAsia="zh-CN"/>
              </w:rPr>
            </w:pPr>
            <w:r>
              <w:rPr>
                <w:rFonts w:hint="eastAsia" w:ascii="Times New Roman" w:hAnsi="Times New Roman" w:eastAsia="宋体"/>
                <w:color w:val="auto"/>
                <w:sz w:val="24"/>
              </w:rPr>
              <w:t>由上表监测数据</w:t>
            </w:r>
            <w:r>
              <w:rPr>
                <w:rFonts w:hint="eastAsia" w:ascii="Times New Roman" w:hAnsi="Times New Roman" w:eastAsia="宋体"/>
                <w:color w:val="auto"/>
                <w:sz w:val="24"/>
                <w:lang w:val="en-US" w:eastAsia="zh-CN"/>
              </w:rPr>
              <w:t>可知</w:t>
            </w:r>
            <w:r>
              <w:rPr>
                <w:rFonts w:hint="eastAsia" w:ascii="Times New Roman" w:hAnsi="Times New Roman" w:eastAsia="宋体"/>
                <w:color w:val="auto"/>
                <w:sz w:val="24"/>
                <w:lang w:eastAsia="zh-CN"/>
              </w:rPr>
              <w:t>，</w:t>
            </w:r>
            <w:r>
              <w:rPr>
                <w:rFonts w:hint="eastAsia" w:ascii="Times New Roman" w:hAnsi="Times New Roman" w:eastAsia="宋体"/>
                <w:color w:val="auto"/>
                <w:sz w:val="24"/>
                <w:lang w:val="en-US" w:eastAsia="zh-CN"/>
              </w:rPr>
              <w:t>除氨氮、总氮、总磷超标外，其余</w:t>
            </w:r>
            <w:r>
              <w:rPr>
                <w:rFonts w:hint="eastAsia" w:ascii="Times New Roman" w:hAnsi="Times New Roman" w:eastAsia="宋体"/>
                <w:color w:val="auto"/>
                <w:sz w:val="24"/>
              </w:rPr>
              <w:t>各监测因子均能满足《地表水环境质量标准》(GB3838-2002)</w:t>
            </w:r>
            <w:r>
              <w:rPr>
                <w:rFonts w:hint="eastAsia" w:ascii="Times New Roman" w:hAnsi="Times New Roman" w:eastAsia="宋体"/>
                <w:color w:val="auto"/>
                <w:sz w:val="24"/>
              </w:rPr>
              <w:fldChar w:fldCharType="begin"/>
            </w:r>
            <w:r>
              <w:rPr>
                <w:rFonts w:hint="eastAsia" w:ascii="Times New Roman" w:hAnsi="Times New Roman" w:eastAsia="宋体"/>
                <w:color w:val="auto"/>
                <w:sz w:val="24"/>
              </w:rPr>
              <w:instrText xml:space="preserve"> = 3 \* ROMAN \* MERGEFORMAT </w:instrText>
            </w:r>
            <w:r>
              <w:rPr>
                <w:rFonts w:hint="eastAsia" w:ascii="Times New Roman" w:hAnsi="Times New Roman" w:eastAsia="宋体"/>
                <w:color w:val="auto"/>
                <w:sz w:val="24"/>
              </w:rPr>
              <w:fldChar w:fldCharType="separate"/>
            </w:r>
            <w:r>
              <w:rPr>
                <w:rFonts w:hint="eastAsia" w:ascii="Times New Roman" w:hAnsi="Times New Roman" w:eastAsia="宋体"/>
                <w:color w:val="auto"/>
                <w:sz w:val="24"/>
              </w:rPr>
              <w:t>Ⅲ</w:t>
            </w:r>
            <w:r>
              <w:rPr>
                <w:rFonts w:hint="eastAsia" w:ascii="Times New Roman" w:hAnsi="Times New Roman" w:eastAsia="宋体"/>
                <w:color w:val="auto"/>
                <w:sz w:val="24"/>
              </w:rPr>
              <w:fldChar w:fldCharType="end"/>
            </w:r>
            <w:r>
              <w:rPr>
                <w:rFonts w:hint="eastAsia" w:ascii="Times New Roman" w:hAnsi="Times New Roman" w:eastAsia="宋体"/>
                <w:color w:val="auto"/>
                <w:sz w:val="24"/>
              </w:rPr>
              <w:t>类标准要求</w:t>
            </w:r>
            <w:r>
              <w:rPr>
                <w:rFonts w:hint="eastAsia" w:ascii="Times New Roman" w:hAnsi="Times New Roman" w:eastAsia="宋体"/>
                <w:color w:val="auto"/>
                <w:sz w:val="24"/>
                <w:lang w:eastAsia="zh-CN"/>
              </w:rPr>
              <w:t>。</w:t>
            </w:r>
          </w:p>
          <w:p>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eastAsia" w:ascii="Times New Roman" w:hAnsi="Times New Roman" w:eastAsia="宋体" w:cs="Times New Roman"/>
                <w:color w:val="auto"/>
                <w:sz w:val="24"/>
              </w:rPr>
            </w:pPr>
            <w:r>
              <w:rPr>
                <w:rFonts w:hint="eastAsia" w:ascii="Times New Roman" w:hAnsi="Times New Roman" w:eastAsia="宋体"/>
                <w:color w:val="auto"/>
                <w:sz w:val="24"/>
              </w:rPr>
              <w:t>超标原因：由于沿途接纳了部分未经污水处理厂处理的生活污水以及雨水（含有农用化肥等的农田雨水），导致水质超标。</w:t>
            </w:r>
            <w:r>
              <w:rPr>
                <w:rFonts w:hint="eastAsia" w:ascii="Times New Roman" w:hAnsi="Times New Roman" w:eastAsia="宋体" w:cs="Times New Roman"/>
                <w:color w:val="auto"/>
                <w:sz w:val="24"/>
                <w:lang w:val="en-US" w:eastAsia="zh-CN"/>
              </w:rPr>
              <w:t>总氮超标原因可能为夏季水中藻类生长，漂浮在水中，导致水质富营养化。</w:t>
            </w:r>
          </w:p>
          <w:p>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eastAsia" w:ascii="Times New Roman" w:hAnsi="Times New Roman" w:cs="Times New Roman"/>
                <w:color w:val="auto"/>
                <w:sz w:val="24"/>
              </w:rPr>
            </w:pPr>
            <w:r>
              <w:rPr>
                <w:rFonts w:hint="eastAsia" w:ascii="Times New Roman" w:hAnsi="Times New Roman" w:eastAsia="宋体"/>
                <w:color w:val="auto"/>
                <w:sz w:val="24"/>
                <w:lang w:val="en-US" w:eastAsia="zh-CN"/>
              </w:rPr>
              <w:t>目前平顶山正在实施</w:t>
            </w:r>
            <w:r>
              <w:rPr>
                <w:rFonts w:hint="eastAsia" w:ascii="Times New Roman" w:hAnsi="Times New Roman" w:eastAsia="宋体" w:cs="Times New Roman"/>
                <w:color w:val="auto"/>
                <w:sz w:val="24"/>
                <w:lang w:val="en-US" w:eastAsia="zh-CN"/>
              </w:rPr>
              <w:t>《平顶山市生态环境保护委员会办公室关于印发平顶山市 2023 年碧水保卫战实施方案的通知》</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平环委办〔2023〕15号</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，经采取该文件中相关水污染防治措施后，该区域水质将得到有效改善</w:t>
            </w:r>
            <w:r>
              <w:rPr>
                <w:rFonts w:hint="eastAsia" w:ascii="Times New Roman" w:hAnsi="Times New Roman" w:cs="Times New Roman"/>
                <w:color w:val="auto"/>
                <w:kern w:val="0"/>
                <w:sz w:val="24"/>
                <w:lang w:bidi="ar"/>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s="Times New Roman"/>
                <w:b/>
                <w:bCs/>
                <w:color w:val="auto"/>
                <w:sz w:val="24"/>
                <w:lang w:bidi="zh-CN"/>
              </w:rPr>
            </w:pPr>
            <w:r>
              <w:rPr>
                <w:rFonts w:hint="eastAsia" w:ascii="Times New Roman" w:hAnsi="Times New Roman" w:cs="Times New Roman"/>
                <w:b/>
                <w:bCs/>
                <w:color w:val="auto"/>
                <w:sz w:val="24"/>
                <w:lang w:val="en-US" w:bidi="zh-CN"/>
              </w:rPr>
              <w:t>3</w:t>
            </w:r>
            <w:r>
              <w:rPr>
                <w:rFonts w:ascii="Times New Roman" w:hAnsi="Times New Roman" w:cs="Times New Roman"/>
                <w:b/>
                <w:bCs/>
                <w:color w:val="auto"/>
                <w:sz w:val="24"/>
                <w:lang w:bidi="zh-CN"/>
              </w:rPr>
              <w:t>声环境质量现状</w:t>
            </w:r>
          </w:p>
          <w:p>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本项目位于</w:t>
            </w:r>
            <w:r>
              <w:rPr>
                <w:rFonts w:hint="eastAsia" w:ascii="Times New Roman" w:hAnsi="Times New Roman" w:eastAsia="宋体" w:cs="Times New Roman"/>
                <w:color w:val="auto"/>
                <w:sz w:val="24"/>
                <w:lang w:val="en-US" w:eastAsia="zh-CN"/>
              </w:rPr>
              <w:t>平顶山</w:t>
            </w:r>
            <w:r>
              <w:rPr>
                <w:rFonts w:hint="default" w:ascii="Times New Roman" w:hAnsi="Times New Roman" w:eastAsia="宋体" w:cs="Times New Roman"/>
                <w:color w:val="auto"/>
                <w:sz w:val="24"/>
                <w:lang w:val="en-US" w:eastAsia="zh-CN"/>
              </w:rPr>
              <w:t>市</w:t>
            </w:r>
            <w:r>
              <w:rPr>
                <w:rFonts w:hint="eastAsia" w:ascii="Times New Roman" w:hAnsi="Times New Roman" w:eastAsia="宋体" w:cs="Times New Roman"/>
                <w:color w:val="auto"/>
                <w:sz w:val="24"/>
                <w:lang w:val="en-US" w:eastAsia="zh-CN"/>
              </w:rPr>
              <w:t>鲁山县（区）张良镇姚吴程村四组</w:t>
            </w:r>
            <w:r>
              <w:rPr>
                <w:rFonts w:hint="default" w:ascii="Times New Roman" w:hAnsi="Times New Roman" w:eastAsia="宋体" w:cs="Times New Roman"/>
                <w:color w:val="auto"/>
                <w:sz w:val="24"/>
                <w:lang w:val="en-US" w:eastAsia="zh-CN"/>
              </w:rPr>
              <w:t>，</w:t>
            </w:r>
            <w:r>
              <w:rPr>
                <w:color w:val="auto"/>
                <w:sz w:val="24"/>
              </w:rPr>
              <w:t>鲁山首创生物质能源有限公司</w:t>
            </w:r>
            <w:r>
              <w:rPr>
                <w:rFonts w:hint="eastAsia"/>
                <w:color w:val="auto"/>
                <w:sz w:val="24"/>
                <w:lang w:val="en-US" w:eastAsia="zh-CN"/>
              </w:rPr>
              <w:t>厂内生物质料棚所在地，</w:t>
            </w:r>
            <w:r>
              <w:rPr>
                <w:rFonts w:hint="default" w:ascii="Times New Roman" w:hAnsi="Times New Roman" w:eastAsia="宋体" w:cs="Times New Roman"/>
                <w:color w:val="auto"/>
                <w:sz w:val="24"/>
                <w:lang w:val="en-US" w:eastAsia="zh-CN"/>
              </w:rPr>
              <w:t>根据现场踏勘，周围50米范围内无声环境保护目标</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根据《平顶山市区域声环境功能区划》（2021版），本次</w:t>
            </w:r>
            <w:r>
              <w:rPr>
                <w:rFonts w:hint="eastAsia" w:cs="Times New Roman"/>
                <w:color w:val="auto"/>
                <w:sz w:val="24"/>
                <w:lang w:val="en-US" w:eastAsia="zh-CN"/>
              </w:rPr>
              <w:t>扩</w:t>
            </w:r>
            <w:r>
              <w:rPr>
                <w:rFonts w:hint="eastAsia" w:ascii="Times New Roman" w:hAnsi="Times New Roman" w:eastAsia="宋体" w:cs="Times New Roman"/>
                <w:color w:val="auto"/>
                <w:sz w:val="24"/>
                <w:lang w:val="en-US" w:eastAsia="zh-CN"/>
              </w:rPr>
              <w:t>建</w:t>
            </w:r>
            <w:r>
              <w:rPr>
                <w:rFonts w:hint="default" w:ascii="Times New Roman" w:hAnsi="Times New Roman" w:eastAsia="宋体" w:cs="Times New Roman"/>
                <w:color w:val="auto"/>
                <w:sz w:val="24"/>
                <w:lang w:val="en-US" w:eastAsia="zh-CN"/>
              </w:rPr>
              <w:t>后项目厂界声环境质量执行《声环境质量标准》（GB3096-2008）</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类标准</w:t>
            </w:r>
            <w:r>
              <w:rPr>
                <w:rFonts w:hint="eastAsia" w:ascii="Times New Roman" w:hAnsi="Times New Roman" w:eastAsia="宋体" w:cs="Times New Roman"/>
                <w:color w:val="auto"/>
                <w:sz w:val="24"/>
                <w:lang w:val="en-US" w:eastAsia="zh-CN"/>
              </w:rPr>
              <w:t>。本次评价引用企业2023年10月的自行监测报告（检测单位：</w:t>
            </w:r>
            <w:r>
              <w:rPr>
                <w:rFonts w:hint="default" w:ascii="Times New Roman" w:hAnsi="Times New Roman" w:eastAsia="宋体" w:cs="Times New Roman"/>
                <w:color w:val="auto"/>
                <w:sz w:val="24"/>
                <w:lang w:val="en-US" w:eastAsia="zh-CN"/>
              </w:rPr>
              <w:t>河南</w:t>
            </w:r>
            <w:r>
              <w:rPr>
                <w:rFonts w:hint="eastAsia" w:ascii="Times New Roman" w:hAnsi="Times New Roman" w:eastAsia="宋体" w:cs="Times New Roman"/>
                <w:color w:val="auto"/>
                <w:sz w:val="24"/>
                <w:lang w:val="en-US" w:eastAsia="zh-CN"/>
              </w:rPr>
              <w:t>中天高科检测技术服务</w:t>
            </w:r>
            <w:r>
              <w:rPr>
                <w:rFonts w:hint="default" w:ascii="Times New Roman" w:hAnsi="Times New Roman" w:eastAsia="宋体" w:cs="Times New Roman"/>
                <w:color w:val="auto"/>
                <w:sz w:val="24"/>
                <w:lang w:val="en-US" w:eastAsia="zh-CN"/>
              </w:rPr>
              <w:t>有限公司</w:t>
            </w:r>
            <w:r>
              <w:rPr>
                <w:rFonts w:hint="eastAsia" w:ascii="Times New Roman" w:hAnsi="Times New Roman" w:eastAsia="宋体" w:cs="Times New Roman"/>
                <w:color w:val="auto"/>
                <w:sz w:val="24"/>
                <w:lang w:val="en-US" w:eastAsia="zh-CN"/>
              </w:rPr>
              <w:t>，检测时间：2023年10月13日）</w:t>
            </w:r>
            <w:r>
              <w:rPr>
                <w:rFonts w:hint="eastAsia" w:cs="Times New Roman"/>
                <w:color w:val="auto"/>
                <w:sz w:val="24"/>
                <w:lang w:val="en-US" w:eastAsia="zh-CN"/>
              </w:rPr>
              <w:t>，见附件14</w:t>
            </w:r>
            <w:r>
              <w:rPr>
                <w:rFonts w:hint="eastAsia"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监测结果见下表：</w:t>
            </w:r>
          </w:p>
          <w:p>
            <w:pPr>
              <w:keepNext w:val="0"/>
              <w:keepLines w:val="0"/>
              <w:pageBreakBefore w:val="0"/>
              <w:widowControl w:val="0"/>
              <w:kinsoku/>
              <w:wordWrap/>
              <w:overflowPunct/>
              <w:topLinePunct w:val="0"/>
              <w:autoSpaceDE w:val="0"/>
              <w:autoSpaceDN w:val="0"/>
              <w:bidi w:val="0"/>
              <w:adjustRightInd w:val="0"/>
              <w:snapToGrid w:val="0"/>
              <w:spacing w:line="280" w:lineRule="exact"/>
              <w:jc w:val="center"/>
              <w:textAlignment w:val="auto"/>
              <w:rPr>
                <w:rFonts w:hint="default" w:ascii="Times New Roman" w:hAnsi="Times New Roman"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表</w:t>
            </w:r>
            <w:r>
              <w:rPr>
                <w:rFonts w:hint="eastAsia" w:ascii="Times New Roman" w:hAnsi="Times New Roman" w:eastAsia="黑体" w:cs="Times New Roman"/>
                <w:color w:val="auto"/>
                <w:kern w:val="2"/>
                <w:sz w:val="24"/>
                <w:szCs w:val="24"/>
                <w:highlight w:val="none"/>
                <w:lang w:val="en-US" w:eastAsia="zh-CN" w:bidi="ar-SA"/>
              </w:rPr>
              <w:t>24</w:t>
            </w:r>
            <w:r>
              <w:rPr>
                <w:rFonts w:hint="default" w:ascii="Times New Roman" w:hAnsi="Times New Roman" w:eastAsia="黑体" w:cs="Times New Roman"/>
                <w:color w:val="auto"/>
                <w:kern w:val="2"/>
                <w:sz w:val="24"/>
                <w:szCs w:val="24"/>
                <w:highlight w:val="none"/>
                <w:lang w:val="en-US" w:eastAsia="zh-CN" w:bidi="ar-SA"/>
              </w:rPr>
              <w:t xml:space="preserve">  声环境现状监测结果</w:t>
            </w:r>
          </w:p>
          <w:tbl>
            <w:tblPr>
              <w:tblStyle w:val="29"/>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1441"/>
              <w:gridCol w:w="1948"/>
              <w:gridCol w:w="1948"/>
              <w:gridCol w:w="19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default" w:ascii="Times New Roman" w:hAnsi="Times New Roman" w:eastAsia="宋体" w:cs="Times New Roman"/>
                      <w:b/>
                      <w:bCs w:val="0"/>
                      <w:color w:val="auto"/>
                      <w:sz w:val="21"/>
                      <w:lang w:val="en-US" w:eastAsia="zh-CN"/>
                    </w:rPr>
                    <w:t>检测日期</w:t>
                  </w:r>
                </w:p>
              </w:tc>
              <w:tc>
                <w:tcPr>
                  <w:tcW w:w="83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default" w:ascii="Times New Roman" w:hAnsi="Times New Roman" w:eastAsia="宋体" w:cs="Times New Roman"/>
                      <w:b/>
                      <w:bCs w:val="0"/>
                      <w:color w:val="auto"/>
                      <w:sz w:val="21"/>
                      <w:lang w:val="en-US" w:eastAsia="zh-CN"/>
                    </w:rPr>
                    <w:t>序号</w:t>
                  </w:r>
                </w:p>
              </w:tc>
              <w:tc>
                <w:tcPr>
                  <w:tcW w:w="113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default" w:ascii="Times New Roman" w:hAnsi="Times New Roman" w:eastAsia="宋体" w:cs="Times New Roman"/>
                      <w:b/>
                      <w:bCs w:val="0"/>
                      <w:color w:val="auto"/>
                      <w:sz w:val="21"/>
                      <w:lang w:val="en-US" w:eastAsia="zh-CN"/>
                    </w:rPr>
                    <w:t>检测点位名称</w:t>
                  </w:r>
                </w:p>
              </w:tc>
              <w:tc>
                <w:tcPr>
                  <w:tcW w:w="226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default" w:ascii="Times New Roman" w:hAnsi="Times New Roman" w:eastAsia="宋体" w:cs="Times New Roman"/>
                      <w:b/>
                      <w:bCs w:val="0"/>
                      <w:color w:val="auto"/>
                      <w:sz w:val="21"/>
                      <w:lang w:val="en-US" w:eastAsia="zh-CN"/>
                    </w:rPr>
                    <w:t>检测结果</w:t>
                  </w:r>
                  <w:r>
                    <w:rPr>
                      <w:rFonts w:hint="default" w:ascii="Times New Roman" w:hAnsi="Times New Roman" w:eastAsia="宋体" w:cs="Times New Roman"/>
                      <w:b/>
                      <w:bCs w:val="0"/>
                      <w:color w:val="auto"/>
                      <w:sz w:val="21"/>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p>
              </w:tc>
              <w:tc>
                <w:tcPr>
                  <w:tcW w:w="8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p>
              </w:tc>
              <w:tc>
                <w:tcPr>
                  <w:tcW w:w="113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default" w:ascii="Times New Roman" w:hAnsi="Times New Roman" w:eastAsia="宋体" w:cs="Times New Roman"/>
                      <w:b/>
                      <w:bCs w:val="0"/>
                      <w:color w:val="auto"/>
                      <w:sz w:val="21"/>
                      <w:lang w:val="en-US" w:eastAsia="zh-CN"/>
                    </w:rPr>
                    <w:t>昼间</w:t>
                  </w:r>
                </w:p>
              </w:tc>
              <w:tc>
                <w:tcPr>
                  <w:tcW w:w="11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default" w:ascii="Times New Roman" w:hAnsi="Times New Roman" w:eastAsia="宋体" w:cs="Times New Roman"/>
                      <w:b/>
                      <w:bCs w:val="0"/>
                      <w:color w:val="auto"/>
                      <w:sz w:val="21"/>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default" w:ascii="Times New Roman" w:hAnsi="Times New Roman" w:eastAsia="宋体" w:cs="Times New Roman"/>
                      <w:b w:val="0"/>
                      <w:bCs/>
                      <w:color w:val="auto"/>
                      <w:sz w:val="21"/>
                      <w:lang w:val="en-US" w:eastAsia="zh-CN"/>
                    </w:rPr>
                    <w:t>2022.10.1</w:t>
                  </w:r>
                  <w:r>
                    <w:rPr>
                      <w:rFonts w:hint="eastAsia" w:ascii="Times New Roman" w:hAnsi="Times New Roman" w:eastAsia="宋体" w:cs="Times New Roman"/>
                      <w:b w:val="0"/>
                      <w:bCs/>
                      <w:color w:val="auto"/>
                      <w:sz w:val="21"/>
                      <w:lang w:val="en-US" w:eastAsia="zh-CN"/>
                    </w:rPr>
                    <w:t>3</w:t>
                  </w:r>
                </w:p>
              </w:tc>
              <w:tc>
                <w:tcPr>
                  <w:tcW w:w="8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default" w:ascii="Times New Roman" w:hAnsi="Times New Roman" w:eastAsia="宋体" w:cs="Times New Roman"/>
                      <w:b w:val="0"/>
                      <w:bCs/>
                      <w:color w:val="auto"/>
                      <w:sz w:val="21"/>
                      <w:lang w:val="en-US" w:eastAsia="zh-CN"/>
                    </w:rPr>
                    <w:t>1</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南</w:t>
                  </w:r>
                  <w:r>
                    <w:rPr>
                      <w:rFonts w:hint="default" w:ascii="Times New Roman" w:hAnsi="Times New Roman" w:eastAsia="宋体" w:cs="Times New Roman"/>
                      <w:b w:val="0"/>
                      <w:bCs/>
                      <w:color w:val="auto"/>
                      <w:sz w:val="21"/>
                      <w:lang w:val="en-US" w:eastAsia="zh-CN"/>
                    </w:rPr>
                    <w:t>厂界</w:t>
                  </w:r>
                  <w:r>
                    <w:rPr>
                      <w:rFonts w:hint="eastAsia" w:ascii="Times New Roman" w:hAnsi="Times New Roman" w:eastAsia="宋体" w:cs="Times New Roman"/>
                      <w:b w:val="0"/>
                      <w:bCs/>
                      <w:color w:val="auto"/>
                      <w:sz w:val="21"/>
                      <w:lang w:val="en-US" w:eastAsia="zh-CN"/>
                    </w:rPr>
                    <w:t>外1米</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59</w:t>
                  </w:r>
                </w:p>
              </w:tc>
              <w:tc>
                <w:tcPr>
                  <w:tcW w:w="11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8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default" w:ascii="Times New Roman" w:hAnsi="Times New Roman" w:eastAsia="宋体" w:cs="Times New Roman"/>
                      <w:b w:val="0"/>
                      <w:bCs/>
                      <w:color w:val="auto"/>
                      <w:sz w:val="21"/>
                      <w:lang w:val="en-US" w:eastAsia="zh-CN"/>
                    </w:rPr>
                    <w:t>2</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东</w:t>
                  </w:r>
                  <w:r>
                    <w:rPr>
                      <w:rFonts w:hint="default" w:ascii="Times New Roman" w:hAnsi="Times New Roman" w:eastAsia="宋体" w:cs="Times New Roman"/>
                      <w:b w:val="0"/>
                      <w:bCs/>
                      <w:color w:val="auto"/>
                      <w:sz w:val="21"/>
                      <w:lang w:val="en-US" w:eastAsia="zh-CN"/>
                    </w:rPr>
                    <w:t>厂界</w:t>
                  </w:r>
                  <w:r>
                    <w:rPr>
                      <w:rFonts w:hint="eastAsia" w:ascii="Times New Roman" w:hAnsi="Times New Roman" w:eastAsia="宋体" w:cs="Times New Roman"/>
                      <w:b w:val="0"/>
                      <w:bCs/>
                      <w:color w:val="auto"/>
                      <w:sz w:val="21"/>
                      <w:lang w:val="en-US" w:eastAsia="zh-CN"/>
                    </w:rPr>
                    <w:t>外1米</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57</w:t>
                  </w:r>
                </w:p>
              </w:tc>
              <w:tc>
                <w:tcPr>
                  <w:tcW w:w="11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8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default" w:ascii="Times New Roman" w:hAnsi="Times New Roman" w:eastAsia="宋体" w:cs="Times New Roman"/>
                      <w:b w:val="0"/>
                      <w:bCs/>
                      <w:color w:val="auto"/>
                      <w:sz w:val="21"/>
                      <w:lang w:val="en-US" w:eastAsia="zh-CN"/>
                    </w:rPr>
                    <w:t>3</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北</w:t>
                  </w:r>
                  <w:r>
                    <w:rPr>
                      <w:rFonts w:hint="default" w:ascii="Times New Roman" w:hAnsi="Times New Roman" w:eastAsia="宋体" w:cs="Times New Roman"/>
                      <w:b w:val="0"/>
                      <w:bCs/>
                      <w:color w:val="auto"/>
                      <w:sz w:val="21"/>
                      <w:lang w:val="en-US" w:eastAsia="zh-CN"/>
                    </w:rPr>
                    <w:t>厂界</w:t>
                  </w:r>
                  <w:r>
                    <w:rPr>
                      <w:rFonts w:hint="eastAsia" w:ascii="Times New Roman" w:hAnsi="Times New Roman" w:eastAsia="宋体" w:cs="Times New Roman"/>
                      <w:b w:val="0"/>
                      <w:bCs/>
                      <w:color w:val="auto"/>
                      <w:sz w:val="21"/>
                      <w:lang w:val="en-US" w:eastAsia="zh-CN"/>
                    </w:rPr>
                    <w:t>外1米</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59</w:t>
                  </w:r>
                </w:p>
              </w:tc>
              <w:tc>
                <w:tcPr>
                  <w:tcW w:w="11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8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default" w:ascii="Times New Roman" w:hAnsi="Times New Roman" w:eastAsia="宋体" w:cs="Times New Roman"/>
                      <w:b w:val="0"/>
                      <w:bCs/>
                      <w:color w:val="auto"/>
                      <w:sz w:val="21"/>
                      <w:lang w:val="en-US" w:eastAsia="zh-CN"/>
                    </w:rPr>
                    <w:t>4</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西</w:t>
                  </w:r>
                  <w:r>
                    <w:rPr>
                      <w:rFonts w:hint="default" w:ascii="Times New Roman" w:hAnsi="Times New Roman" w:eastAsia="宋体" w:cs="Times New Roman"/>
                      <w:b w:val="0"/>
                      <w:bCs/>
                      <w:color w:val="auto"/>
                      <w:sz w:val="21"/>
                      <w:lang w:val="en-US" w:eastAsia="zh-CN"/>
                    </w:rPr>
                    <w:t>厂界</w:t>
                  </w:r>
                  <w:r>
                    <w:rPr>
                      <w:rFonts w:hint="eastAsia" w:ascii="Times New Roman" w:hAnsi="Times New Roman" w:eastAsia="宋体" w:cs="Times New Roman"/>
                      <w:b w:val="0"/>
                      <w:bCs/>
                      <w:color w:val="auto"/>
                      <w:sz w:val="21"/>
                      <w:lang w:val="en-US" w:eastAsia="zh-CN"/>
                    </w:rPr>
                    <w:t>外1米</w:t>
                  </w:r>
                </w:p>
              </w:tc>
              <w:tc>
                <w:tcPr>
                  <w:tcW w:w="11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58</w:t>
                  </w:r>
                </w:p>
              </w:tc>
              <w:tc>
                <w:tcPr>
                  <w:tcW w:w="11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48</w:t>
                  </w:r>
                </w:p>
              </w:tc>
            </w:tr>
          </w:tbl>
          <w:p>
            <w:pPr>
              <w:spacing w:line="360" w:lineRule="auto"/>
              <w:ind w:firstLine="480" w:firstLineChars="200"/>
              <w:rPr>
                <w:rFonts w:hint="eastAsia"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rPr>
              <w:t>由监测结果可知，项目</w:t>
            </w:r>
            <w:r>
              <w:rPr>
                <w:rFonts w:hint="default" w:ascii="Times New Roman" w:hAnsi="Times New Roman" w:eastAsia="宋体" w:cs="Times New Roman"/>
                <w:color w:val="auto"/>
                <w:kern w:val="0"/>
                <w:sz w:val="24"/>
                <w:lang w:eastAsia="zh-CN"/>
              </w:rPr>
              <w:t>厂界</w:t>
            </w:r>
            <w:r>
              <w:rPr>
                <w:rFonts w:hint="default" w:ascii="Times New Roman" w:hAnsi="Times New Roman" w:eastAsia="宋体" w:cs="Times New Roman"/>
                <w:color w:val="auto"/>
                <w:kern w:val="0"/>
                <w:sz w:val="24"/>
              </w:rPr>
              <w:t>现状噪声值</w:t>
            </w:r>
            <w:r>
              <w:rPr>
                <w:rFonts w:hint="default" w:ascii="Times New Roman" w:hAnsi="Times New Roman" w:eastAsia="宋体" w:cs="Times New Roman"/>
                <w:color w:val="auto"/>
                <w:kern w:val="0"/>
                <w:sz w:val="24"/>
                <w:lang w:val="en-US" w:eastAsia="zh-CN"/>
              </w:rPr>
              <w:t>满足</w:t>
            </w:r>
            <w:r>
              <w:rPr>
                <w:rFonts w:hint="default" w:ascii="Times New Roman" w:hAnsi="Times New Roman" w:eastAsia="宋体" w:cs="Times New Roman"/>
                <w:color w:val="auto"/>
                <w:kern w:val="0"/>
                <w:sz w:val="24"/>
                <w:lang w:eastAsia="zh-CN"/>
              </w:rPr>
              <w:t>《声环境质量标准》（GB3096-2008）</w:t>
            </w:r>
            <w:r>
              <w:rPr>
                <w:rFonts w:hint="eastAsia" w:ascii="Times New Roman" w:hAnsi="Times New Roman" w:eastAsia="宋体" w:cs="Times New Roman"/>
                <w:color w:val="auto"/>
                <w:kern w:val="0"/>
                <w:sz w:val="24"/>
                <w:lang w:val="en-US" w:eastAsia="zh-CN"/>
              </w:rPr>
              <w:t>2</w:t>
            </w:r>
            <w:r>
              <w:rPr>
                <w:rFonts w:hint="default" w:ascii="Times New Roman" w:hAnsi="Times New Roman" w:eastAsia="宋体" w:cs="Times New Roman"/>
                <w:color w:val="auto"/>
                <w:kern w:val="0"/>
                <w:sz w:val="24"/>
                <w:lang w:eastAsia="zh-CN"/>
              </w:rPr>
              <w:t>类标准</w:t>
            </w:r>
            <w:r>
              <w:rPr>
                <w:rFonts w:hint="default" w:ascii="Times New Roman" w:hAnsi="Times New Roman" w:eastAsia="宋体" w:cs="Times New Roman"/>
                <w:color w:val="auto"/>
                <w:kern w:val="0"/>
                <w:sz w:val="24"/>
                <w:lang w:val="en-US" w:eastAsia="zh-CN"/>
              </w:rPr>
              <w:t>(昼间</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6</w:t>
            </w:r>
            <w:r>
              <w:rPr>
                <w:rFonts w:hint="eastAsia" w:ascii="Times New Roman" w:hAnsi="Times New Roman" w:eastAsia="宋体" w:cs="Times New Roman"/>
                <w:color w:val="auto"/>
                <w:kern w:val="0"/>
                <w:sz w:val="24"/>
                <w:lang w:val="en-US" w:eastAsia="zh-CN"/>
              </w:rPr>
              <w:t>0</w:t>
            </w:r>
            <w:r>
              <w:rPr>
                <w:rFonts w:hint="default" w:ascii="Times New Roman" w:hAnsi="Times New Roman" w:eastAsia="宋体" w:cs="Times New Roman"/>
                <w:color w:val="auto"/>
                <w:kern w:val="0"/>
                <w:sz w:val="24"/>
                <w:lang w:val="en-US" w:eastAsia="zh-CN"/>
              </w:rPr>
              <w:t>dB(A)，夜间</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5</w:t>
            </w:r>
            <w:r>
              <w:rPr>
                <w:rFonts w:hint="eastAsia" w:ascii="Times New Roman" w:hAnsi="Times New Roman" w:eastAsia="宋体" w:cs="Times New Roman"/>
                <w:color w:val="auto"/>
                <w:kern w:val="0"/>
                <w:sz w:val="24"/>
                <w:lang w:val="en-US" w:eastAsia="zh-CN"/>
              </w:rPr>
              <w:t>0</w:t>
            </w:r>
            <w:r>
              <w:rPr>
                <w:rFonts w:hint="default" w:ascii="Times New Roman" w:hAnsi="Times New Roman" w:eastAsia="宋体" w:cs="Times New Roman"/>
                <w:color w:val="auto"/>
                <w:kern w:val="0"/>
                <w:sz w:val="24"/>
                <w:lang w:val="en-US" w:eastAsia="zh-CN"/>
              </w:rPr>
              <w:t>dB(A))</w:t>
            </w:r>
            <w:r>
              <w:rPr>
                <w:rFonts w:hint="eastAsia" w:ascii="Times New Roman" w:hAnsi="Times New Roman" w:eastAsia="宋体" w:cs="Times New Roman"/>
                <w:color w:val="auto"/>
                <w:kern w:val="0"/>
                <w:sz w:val="24"/>
                <w:lang w:eastAsia="zh-CN"/>
              </w:rPr>
              <w:t>。</w:t>
            </w:r>
          </w:p>
          <w:p>
            <w:pPr>
              <w:spacing w:line="360" w:lineRule="auto"/>
              <w:ind w:firstLine="482" w:firstLineChars="200"/>
              <w:rPr>
                <w:rFonts w:hint="eastAsia" w:ascii="Times New Roman" w:hAnsi="宋体" w:eastAsia="宋体" w:cs="Times New Roman"/>
                <w:b/>
                <w:color w:val="auto"/>
                <w:kern w:val="2"/>
                <w:sz w:val="24"/>
                <w:lang w:val="en-US" w:eastAsia="zh-CN" w:bidi="ar-SA"/>
              </w:rPr>
            </w:pPr>
            <w:r>
              <w:rPr>
                <w:rFonts w:hint="eastAsia" w:ascii="Times New Roman" w:hAnsi="宋体" w:eastAsia="宋体" w:cs="Times New Roman"/>
                <w:b/>
                <w:color w:val="auto"/>
                <w:kern w:val="2"/>
                <w:sz w:val="24"/>
                <w:lang w:val="en-US" w:eastAsia="zh-CN" w:bidi="ar-SA"/>
              </w:rPr>
              <w:t>4</w:t>
            </w:r>
            <w:r>
              <w:rPr>
                <w:rFonts w:hint="eastAsia" w:ascii="Times New Roman" w:hAnsi="宋体" w:eastAsia="宋体" w:cs="Times New Roman"/>
                <w:b/>
                <w:color w:val="auto"/>
                <w:kern w:val="2"/>
                <w:sz w:val="24"/>
                <w:highlight w:val="none"/>
                <w:lang w:val="en-US" w:eastAsia="zh-CN" w:bidi="ar-SA"/>
              </w:rPr>
              <w:t>地下水</w:t>
            </w:r>
            <w:r>
              <w:rPr>
                <w:rFonts w:hint="eastAsia" w:ascii="Times New Roman" w:hAnsi="宋体" w:eastAsia="宋体" w:cs="Times New Roman"/>
                <w:b/>
                <w:color w:val="auto"/>
                <w:kern w:val="2"/>
                <w:sz w:val="24"/>
                <w:lang w:val="en-US" w:eastAsia="zh-CN" w:bidi="ar-SA"/>
              </w:rPr>
              <w:t>环境</w:t>
            </w:r>
            <w:r>
              <w:rPr>
                <w:rFonts w:hint="eastAsia" w:hAnsi="宋体" w:cs="Times New Roman"/>
                <w:b/>
                <w:color w:val="auto"/>
                <w:kern w:val="2"/>
                <w:sz w:val="24"/>
                <w:lang w:val="en-US" w:eastAsia="zh-CN" w:bidi="ar-SA"/>
              </w:rPr>
              <w:t>现状</w:t>
            </w:r>
          </w:p>
          <w:p>
            <w:pPr>
              <w:adjustRightInd w:val="0"/>
              <w:snapToGrid w:val="0"/>
              <w:spacing w:line="360" w:lineRule="auto"/>
              <w:ind w:firstLine="480"/>
              <w:rPr>
                <w:rFonts w:hint="eastAsia"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为了解本项目地下水现状情况，</w:t>
            </w:r>
            <w:r>
              <w:rPr>
                <w:rFonts w:hint="eastAsia" w:ascii="Times New Roman" w:hAnsi="Times New Roman" w:eastAsia="宋体" w:cs="Times New Roman"/>
                <w:color w:val="auto"/>
                <w:sz w:val="24"/>
                <w:lang w:val="en-US" w:eastAsia="zh-CN"/>
              </w:rPr>
              <w:t>本次评价引用</w:t>
            </w:r>
            <w:r>
              <w:rPr>
                <w:rFonts w:hint="eastAsia" w:ascii="Times New Roman" w:hAnsi="Times New Roman" w:eastAsia="宋体" w:cs="Times New Roman"/>
                <w:bCs/>
                <w:color w:val="auto"/>
                <w:kern w:val="2"/>
                <w:sz w:val="24"/>
                <w:szCs w:val="20"/>
                <w:highlight w:val="none"/>
                <w:lang w:val="en-US" w:eastAsia="zh-CN" w:bidi="ar-SA"/>
              </w:rPr>
              <w:t>鲁山首创环保能源有限公司鲁山县生活垃圾焚烧发电项目</w:t>
            </w:r>
            <w:r>
              <w:rPr>
                <w:rFonts w:hint="eastAsia" w:ascii="Times New Roman" w:hAnsi="Times New Roman" w:eastAsia="宋体" w:cs="Times New Roman"/>
                <w:color w:val="auto"/>
                <w:sz w:val="24"/>
                <w:lang w:val="en-US" w:eastAsia="zh-CN"/>
              </w:rPr>
              <w:t>2023年10月的自行监测报告（检测单位：</w:t>
            </w:r>
            <w:r>
              <w:rPr>
                <w:rFonts w:hint="default" w:ascii="Times New Roman" w:hAnsi="Times New Roman" w:eastAsia="宋体" w:cs="Times New Roman"/>
                <w:color w:val="auto"/>
                <w:sz w:val="24"/>
                <w:lang w:val="en-US" w:eastAsia="zh-CN"/>
              </w:rPr>
              <w:t>河南</w:t>
            </w:r>
            <w:r>
              <w:rPr>
                <w:rFonts w:hint="eastAsia" w:ascii="Times New Roman" w:hAnsi="Times New Roman" w:eastAsia="宋体" w:cs="Times New Roman"/>
                <w:color w:val="auto"/>
                <w:sz w:val="24"/>
                <w:lang w:val="en-US" w:eastAsia="zh-CN"/>
              </w:rPr>
              <w:t>中天高科检测技术服务</w:t>
            </w:r>
            <w:r>
              <w:rPr>
                <w:rFonts w:hint="default" w:ascii="Times New Roman" w:hAnsi="Times New Roman" w:eastAsia="宋体" w:cs="Times New Roman"/>
                <w:color w:val="auto"/>
                <w:sz w:val="24"/>
                <w:lang w:val="en-US" w:eastAsia="zh-CN"/>
              </w:rPr>
              <w:t>有限公司</w:t>
            </w:r>
            <w:r>
              <w:rPr>
                <w:rFonts w:hint="eastAsia" w:ascii="Times New Roman" w:hAnsi="Times New Roman" w:eastAsia="宋体" w:cs="Times New Roman"/>
                <w:color w:val="auto"/>
                <w:sz w:val="24"/>
                <w:lang w:val="en-US" w:eastAsia="zh-CN"/>
              </w:rPr>
              <w:t>，检测时间：2023年9月13日），</w:t>
            </w:r>
            <w:r>
              <w:rPr>
                <w:rFonts w:hint="eastAsia" w:cs="Times New Roman"/>
                <w:color w:val="auto"/>
                <w:sz w:val="24"/>
                <w:lang w:val="en-US" w:eastAsia="zh-CN"/>
              </w:rPr>
              <w:t>见附件12，</w:t>
            </w:r>
            <w:r>
              <w:rPr>
                <w:rFonts w:hint="eastAsia" w:ascii="Times New Roman" w:hAnsi="Times New Roman" w:eastAsia="宋体" w:cs="Times New Roman"/>
                <w:color w:val="auto"/>
                <w:sz w:val="24"/>
                <w:lang w:val="en-US" w:eastAsia="zh-CN"/>
              </w:rPr>
              <w:t>检测内容及检测结果见下表：</w:t>
            </w:r>
          </w:p>
          <w:p>
            <w:pPr>
              <w:pStyle w:val="27"/>
              <w:keepNext w:val="0"/>
              <w:keepLines w:val="0"/>
              <w:pageBreakBefore w:val="0"/>
              <w:widowControl/>
              <w:kinsoku/>
              <w:wordWrap/>
              <w:overflowPunct/>
              <w:topLinePunct w:val="0"/>
              <w:autoSpaceDE/>
              <w:autoSpaceDN/>
              <w:bidi w:val="0"/>
              <w:adjustRightInd/>
              <w:snapToGrid w:val="0"/>
              <w:spacing w:after="0"/>
              <w:ind w:left="0" w:leftChars="0" w:firstLine="0"/>
              <w:jc w:val="center"/>
              <w:textAlignment w:val="auto"/>
              <w:rPr>
                <w:b/>
                <w:bCs/>
                <w:color w:val="auto"/>
                <w:sz w:val="24"/>
                <w:szCs w:val="24"/>
              </w:rPr>
            </w:pPr>
            <w:r>
              <w:rPr>
                <w:rFonts w:hint="eastAsia" w:ascii="Times New Roman" w:hAnsi="Times New Roman" w:eastAsia="黑体" w:cs="Times New Roman"/>
                <w:color w:val="auto"/>
                <w:kern w:val="2"/>
                <w:sz w:val="24"/>
                <w:szCs w:val="24"/>
                <w:lang w:val="en-US" w:eastAsia="zh-CN" w:bidi="ar-SA"/>
              </w:rPr>
              <w:t>表2</w:t>
            </w:r>
            <w:r>
              <w:rPr>
                <w:rFonts w:hint="eastAsia" w:eastAsia="黑体" w:cs="Times New Roman"/>
                <w:color w:val="auto"/>
                <w:kern w:val="2"/>
                <w:sz w:val="24"/>
                <w:szCs w:val="24"/>
                <w:lang w:val="en-US" w:eastAsia="zh-CN" w:bidi="ar-SA"/>
              </w:rPr>
              <w:t>5</w:t>
            </w:r>
            <w:r>
              <w:rPr>
                <w:rFonts w:hint="eastAsia" w:ascii="Times New Roman" w:hAnsi="Times New Roman" w:eastAsia="黑体" w:cs="Times New Roman"/>
                <w:color w:val="auto"/>
                <w:kern w:val="2"/>
                <w:sz w:val="24"/>
                <w:szCs w:val="24"/>
                <w:lang w:val="en-US" w:eastAsia="zh-CN" w:bidi="ar-SA"/>
              </w:rPr>
              <w:t xml:space="preserve">  检测内容一览表</w:t>
            </w:r>
          </w:p>
          <w:tbl>
            <w:tblPr>
              <w:tblStyle w:val="28"/>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6"/>
              <w:gridCol w:w="3129"/>
              <w:gridCol w:w="1624"/>
              <w:gridCol w:w="2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tblHeader/>
                <w:jc w:val="center"/>
              </w:trPr>
              <w:tc>
                <w:tcPr>
                  <w:tcW w:w="977"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b/>
                      <w:bCs/>
                      <w:color w:val="auto"/>
                      <w:sz w:val="21"/>
                      <w:szCs w:val="21"/>
                    </w:rPr>
                  </w:pPr>
                  <w:r>
                    <w:rPr>
                      <w:rFonts w:hint="eastAsia"/>
                      <w:b/>
                      <w:bCs/>
                      <w:color w:val="auto"/>
                      <w:sz w:val="21"/>
                      <w:szCs w:val="21"/>
                      <w:lang w:val="en-US" w:eastAsia="zh-CN"/>
                    </w:rPr>
                    <w:t>样品</w:t>
                  </w:r>
                  <w:r>
                    <w:rPr>
                      <w:b/>
                      <w:bCs/>
                      <w:color w:val="auto"/>
                      <w:sz w:val="21"/>
                      <w:szCs w:val="21"/>
                    </w:rPr>
                    <w:t>类别</w:t>
                  </w:r>
                </w:p>
              </w:tc>
              <w:tc>
                <w:tcPr>
                  <w:tcW w:w="1834"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ascii="Times New Roman" w:hAnsi="Times New Roman" w:eastAsia="宋体" w:cs="Times New Roman"/>
                      <w:color w:val="auto"/>
                      <w:sz w:val="21"/>
                      <w:szCs w:val="21"/>
                    </w:rPr>
                  </w:pPr>
                  <w:r>
                    <w:rPr>
                      <w:rFonts w:ascii="Times New Roman" w:hAnsi="Times New Roman" w:eastAsia="宋体" w:cs="Times New Roman"/>
                      <w:b/>
                      <w:bCs/>
                      <w:color w:val="auto"/>
                      <w:sz w:val="21"/>
                      <w:szCs w:val="21"/>
                    </w:rPr>
                    <w:t>检测点位</w:t>
                  </w:r>
                </w:p>
              </w:tc>
              <w:tc>
                <w:tcPr>
                  <w:tcW w:w="952"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b/>
                      <w:bCs/>
                      <w:color w:val="auto"/>
                      <w:sz w:val="21"/>
                      <w:szCs w:val="21"/>
                    </w:rPr>
                  </w:pPr>
                  <w:r>
                    <w:rPr>
                      <w:b/>
                      <w:bCs/>
                      <w:color w:val="auto"/>
                      <w:sz w:val="21"/>
                      <w:szCs w:val="21"/>
                    </w:rPr>
                    <w:t>检测项目</w:t>
                  </w:r>
                </w:p>
              </w:tc>
              <w:tc>
                <w:tcPr>
                  <w:tcW w:w="1235"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b/>
                      <w:bCs/>
                      <w:color w:val="auto"/>
                      <w:sz w:val="21"/>
                      <w:szCs w:val="21"/>
                    </w:rPr>
                  </w:pPr>
                  <w:r>
                    <w:rPr>
                      <w:b/>
                      <w:bCs/>
                      <w:color w:val="auto"/>
                      <w:sz w:val="21"/>
                      <w:szCs w:val="21"/>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977" w:type="pct"/>
                  <w:vMerge w:val="restar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eastAsia" w:eastAsia="宋体"/>
                      <w:color w:val="auto"/>
                      <w:sz w:val="21"/>
                      <w:szCs w:val="21"/>
                      <w:lang w:eastAsia="zh-CN"/>
                    </w:rPr>
                  </w:pPr>
                  <w:r>
                    <w:rPr>
                      <w:rFonts w:hint="eastAsia"/>
                      <w:color w:val="auto"/>
                      <w:sz w:val="21"/>
                      <w:szCs w:val="21"/>
                      <w:lang w:val="en-US" w:eastAsia="zh-CN"/>
                    </w:rPr>
                    <w:t>地下水</w:t>
                  </w:r>
                </w:p>
              </w:tc>
              <w:tc>
                <w:tcPr>
                  <w:tcW w:w="1834"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渗滤液油罐区东侧</w:t>
                  </w:r>
                </w:p>
              </w:tc>
              <w:tc>
                <w:tcPr>
                  <w:tcW w:w="952" w:type="pct"/>
                  <w:vMerge w:val="restar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color w:val="auto"/>
                      <w:sz w:val="21"/>
                      <w:szCs w:val="21"/>
                      <w:lang w:val="en-US" w:eastAsia="zh-CN" w:bidi="ar-SA"/>
                    </w:rPr>
                  </w:pPr>
                  <w:r>
                    <w:rPr>
                      <w:rFonts w:hint="eastAsia"/>
                      <w:color w:val="auto"/>
                      <w:sz w:val="21"/>
                      <w:szCs w:val="21"/>
                      <w:lang w:val="en-US" w:eastAsia="zh-CN" w:bidi="ar-SA"/>
                    </w:rPr>
                    <w:t>化学需氧量、五日生化需氧量、氨氮、总铅、总镉、总汞、总砷</w:t>
                  </w:r>
                </w:p>
              </w:tc>
              <w:tc>
                <w:tcPr>
                  <w:tcW w:w="1235" w:type="pct"/>
                  <w:vMerge w:val="restar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eastAsia" w:eastAsia="宋体"/>
                      <w:color w:val="auto"/>
                      <w:sz w:val="21"/>
                      <w:szCs w:val="21"/>
                      <w:lang w:val="en-US" w:eastAsia="zh-CN" w:bidi="ar-SA"/>
                    </w:rPr>
                  </w:pPr>
                  <w:r>
                    <w:rPr>
                      <w:color w:val="auto"/>
                      <w:sz w:val="21"/>
                      <w:szCs w:val="21"/>
                    </w:rPr>
                    <w:t>检测</w:t>
                  </w:r>
                  <w:r>
                    <w:rPr>
                      <w:rFonts w:hint="eastAsia"/>
                      <w:color w:val="auto"/>
                      <w:sz w:val="21"/>
                      <w:szCs w:val="21"/>
                      <w:lang w:val="en-US" w:eastAsia="zh-CN"/>
                    </w:rPr>
                    <w:t>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977" w:type="pct"/>
                  <w:vMerge w:val="continue"/>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color w:val="auto"/>
                    </w:rPr>
                  </w:pPr>
                </w:p>
              </w:tc>
              <w:tc>
                <w:tcPr>
                  <w:tcW w:w="1834"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厂区东北角</w:t>
                  </w:r>
                </w:p>
              </w:tc>
              <w:tc>
                <w:tcPr>
                  <w:tcW w:w="952" w:type="pct"/>
                  <w:vMerge w:val="continue"/>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p>
              </w:tc>
              <w:tc>
                <w:tcPr>
                  <w:tcW w:w="1235" w:type="pct"/>
                  <w:vMerge w:val="continue"/>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977" w:type="pct"/>
                  <w:vMerge w:val="continue"/>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p>
              </w:tc>
              <w:tc>
                <w:tcPr>
                  <w:tcW w:w="1834" w:type="pct"/>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厂区西南角</w:t>
                  </w:r>
                </w:p>
              </w:tc>
              <w:tc>
                <w:tcPr>
                  <w:tcW w:w="952" w:type="pct"/>
                  <w:vMerge w:val="continue"/>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p>
              </w:tc>
              <w:tc>
                <w:tcPr>
                  <w:tcW w:w="1235" w:type="pct"/>
                  <w:vMerge w:val="continue"/>
                  <w:noWrap w:val="0"/>
                  <w:vAlign w:val="center"/>
                </w:tcPr>
                <w:p>
                  <w:pPr>
                    <w:keepNext w:val="0"/>
                    <w:keepLines w:val="0"/>
                    <w:pageBreakBefore w:val="0"/>
                    <w:widowControl/>
                    <w:kinsoku/>
                    <w:wordWrap/>
                    <w:overflowPunct/>
                    <w:topLinePunct w:val="0"/>
                    <w:autoSpaceDE/>
                    <w:autoSpaceDN/>
                    <w:bidi w:val="0"/>
                    <w:ind w:left="-105" w:leftChars="-50" w:right="-105" w:rightChars="-50"/>
                    <w:jc w:val="center"/>
                    <w:textAlignment w:val="auto"/>
                    <w:rPr>
                      <w:rFonts w:hint="default" w:ascii="Times New Roman" w:hAnsi="Times New Roman" w:eastAsia="宋体" w:cs="Times New Roman"/>
                      <w:color w:val="auto"/>
                      <w:sz w:val="21"/>
                      <w:szCs w:val="21"/>
                      <w:lang w:val="en-US" w:eastAsia="zh-CN" w:bidi="ar-SA"/>
                    </w:rPr>
                  </w:pPr>
                </w:p>
              </w:tc>
            </w:tr>
          </w:tbl>
          <w:p>
            <w:pPr>
              <w:keepNext w:val="0"/>
              <w:keepLines w:val="0"/>
              <w:pageBreakBefore w:val="0"/>
              <w:widowControl w:val="0"/>
              <w:kinsoku/>
              <w:wordWrap/>
              <w:overflowPunct/>
              <w:topLinePunct w:val="0"/>
              <w:autoSpaceDE w:val="0"/>
              <w:autoSpaceDN w:val="0"/>
              <w:bidi w:val="0"/>
              <w:adjustRightInd w:val="0"/>
              <w:snapToGrid w:val="0"/>
              <w:spacing w:line="280" w:lineRule="exact"/>
              <w:jc w:val="center"/>
              <w:textAlignment w:val="auto"/>
              <w:rPr>
                <w:rFonts w:hint="default" w:ascii="Times New Roman" w:hAnsi="Times New Roman" w:eastAsia="黑体" w:cs="Times New Roman"/>
                <w:color w:val="auto"/>
                <w:kern w:val="2"/>
                <w:sz w:val="24"/>
                <w:szCs w:val="24"/>
                <w:highlight w:val="none"/>
                <w:lang w:val="en-US" w:eastAsia="zh-CN" w:bidi="ar-SA"/>
              </w:rPr>
            </w:pPr>
            <w:r>
              <w:rPr>
                <w:rFonts w:hint="eastAsia" w:ascii="Times New Roman" w:hAnsi="Times New Roman" w:eastAsia="黑体" w:cs="Times New Roman"/>
                <w:color w:val="auto"/>
                <w:kern w:val="2"/>
                <w:sz w:val="24"/>
                <w:szCs w:val="24"/>
                <w:highlight w:val="none"/>
                <w:lang w:val="en-US" w:eastAsia="zh-CN" w:bidi="ar-SA"/>
              </w:rPr>
              <w:t>表26  地下水</w:t>
            </w:r>
            <w:r>
              <w:rPr>
                <w:rFonts w:hint="default" w:ascii="Times New Roman" w:hAnsi="Times New Roman" w:eastAsia="黑体" w:cs="Times New Roman"/>
                <w:color w:val="auto"/>
                <w:kern w:val="2"/>
                <w:sz w:val="24"/>
                <w:szCs w:val="24"/>
                <w:highlight w:val="none"/>
                <w:lang w:val="en-US" w:eastAsia="zh-CN" w:bidi="ar-SA"/>
              </w:rPr>
              <w:t>监测结果</w:t>
            </w:r>
            <w:r>
              <w:rPr>
                <w:rFonts w:hint="eastAsia" w:ascii="Times New Roman" w:hAnsi="Times New Roman" w:eastAsia="黑体" w:cs="Times New Roman"/>
                <w:color w:val="auto"/>
                <w:kern w:val="2"/>
                <w:sz w:val="24"/>
                <w:szCs w:val="24"/>
                <w:highlight w:val="none"/>
                <w:lang w:val="en-US" w:eastAsia="zh-CN" w:bidi="ar-SA"/>
              </w:rPr>
              <w:t>一览表</w:t>
            </w:r>
          </w:p>
          <w:tbl>
            <w:tblPr>
              <w:tblStyle w:val="29"/>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881"/>
              <w:gridCol w:w="1950"/>
              <w:gridCol w:w="1950"/>
              <w:gridCol w:w="18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1645"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检测点位</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渗滤液油罐区东侧</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厂区东北角</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厂区西南角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645"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采样时间</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2023.09.13  11.09</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2023.09.13  10.43</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2023.09.13  10.54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645"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样品状态</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无色、无味、无浮油、在有效期内</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无色、无味、无浮油、在有效期内</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无色、无味、无浮油、在有效期内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检测因子</w:t>
                  </w:r>
                </w:p>
              </w:tc>
              <w:tc>
                <w:tcPr>
                  <w:tcW w:w="10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化学需氧量（mg/L）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6</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8</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10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五日生化需氧量（mg/L）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1.5</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1.8</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10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氨氮（mg/L）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0.025L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0.025L</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0.025L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10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总铅（</w:t>
                  </w:r>
                  <w:r>
                    <w:rPr>
                      <w:rFonts w:hint="eastAsia" w:ascii="微软雅黑" w:hAnsi="微软雅黑" w:eastAsia="微软雅黑" w:cs="微软雅黑"/>
                      <w:b w:val="0"/>
                      <w:bCs/>
                      <w:color w:val="auto"/>
                      <w:sz w:val="21"/>
                      <w:lang w:val="en-US" w:eastAsia="zh-CN"/>
                    </w:rPr>
                    <w:t>μ</w:t>
                  </w:r>
                  <w:r>
                    <w:rPr>
                      <w:rFonts w:hint="eastAsia" w:ascii="Times New Roman" w:hAnsi="Times New Roman" w:eastAsia="宋体" w:cs="Times New Roman"/>
                      <w:b w:val="0"/>
                      <w:bCs/>
                      <w:color w:val="auto"/>
                      <w:sz w:val="21"/>
                      <w:lang w:val="en-US" w:eastAsia="zh-CN"/>
                    </w:rPr>
                    <w:t>g/L）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2.5L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2.5L</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2.5L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10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总镉（</w:t>
                  </w:r>
                  <w:r>
                    <w:rPr>
                      <w:rFonts w:hint="eastAsia" w:ascii="微软雅黑" w:hAnsi="微软雅黑" w:eastAsia="微软雅黑" w:cs="微软雅黑"/>
                      <w:b w:val="0"/>
                      <w:bCs/>
                      <w:color w:val="auto"/>
                      <w:sz w:val="21"/>
                      <w:lang w:val="en-US" w:eastAsia="zh-CN"/>
                    </w:rPr>
                    <w:t>μ</w:t>
                  </w:r>
                  <w:r>
                    <w:rPr>
                      <w:rFonts w:hint="eastAsia" w:ascii="Times New Roman" w:hAnsi="Times New Roman" w:eastAsia="宋体" w:cs="Times New Roman"/>
                      <w:b w:val="0"/>
                      <w:bCs/>
                      <w:color w:val="auto"/>
                      <w:sz w:val="21"/>
                      <w:lang w:val="en-US" w:eastAsia="zh-CN"/>
                    </w:rPr>
                    <w:t>g/L）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0.5L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0.5L</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0.5L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10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总汞（</w:t>
                  </w:r>
                  <w:r>
                    <w:rPr>
                      <w:rFonts w:hint="eastAsia" w:ascii="微软雅黑" w:hAnsi="微软雅黑" w:eastAsia="微软雅黑" w:cs="微软雅黑"/>
                      <w:b w:val="0"/>
                      <w:bCs/>
                      <w:color w:val="auto"/>
                      <w:sz w:val="21"/>
                      <w:lang w:val="en-US" w:eastAsia="zh-CN"/>
                    </w:rPr>
                    <w:t>μ</w:t>
                  </w:r>
                  <w:r>
                    <w:rPr>
                      <w:rFonts w:hint="eastAsia" w:ascii="Times New Roman" w:hAnsi="Times New Roman" w:eastAsia="宋体" w:cs="Times New Roman"/>
                      <w:b w:val="0"/>
                      <w:bCs/>
                      <w:color w:val="auto"/>
                      <w:sz w:val="21"/>
                      <w:lang w:val="en-US" w:eastAsia="zh-CN"/>
                    </w:rPr>
                    <w:t>g/L）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0.04L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0.04L</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0.04L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5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p>
              </w:tc>
              <w:tc>
                <w:tcPr>
                  <w:tcW w:w="10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总砷（</w:t>
                  </w:r>
                  <w:r>
                    <w:rPr>
                      <w:rFonts w:hint="eastAsia" w:ascii="微软雅黑" w:hAnsi="微软雅黑" w:eastAsia="微软雅黑" w:cs="微软雅黑"/>
                      <w:b w:val="0"/>
                      <w:bCs/>
                      <w:color w:val="auto"/>
                      <w:sz w:val="21"/>
                      <w:lang w:val="en-US" w:eastAsia="zh-CN"/>
                    </w:rPr>
                    <w:t>μ</w:t>
                  </w:r>
                  <w:r>
                    <w:rPr>
                      <w:rFonts w:hint="eastAsia" w:ascii="Times New Roman" w:hAnsi="Times New Roman" w:eastAsia="宋体" w:cs="Times New Roman"/>
                      <w:b w:val="0"/>
                      <w:bCs/>
                      <w:color w:val="auto"/>
                      <w:sz w:val="21"/>
                      <w:lang w:val="en-US" w:eastAsia="zh-CN"/>
                    </w:rPr>
                    <w:t>g/L）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0.3L</w:t>
                  </w:r>
                </w:p>
              </w:tc>
              <w:tc>
                <w:tcPr>
                  <w:tcW w:w="11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0.3L</w:t>
                  </w:r>
                </w:p>
              </w:tc>
              <w:tc>
                <w:tcPr>
                  <w:tcW w:w="10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0.3L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5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备注</w:t>
                  </w:r>
                </w:p>
              </w:tc>
              <w:tc>
                <w:tcPr>
                  <w:tcW w:w="4446"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检出限、最低检出浓度加L表示未检出</w:t>
                  </w:r>
                </w:p>
              </w:tc>
            </w:tr>
          </w:tbl>
          <w:p>
            <w:pPr>
              <w:spacing w:line="360" w:lineRule="auto"/>
              <w:ind w:firstLine="480" w:firstLineChars="200"/>
              <w:rPr>
                <w:rFonts w:hint="eastAsia" w:ascii="Times New Roman" w:hAnsi="宋体" w:eastAsia="宋体" w:cs="Times New Roman"/>
                <w:b/>
                <w:color w:val="auto"/>
                <w:kern w:val="2"/>
                <w:sz w:val="24"/>
                <w:szCs w:val="24"/>
                <w:highlight w:val="yellow"/>
                <w:lang w:val="en-US" w:eastAsia="zh-CN" w:bidi="ar-SA"/>
              </w:rPr>
            </w:pPr>
            <w:r>
              <w:rPr>
                <w:rFonts w:hint="default" w:ascii="Times New Roman" w:hAnsi="Times New Roman" w:eastAsia="宋体" w:cs="Times New Roman"/>
                <w:color w:val="auto"/>
                <w:kern w:val="0"/>
                <w:sz w:val="24"/>
                <w:highlight w:val="none"/>
              </w:rPr>
              <w:t>由监测结果可知，</w:t>
            </w:r>
            <w:r>
              <w:rPr>
                <w:rFonts w:hint="eastAsia" w:cs="Times New Roman"/>
                <w:color w:val="auto"/>
                <w:kern w:val="0"/>
                <w:sz w:val="24"/>
                <w:highlight w:val="none"/>
                <w:lang w:val="en-US" w:eastAsia="zh-CN"/>
              </w:rPr>
              <w:t>总铅、总镉、总汞、总砷</w:t>
            </w:r>
            <w:r>
              <w:rPr>
                <w:rFonts w:ascii="Times New Roman" w:hAnsi="宋体" w:cs="Times New Roman"/>
                <w:color w:val="auto"/>
                <w:sz w:val="24"/>
              </w:rPr>
              <w:t>均满足《地下水质量标准》</w:t>
            </w:r>
            <w:r>
              <w:rPr>
                <w:rFonts w:hint="eastAsia" w:ascii="Times New Roman" w:hAnsi="宋体" w:cs="Times New Roman"/>
                <w:color w:val="auto"/>
                <w:sz w:val="24"/>
              </w:rPr>
              <w:t>（</w:t>
            </w:r>
            <w:r>
              <w:rPr>
                <w:rFonts w:hint="eastAsia" w:ascii="Times New Roman" w:hAnsi="宋体" w:cs="Times New Roman"/>
                <w:color w:val="auto"/>
                <w:sz w:val="24"/>
                <w:highlight w:val="none"/>
              </w:rPr>
              <w:t>GB</w:t>
            </w:r>
            <w:r>
              <w:rPr>
                <w:rFonts w:hint="eastAsia" w:hAnsi="宋体" w:cs="Times New Roman"/>
                <w:color w:val="auto"/>
                <w:sz w:val="24"/>
                <w:highlight w:val="none"/>
                <w:lang w:val="en-US" w:eastAsia="zh-CN"/>
              </w:rPr>
              <w:t>/</w:t>
            </w:r>
            <w:r>
              <w:rPr>
                <w:rFonts w:hint="eastAsia" w:ascii="Times New Roman" w:hAnsi="宋体" w:cs="Times New Roman"/>
                <w:color w:val="auto"/>
                <w:sz w:val="24"/>
                <w:highlight w:val="none"/>
              </w:rPr>
              <w:t>T</w:t>
            </w:r>
            <w:r>
              <w:rPr>
                <w:rFonts w:hint="eastAsia" w:ascii="Times New Roman" w:hAnsi="宋体" w:cs="Times New Roman"/>
                <w:color w:val="auto"/>
                <w:sz w:val="24"/>
              </w:rPr>
              <w:t>14848-2017）</w:t>
            </w:r>
            <w:r>
              <w:rPr>
                <w:rFonts w:ascii="Times New Roman" w:hAnsi="宋体" w:cs="Times New Roman"/>
                <w:color w:val="auto"/>
                <w:sz w:val="24"/>
              </w:rPr>
              <w:t>Ⅲ标准要求，说明该区域地下水水质较好</w:t>
            </w:r>
            <w:r>
              <w:rPr>
                <w:rFonts w:hint="eastAsia" w:ascii="Times New Roman" w:hAnsi="宋体" w:cs="Times New Roman"/>
                <w:color w:val="auto"/>
                <w:sz w:val="24"/>
                <w:lang w:eastAsia="zh-CN"/>
              </w:rPr>
              <w:t>。</w:t>
            </w:r>
          </w:p>
          <w:p>
            <w:pPr>
              <w:spacing w:line="360" w:lineRule="auto"/>
              <w:ind w:firstLine="482" w:firstLineChars="200"/>
              <w:rPr>
                <w:rFonts w:hint="eastAsia"/>
                <w:color w:val="auto"/>
                <w:sz w:val="24"/>
                <w:szCs w:val="24"/>
              </w:rPr>
            </w:pPr>
            <w:r>
              <w:rPr>
                <w:rFonts w:hint="eastAsia" w:ascii="Times New Roman" w:hAnsi="宋体" w:eastAsia="宋体" w:cs="Times New Roman"/>
                <w:b/>
                <w:color w:val="auto"/>
                <w:kern w:val="2"/>
                <w:sz w:val="24"/>
                <w:szCs w:val="24"/>
                <w:lang w:val="en-US" w:eastAsia="zh-CN" w:bidi="ar-SA"/>
              </w:rPr>
              <w:t>5</w:t>
            </w:r>
            <w:r>
              <w:rPr>
                <w:rFonts w:hint="eastAsia" w:ascii="Times New Roman" w:hAnsi="宋体" w:eastAsia="宋体" w:cs="Times New Roman"/>
                <w:b/>
                <w:color w:val="auto"/>
                <w:kern w:val="2"/>
                <w:sz w:val="24"/>
                <w:szCs w:val="24"/>
                <w:highlight w:val="none"/>
                <w:lang w:val="en-US" w:eastAsia="zh-CN" w:bidi="ar-SA"/>
              </w:rPr>
              <w:t>土壤</w:t>
            </w:r>
            <w:r>
              <w:rPr>
                <w:rFonts w:hint="eastAsia" w:ascii="Times New Roman" w:hAnsi="宋体" w:eastAsia="宋体" w:cs="Times New Roman"/>
                <w:b/>
                <w:color w:val="auto"/>
                <w:kern w:val="2"/>
                <w:sz w:val="24"/>
                <w:szCs w:val="24"/>
                <w:lang w:val="en-US" w:eastAsia="zh-CN" w:bidi="ar-SA"/>
              </w:rPr>
              <w:t>环境影响</w:t>
            </w:r>
            <w:r>
              <w:rPr>
                <w:rFonts w:hint="eastAsia" w:hAnsi="宋体" w:cs="Times New Roman"/>
                <w:b/>
                <w:color w:val="auto"/>
                <w:kern w:val="2"/>
                <w:sz w:val="24"/>
                <w:szCs w:val="24"/>
                <w:lang w:val="en-US" w:eastAsia="zh-CN" w:bidi="ar-SA"/>
              </w:rPr>
              <w:t>现状</w:t>
            </w:r>
          </w:p>
          <w:p>
            <w:pPr>
              <w:spacing w:line="360" w:lineRule="auto"/>
              <w:ind w:firstLine="480" w:firstLineChars="200"/>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为了解本项目所在地土壤现状情况，本次评价引用鲁山首创环保能源有限公司鲁山县生活垃圾焚烧发电项目</w:t>
            </w:r>
            <w:r>
              <w:rPr>
                <w:rFonts w:hint="eastAsia" w:cs="Times New Roman"/>
                <w:color w:val="auto"/>
                <w:kern w:val="0"/>
                <w:sz w:val="24"/>
                <w:highlight w:val="none"/>
                <w:lang w:val="en-US" w:eastAsia="zh-CN"/>
              </w:rPr>
              <w:t>自行</w:t>
            </w:r>
            <w:r>
              <w:rPr>
                <w:rFonts w:hint="eastAsia" w:ascii="Times New Roman" w:hAnsi="Times New Roman" w:eastAsia="宋体" w:cs="Times New Roman"/>
                <w:color w:val="auto"/>
                <w:kern w:val="0"/>
                <w:sz w:val="24"/>
                <w:highlight w:val="none"/>
                <w:lang w:val="en-US" w:eastAsia="zh-CN"/>
              </w:rPr>
              <w:t>监测报告中土壤监测数据（检测单位：</w:t>
            </w:r>
            <w:r>
              <w:rPr>
                <w:rFonts w:hint="eastAsia" w:cs="Times New Roman"/>
                <w:color w:val="auto"/>
                <w:kern w:val="0"/>
                <w:sz w:val="24"/>
                <w:highlight w:val="none"/>
                <w:lang w:val="en-US" w:eastAsia="zh-CN"/>
              </w:rPr>
              <w:t>河南中天高科检测技术服务有限公司</w:t>
            </w:r>
            <w:r>
              <w:rPr>
                <w:rFonts w:hint="eastAsia" w:ascii="Times New Roman" w:hAnsi="Times New Roman" w:eastAsia="宋体" w:cs="Times New Roman"/>
                <w:color w:val="auto"/>
                <w:kern w:val="0"/>
                <w:sz w:val="24"/>
                <w:highlight w:val="none"/>
                <w:lang w:val="en-US" w:eastAsia="zh-CN"/>
              </w:rPr>
              <w:t>，检测时间：202</w:t>
            </w:r>
            <w:r>
              <w:rPr>
                <w:rFonts w:hint="eastAsia" w:cs="Times New Roman"/>
                <w:color w:val="auto"/>
                <w:kern w:val="0"/>
                <w:sz w:val="24"/>
                <w:highlight w:val="none"/>
                <w:lang w:val="en-US" w:eastAsia="zh-CN"/>
              </w:rPr>
              <w:t>3</w:t>
            </w:r>
            <w:r>
              <w:rPr>
                <w:rFonts w:hint="eastAsia" w:ascii="Times New Roman" w:hAnsi="Times New Roman" w:eastAsia="宋体" w:cs="Times New Roman"/>
                <w:color w:val="auto"/>
                <w:kern w:val="0"/>
                <w:sz w:val="24"/>
                <w:highlight w:val="none"/>
                <w:lang w:val="en-US" w:eastAsia="zh-CN"/>
              </w:rPr>
              <w:t>年</w:t>
            </w:r>
            <w:r>
              <w:rPr>
                <w:rFonts w:hint="eastAsia" w:cs="Times New Roman"/>
                <w:color w:val="auto"/>
                <w:kern w:val="0"/>
                <w:sz w:val="24"/>
                <w:highlight w:val="none"/>
                <w:lang w:val="en-US" w:eastAsia="zh-CN"/>
              </w:rPr>
              <w:t>08</w:t>
            </w:r>
            <w:r>
              <w:rPr>
                <w:rFonts w:hint="eastAsia" w:ascii="Times New Roman" w:hAnsi="Times New Roman" w:eastAsia="宋体" w:cs="Times New Roman"/>
                <w:color w:val="auto"/>
                <w:kern w:val="0"/>
                <w:sz w:val="24"/>
                <w:highlight w:val="none"/>
                <w:lang w:val="en-US" w:eastAsia="zh-CN"/>
              </w:rPr>
              <w:t>月</w:t>
            </w:r>
            <w:r>
              <w:rPr>
                <w:rFonts w:hint="eastAsia" w:cs="Times New Roman"/>
                <w:color w:val="auto"/>
                <w:kern w:val="0"/>
                <w:sz w:val="24"/>
                <w:highlight w:val="none"/>
                <w:lang w:val="en-US" w:eastAsia="zh-CN"/>
              </w:rPr>
              <w:t>29</w:t>
            </w:r>
            <w:r>
              <w:rPr>
                <w:rFonts w:hint="eastAsia" w:ascii="Times New Roman" w:hAnsi="Times New Roman" w:eastAsia="宋体" w:cs="Times New Roman"/>
                <w:color w:val="auto"/>
                <w:kern w:val="0"/>
                <w:sz w:val="24"/>
                <w:highlight w:val="none"/>
                <w:lang w:val="en-US" w:eastAsia="zh-CN"/>
              </w:rPr>
              <w:t>日），</w:t>
            </w:r>
            <w:r>
              <w:rPr>
                <w:rFonts w:hint="eastAsia" w:cs="Times New Roman"/>
                <w:color w:val="auto"/>
                <w:kern w:val="0"/>
                <w:sz w:val="24"/>
                <w:highlight w:val="none"/>
                <w:lang w:val="en-US" w:eastAsia="zh-CN"/>
              </w:rPr>
              <w:t>见附件13，</w:t>
            </w:r>
            <w:r>
              <w:rPr>
                <w:rFonts w:hint="eastAsia" w:ascii="Times New Roman" w:hAnsi="Times New Roman" w:eastAsia="宋体" w:cs="Times New Roman"/>
                <w:color w:val="auto"/>
                <w:kern w:val="0"/>
                <w:sz w:val="24"/>
                <w:highlight w:val="none"/>
                <w:lang w:val="en-US" w:eastAsia="zh-CN"/>
              </w:rPr>
              <w:t>检测内容及检测结果见下表：</w:t>
            </w:r>
          </w:p>
          <w:p>
            <w:pPr>
              <w:keepNext w:val="0"/>
              <w:keepLines w:val="0"/>
              <w:pageBreakBefore w:val="0"/>
              <w:widowControl w:val="0"/>
              <w:kinsoku/>
              <w:wordWrap/>
              <w:overflowPunct/>
              <w:topLinePunct w:val="0"/>
              <w:autoSpaceDE w:val="0"/>
              <w:autoSpaceDN w:val="0"/>
              <w:bidi w:val="0"/>
              <w:adjustRightInd w:val="0"/>
              <w:snapToGrid w:val="0"/>
              <w:spacing w:line="280" w:lineRule="exact"/>
              <w:jc w:val="center"/>
              <w:textAlignment w:val="auto"/>
              <w:rPr>
                <w:rFonts w:hint="eastAsia" w:ascii="Times New Roman" w:hAnsi="Times New Roman" w:eastAsia="黑体" w:cs="Times New Roman"/>
                <w:color w:val="auto"/>
                <w:kern w:val="2"/>
                <w:sz w:val="24"/>
                <w:szCs w:val="24"/>
                <w:lang w:val="en-US" w:eastAsia="zh-CN" w:bidi="ar-SA"/>
              </w:rPr>
            </w:pPr>
            <w:r>
              <w:rPr>
                <w:rFonts w:hint="eastAsia" w:ascii="Times New Roman" w:hAnsi="Times New Roman" w:eastAsia="黑体" w:cs="Times New Roman"/>
                <w:color w:val="auto"/>
                <w:kern w:val="2"/>
                <w:sz w:val="24"/>
                <w:szCs w:val="24"/>
                <w:lang w:val="en-US" w:eastAsia="zh-CN" w:bidi="ar-SA"/>
              </w:rPr>
              <w:t>表27      土壤检测结果：    单位：mg／kg（另注除外）</w:t>
            </w:r>
          </w:p>
          <w:tbl>
            <w:tblPr>
              <w:tblStyle w:val="28"/>
              <w:tblW w:w="85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430"/>
              <w:gridCol w:w="3379"/>
              <w:gridCol w:w="1500"/>
              <w:gridCol w:w="1695"/>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9" w:hRule="atLeast"/>
                <w:jc w:val="center"/>
              </w:trPr>
              <w:tc>
                <w:tcPr>
                  <w:tcW w:w="4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序号</w:t>
                  </w:r>
                </w:p>
              </w:tc>
              <w:tc>
                <w:tcPr>
                  <w:tcW w:w="337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检测因子</w:t>
                  </w:r>
                </w:p>
              </w:tc>
              <w:tc>
                <w:tcPr>
                  <w:tcW w:w="150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采样时间</w:t>
                  </w:r>
                </w:p>
              </w:tc>
              <w:tc>
                <w:tcPr>
                  <w:tcW w:w="325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17" w:hRule="atLeast"/>
                <w:jc w:val="center"/>
              </w:trPr>
              <w:tc>
                <w:tcPr>
                  <w:tcW w:w="430" w:type="dxa"/>
                  <w:vMerge w:val="continue"/>
                </w:tcPr>
                <w:p>
                  <w:pPr>
                    <w:rPr>
                      <w:color w:val="auto"/>
                    </w:rPr>
                  </w:pPr>
                </w:p>
              </w:tc>
              <w:tc>
                <w:tcPr>
                  <w:tcW w:w="3379" w:type="dxa"/>
                  <w:vMerge w:val="continue"/>
                </w:tcPr>
                <w:p>
                  <w:pPr>
                    <w:rPr>
                      <w:color w:val="auto"/>
                    </w:rPr>
                  </w:pPr>
                </w:p>
              </w:tc>
              <w:tc>
                <w:tcPr>
                  <w:tcW w:w="1500" w:type="dxa"/>
                  <w:vMerge w:val="continue"/>
                </w:tcPr>
                <w:p>
                  <w:pPr>
                    <w:rPr>
                      <w:color w:val="auto"/>
                    </w:rPr>
                  </w:pP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郭沟村（</w:t>
                  </w:r>
                  <w:r>
                    <w:rPr>
                      <w:rFonts w:hint="eastAsia" w:cs="Times New Roman"/>
                      <w:b/>
                      <w:bCs w:val="0"/>
                      <w:color w:val="auto"/>
                      <w:sz w:val="21"/>
                      <w:lang w:val="en-US" w:eastAsia="zh-CN"/>
                    </w:rPr>
                    <w:t>0.2</w:t>
                  </w:r>
                  <w:r>
                    <w:rPr>
                      <w:rFonts w:hint="eastAsia" w:ascii="Times New Roman" w:hAnsi="Times New Roman" w:eastAsia="宋体" w:cs="Times New Roman"/>
                      <w:b/>
                      <w:bCs w:val="0"/>
                      <w:color w:val="auto"/>
                      <w:sz w:val="21"/>
                      <w:lang w:val="en-US" w:eastAsia="zh-CN"/>
                    </w:rPr>
                    <w:t>-0.</w:t>
                  </w:r>
                  <w:r>
                    <w:rPr>
                      <w:rFonts w:hint="eastAsia" w:cs="Times New Roman"/>
                      <w:b/>
                      <w:bCs w:val="0"/>
                      <w:color w:val="auto"/>
                      <w:sz w:val="21"/>
                      <w:lang w:val="en-US" w:eastAsia="zh-CN"/>
                    </w:rPr>
                    <w:t>5</w:t>
                  </w:r>
                  <w:r>
                    <w:rPr>
                      <w:rFonts w:hint="eastAsia" w:ascii="Times New Roman" w:hAnsi="Times New Roman" w:eastAsia="宋体" w:cs="Times New Roman"/>
                      <w:b/>
                      <w:bCs w:val="0"/>
                      <w:color w:val="auto"/>
                      <w:sz w:val="21"/>
                      <w:lang w:val="en-US" w:eastAsia="zh-CN"/>
                    </w:rPr>
                    <w:t>m）</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里瓦窑沟（</w:t>
                  </w:r>
                  <w:r>
                    <w:rPr>
                      <w:rFonts w:hint="eastAsia" w:cs="Times New Roman"/>
                      <w:b/>
                      <w:bCs w:val="0"/>
                      <w:color w:val="auto"/>
                      <w:sz w:val="21"/>
                      <w:lang w:val="en-US" w:eastAsia="zh-CN"/>
                    </w:rPr>
                    <w:t>0.2</w:t>
                  </w:r>
                  <w:r>
                    <w:rPr>
                      <w:rFonts w:hint="eastAsia" w:ascii="Times New Roman" w:hAnsi="Times New Roman" w:eastAsia="宋体" w:cs="Times New Roman"/>
                      <w:b/>
                      <w:bCs w:val="0"/>
                      <w:color w:val="auto"/>
                      <w:sz w:val="21"/>
                      <w:lang w:val="en-US" w:eastAsia="zh-CN"/>
                    </w:rPr>
                    <w:t>-0.</w:t>
                  </w:r>
                  <w:r>
                    <w:rPr>
                      <w:rFonts w:hint="eastAsia" w:cs="Times New Roman"/>
                      <w:b/>
                      <w:bCs w:val="0"/>
                      <w:color w:val="auto"/>
                      <w:sz w:val="21"/>
                      <w:lang w:val="en-US" w:eastAsia="zh-CN"/>
                    </w:rPr>
                    <w:t>5</w:t>
                  </w:r>
                  <w:r>
                    <w:rPr>
                      <w:rFonts w:hint="eastAsia" w:ascii="Times New Roman" w:hAnsi="Times New Roman" w:eastAsia="宋体" w:cs="Times New Roman"/>
                      <w:b/>
                      <w:bCs w:val="0"/>
                      <w:color w:val="auto"/>
                      <w:sz w:val="21"/>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97" w:hRule="atLeast"/>
                <w:jc w:val="center"/>
              </w:trPr>
              <w:tc>
                <w:tcPr>
                  <w:tcW w:w="430" w:type="dxa"/>
                  <w:vMerge w:val="continue"/>
                </w:tcPr>
                <w:p>
                  <w:pPr>
                    <w:rPr>
                      <w:color w:val="auto"/>
                    </w:rPr>
                  </w:pPr>
                </w:p>
              </w:tc>
              <w:tc>
                <w:tcPr>
                  <w:tcW w:w="3379" w:type="dxa"/>
                  <w:vMerge w:val="continue"/>
                </w:tcPr>
                <w:p>
                  <w:pPr>
                    <w:rPr>
                      <w:color w:val="auto"/>
                    </w:rPr>
                  </w:pPr>
                </w:p>
              </w:tc>
              <w:tc>
                <w:tcPr>
                  <w:tcW w:w="1500" w:type="dxa"/>
                  <w:vMerge w:val="continue"/>
                </w:tcPr>
                <w:p>
                  <w:pPr>
                    <w:rPr>
                      <w:color w:val="auto"/>
                    </w:rPr>
                  </w:pP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E113°0</w:t>
                  </w:r>
                  <w:r>
                    <w:rPr>
                      <w:rFonts w:hint="eastAsia" w:cs="Times New Roman"/>
                      <w:b/>
                      <w:bCs w:val="0"/>
                      <w:color w:val="auto"/>
                      <w:sz w:val="21"/>
                      <w:lang w:val="en-US" w:eastAsia="zh-CN"/>
                    </w:rPr>
                    <w:t>3</w:t>
                  </w:r>
                  <w:r>
                    <w:rPr>
                      <w:rFonts w:hint="eastAsia" w:ascii="Times New Roman" w:hAnsi="Times New Roman" w:eastAsia="宋体" w:cs="Times New Roman"/>
                      <w:b/>
                      <w:bCs w:val="0"/>
                      <w:color w:val="auto"/>
                      <w:sz w:val="21"/>
                      <w:lang w:val="en-US" w:eastAsia="zh-CN"/>
                    </w:rPr>
                    <w:t>'</w:t>
                  </w:r>
                  <w:r>
                    <w:rPr>
                      <w:rFonts w:hint="eastAsia" w:cs="Times New Roman"/>
                      <w:b/>
                      <w:bCs w:val="0"/>
                      <w:color w:val="auto"/>
                      <w:sz w:val="21"/>
                      <w:lang w:val="en-US" w:eastAsia="zh-CN"/>
                    </w:rPr>
                    <w:t>16</w:t>
                  </w:r>
                  <w:r>
                    <w:rPr>
                      <w:rFonts w:hint="eastAsia" w:ascii="Times New Roman" w:hAnsi="Times New Roman" w:eastAsia="宋体" w:cs="Times New Roman"/>
                      <w:b/>
                      <w:bCs w:val="0"/>
                      <w:color w:val="auto"/>
                      <w:sz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N33°</w:t>
                  </w:r>
                  <w:r>
                    <w:rPr>
                      <w:rFonts w:hint="eastAsia" w:cs="Times New Roman"/>
                      <w:b/>
                      <w:bCs w:val="0"/>
                      <w:color w:val="auto"/>
                      <w:sz w:val="21"/>
                      <w:lang w:val="en-US" w:eastAsia="zh-CN"/>
                    </w:rPr>
                    <w:t>6</w:t>
                  </w:r>
                  <w:r>
                    <w:rPr>
                      <w:rFonts w:hint="eastAsia" w:ascii="Times New Roman" w:hAnsi="Times New Roman" w:eastAsia="宋体" w:cs="Times New Roman"/>
                      <w:b/>
                      <w:bCs w:val="0"/>
                      <w:color w:val="auto"/>
                      <w:sz w:val="21"/>
                      <w:lang w:val="en-US" w:eastAsia="zh-CN"/>
                    </w:rPr>
                    <w:t>7'</w:t>
                  </w:r>
                  <w:r>
                    <w:rPr>
                      <w:rFonts w:hint="eastAsia" w:cs="Times New Roman"/>
                      <w:b/>
                      <w:bCs w:val="0"/>
                      <w:color w:val="auto"/>
                      <w:sz w:val="21"/>
                      <w:lang w:val="en-US" w:eastAsia="zh-CN"/>
                    </w:rPr>
                    <w:t>97</w:t>
                  </w:r>
                  <w:r>
                    <w:rPr>
                      <w:rFonts w:hint="eastAsia" w:ascii="Times New Roman" w:hAnsi="Times New Roman" w:eastAsia="宋体" w:cs="Times New Roman"/>
                      <w:b/>
                      <w:bCs w:val="0"/>
                      <w:color w:val="auto"/>
                      <w:sz w:val="21"/>
                      <w:lang w:val="en-US" w:eastAsia="zh-CN"/>
                    </w:rPr>
                    <w:t>"</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E113°01'3</w:t>
                  </w:r>
                  <w:r>
                    <w:rPr>
                      <w:rFonts w:hint="eastAsia" w:cs="Times New Roman"/>
                      <w:b/>
                      <w:bCs w:val="0"/>
                      <w:color w:val="auto"/>
                      <w:sz w:val="21"/>
                      <w:lang w:val="en-US" w:eastAsia="zh-CN"/>
                    </w:rPr>
                    <w:t>0</w:t>
                  </w:r>
                  <w:r>
                    <w:rPr>
                      <w:rFonts w:hint="eastAsia" w:ascii="Times New Roman" w:hAnsi="Times New Roman" w:eastAsia="宋体" w:cs="Times New Roman"/>
                      <w:b/>
                      <w:bCs w:val="0"/>
                      <w:color w:val="auto"/>
                      <w:sz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bCs w:val="0"/>
                      <w:color w:val="auto"/>
                      <w:sz w:val="21"/>
                      <w:lang w:val="en-US" w:eastAsia="zh-CN"/>
                    </w:rPr>
                  </w:pPr>
                  <w:r>
                    <w:rPr>
                      <w:rFonts w:hint="eastAsia" w:ascii="Times New Roman" w:hAnsi="Times New Roman" w:eastAsia="宋体" w:cs="Times New Roman"/>
                      <w:b/>
                      <w:bCs w:val="0"/>
                      <w:color w:val="auto"/>
                      <w:sz w:val="21"/>
                      <w:lang w:val="en-US" w:eastAsia="zh-CN"/>
                    </w:rPr>
                    <w:t>N33°</w:t>
                  </w:r>
                  <w:r>
                    <w:rPr>
                      <w:rFonts w:hint="eastAsia" w:cs="Times New Roman"/>
                      <w:b/>
                      <w:bCs w:val="0"/>
                      <w:color w:val="auto"/>
                      <w:sz w:val="21"/>
                      <w:lang w:val="en-US" w:eastAsia="zh-CN"/>
                    </w:rPr>
                    <w:t>61</w:t>
                  </w:r>
                  <w:r>
                    <w:rPr>
                      <w:rFonts w:hint="eastAsia" w:ascii="Times New Roman" w:hAnsi="Times New Roman" w:eastAsia="宋体" w:cs="Times New Roman"/>
                      <w:b/>
                      <w:bCs w:val="0"/>
                      <w:color w:val="auto"/>
                      <w:sz w:val="21"/>
                      <w:lang w:val="en-US" w:eastAsia="zh-CN"/>
                    </w:rPr>
                    <w:t>'2</w:t>
                  </w:r>
                  <w:r>
                    <w:rPr>
                      <w:rFonts w:hint="eastAsia" w:cs="Times New Roman"/>
                      <w:b/>
                      <w:bCs w:val="0"/>
                      <w:color w:val="auto"/>
                      <w:sz w:val="21"/>
                      <w:lang w:val="en-US" w:eastAsia="zh-CN"/>
                    </w:rPr>
                    <w:t>6</w:t>
                  </w:r>
                  <w:r>
                    <w:rPr>
                      <w:rFonts w:hint="eastAsia" w:ascii="Times New Roman" w:hAnsi="Times New Roman" w:eastAsia="宋体" w:cs="Times New Roman"/>
                      <w:b/>
                      <w:bCs w:val="0"/>
                      <w:color w:val="auto"/>
                      <w:sz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52"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砷（mg／kg）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16.6</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55"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镉（mg／kg）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0.17</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52"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六价铬（mg／kg）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5"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铜（mg／kg）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23</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5"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5</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铅（mg／kg）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58.3</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9"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6</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汞（mg／kg）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0.046</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38"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7</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镍（mg／kg）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28</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38"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8</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钴</w:t>
                  </w:r>
                  <w:r>
                    <w:rPr>
                      <w:rFonts w:hint="eastAsia" w:ascii="Times New Roman" w:hAnsi="Times New Roman" w:eastAsia="宋体" w:cs="Times New Roman"/>
                      <w:b w:val="0"/>
                      <w:bCs/>
                      <w:color w:val="auto"/>
                      <w:sz w:val="21"/>
                      <w:lang w:val="en-US" w:eastAsia="zh-CN"/>
                    </w:rPr>
                    <w:t>（mg／kg）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color w:val="auto"/>
                      <w:sz w:val="21"/>
                      <w:lang w:val="en-US" w:eastAsia="zh-CN"/>
                    </w:rPr>
                  </w:pPr>
                  <w:r>
                    <w:rPr>
                      <w:rFonts w:hint="eastAsia" w:cs="Times New Roman"/>
                      <w:b w:val="0"/>
                      <w:bCs/>
                      <w:color w:val="auto"/>
                      <w:sz w:val="21"/>
                      <w:lang w:val="en-US" w:eastAsia="zh-CN"/>
                    </w:rPr>
                    <w:t>12.6</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color w:val="auto"/>
                      <w:sz w:val="21"/>
                      <w:lang w:val="en-US" w:eastAsia="zh-CN"/>
                    </w:rPr>
                  </w:pPr>
                  <w:r>
                    <w:rPr>
                      <w:rFonts w:hint="eastAsia" w:cs="Times New Roman"/>
                      <w:b w:val="0"/>
                      <w:bCs/>
                      <w:color w:val="auto"/>
                      <w:sz w:val="21"/>
                      <w:lang w:val="en-US" w:eastAsia="zh-CN"/>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62"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9</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四氯化碳</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10</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氯仿</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76"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11</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1，1-二氯乙烷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66"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12</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1，2-二氯乙烷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16"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13</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1，1-二氯乙烯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44"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14</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顺-1，2-二氯乙烯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1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15</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反-1，2-二氯乙烯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07"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16</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二氯甲烷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39"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17</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1，2-二氯丙烷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0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18</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1，1，1，2-四氯乙烷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5"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19</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1，1，2，2-四氯乙烷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9"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四氯乙烯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52"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21</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1，1，1-三氯乙烷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17"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22</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1，1，2-三氯乙烷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23"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23</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三氯乙烯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70"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24</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1，2，3-三氯丙烷</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68"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25</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氯乙烯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26</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27</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氯苯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28</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1，2-二氯苯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29</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1，4-二氯苯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30</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乙苯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54"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31</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苯乙烯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32</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甲苯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33</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间＋对-二甲苯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68"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w:t>
                  </w:r>
                  <w:r>
                    <w:rPr>
                      <w:rFonts w:hint="eastAsia" w:cs="Times New Roman"/>
                      <w:b w:val="0"/>
                      <w:bCs/>
                      <w:color w:val="auto"/>
                      <w:sz w:val="21"/>
                      <w:lang w:val="en-US" w:eastAsia="zh-CN"/>
                    </w:rPr>
                    <w:t>4</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邻-二甲苯</w:t>
                  </w:r>
                  <w:r>
                    <w:rPr>
                      <w:rFonts w:hint="eastAsia" w:cs="Times New Roman"/>
                      <w:b w:val="0"/>
                      <w:bCs/>
                      <w:color w:val="auto"/>
                      <w:sz w:val="21"/>
                      <w:lang w:val="en-US" w:eastAsia="zh-CN"/>
                    </w:rPr>
                    <w:t>（</w:t>
                  </w:r>
                  <w:r>
                    <w:rPr>
                      <w:rFonts w:hint="eastAsia" w:ascii="Times New Roman" w:hAnsi="Times New Roman" w:eastAsia="黑体" w:cs="Times New Roman"/>
                      <w:color w:val="auto"/>
                      <w:kern w:val="2"/>
                      <w:sz w:val="24"/>
                      <w:szCs w:val="24"/>
                      <w:lang w:val="en-US" w:eastAsia="zh-CN" w:bidi="ar-SA"/>
                    </w:rPr>
                    <w:t>μg／kg</w:t>
                  </w:r>
                  <w:r>
                    <w:rPr>
                      <w:rFonts w:hint="eastAsia" w:cs="Times New Roman"/>
                      <w:b w:val="0"/>
                      <w:bCs/>
                      <w:color w:val="auto"/>
                      <w:sz w:val="21"/>
                      <w:lang w:val="en-US" w:eastAsia="zh-CN"/>
                    </w:rPr>
                    <w:t>）</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67"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w:t>
                  </w:r>
                  <w:r>
                    <w:rPr>
                      <w:rFonts w:hint="eastAsia" w:cs="Times New Roman"/>
                      <w:b w:val="0"/>
                      <w:bCs/>
                      <w:color w:val="auto"/>
                      <w:sz w:val="21"/>
                      <w:lang w:val="en-US" w:eastAsia="zh-CN"/>
                    </w:rPr>
                    <w:t>5</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硝基苯（mg／kg）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w:t>
                  </w:r>
                  <w:r>
                    <w:rPr>
                      <w:rFonts w:hint="eastAsia" w:cs="Times New Roman"/>
                      <w:b w:val="0"/>
                      <w:bCs/>
                      <w:color w:val="auto"/>
                      <w:sz w:val="21"/>
                      <w:lang w:val="en-US" w:eastAsia="zh-CN"/>
                    </w:rPr>
                    <w:t>6</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苯胺（mg／kg）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81"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w:t>
                  </w:r>
                  <w:r>
                    <w:rPr>
                      <w:rFonts w:hint="eastAsia" w:cs="Times New Roman"/>
                      <w:b w:val="0"/>
                      <w:bCs/>
                      <w:color w:val="auto"/>
                      <w:sz w:val="21"/>
                      <w:lang w:val="en-US" w:eastAsia="zh-CN"/>
                    </w:rPr>
                    <w:t>7</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2-氯酚（mg／kg）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6"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3</w:t>
                  </w:r>
                  <w:r>
                    <w:rPr>
                      <w:rFonts w:hint="eastAsia" w:cs="Times New Roman"/>
                      <w:b w:val="0"/>
                      <w:bCs/>
                      <w:color w:val="auto"/>
                      <w:sz w:val="21"/>
                      <w:lang w:val="en-US" w:eastAsia="zh-CN"/>
                    </w:rPr>
                    <w:t>8</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苯并［a］蒽（mg／kg）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4"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39</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苯并［a］芘（mg／kg）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54"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w:t>
                  </w:r>
                  <w:r>
                    <w:rPr>
                      <w:rFonts w:hint="eastAsia" w:cs="Times New Roman"/>
                      <w:b w:val="0"/>
                      <w:bCs/>
                      <w:color w:val="auto"/>
                      <w:sz w:val="21"/>
                      <w:lang w:val="en-US" w:eastAsia="zh-CN"/>
                    </w:rPr>
                    <w:t>0</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苯并［b］荧蒽（mg／kg）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99"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w:t>
                  </w:r>
                  <w:r>
                    <w:rPr>
                      <w:rFonts w:hint="eastAsia" w:cs="Times New Roman"/>
                      <w:b w:val="0"/>
                      <w:bCs/>
                      <w:color w:val="auto"/>
                      <w:sz w:val="21"/>
                      <w:lang w:val="en-US" w:eastAsia="zh-CN"/>
                    </w:rPr>
                    <w:t>1</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苯并［k］荧蒽（mg／kg）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w:t>
                  </w:r>
                  <w:r>
                    <w:rPr>
                      <w:rFonts w:hint="eastAsia" w:cs="Times New Roman"/>
                      <w:b w:val="0"/>
                      <w:bCs/>
                      <w:color w:val="auto"/>
                      <w:sz w:val="21"/>
                      <w:lang w:val="en-US" w:eastAsia="zh-CN"/>
                    </w:rPr>
                    <w:t>2</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 xml:space="preserve"> 䓛（mg／kg）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93"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color w:val="auto"/>
                      <w:sz w:val="21"/>
                      <w:lang w:val="en-US" w:eastAsia="zh-CN"/>
                    </w:rPr>
                  </w:pPr>
                  <w:r>
                    <w:rPr>
                      <w:rFonts w:hint="eastAsia" w:cs="Times New Roman"/>
                      <w:b w:val="0"/>
                      <w:bCs/>
                      <w:color w:val="auto"/>
                      <w:sz w:val="21"/>
                      <w:lang w:val="en-US" w:eastAsia="zh-CN"/>
                    </w:rPr>
                    <w:t>43</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二苯并［a,h］蒽（mg／kg）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54"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w:t>
                  </w:r>
                  <w:r>
                    <w:rPr>
                      <w:rFonts w:hint="eastAsia" w:cs="Times New Roman"/>
                      <w:b w:val="0"/>
                      <w:bCs/>
                      <w:color w:val="auto"/>
                      <w:sz w:val="21"/>
                      <w:lang w:val="en-US" w:eastAsia="zh-CN"/>
                    </w:rPr>
                    <w:t>4</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茚并[1,2,3-cd]芘（mg／kg）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43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4</w:t>
                  </w:r>
                  <w:r>
                    <w:rPr>
                      <w:rFonts w:hint="eastAsia" w:cs="Times New Roman"/>
                      <w:b w:val="0"/>
                      <w:bCs/>
                      <w:color w:val="auto"/>
                      <w:sz w:val="21"/>
                      <w:lang w:val="en-US" w:eastAsia="zh-CN"/>
                    </w:rPr>
                    <w:t>5</w:t>
                  </w:r>
                </w:p>
              </w:tc>
              <w:tc>
                <w:tcPr>
                  <w:tcW w:w="337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萘（mg／kg）</w:t>
                  </w:r>
                </w:p>
              </w:tc>
              <w:tc>
                <w:tcPr>
                  <w:tcW w:w="150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2023.08.29</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c>
                <w:tcPr>
                  <w:tcW w:w="156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color w:val="auto"/>
                      <w:sz w:val="21"/>
                      <w:lang w:val="en-US" w:eastAsia="zh-CN"/>
                    </w:rPr>
                  </w:pPr>
                  <w:r>
                    <w:rPr>
                      <w:rFonts w:hint="eastAsia" w:ascii="Times New Roman" w:hAnsi="Times New Roman" w:eastAsia="宋体" w:cs="Times New Roman"/>
                      <w:b w:val="0"/>
                      <w:bCs/>
                      <w:color w:val="auto"/>
                      <w:sz w:val="21"/>
                      <w:lang w:val="en-US" w:eastAsia="zh-CN"/>
                    </w:rPr>
                    <w:t>未检出</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shd w:val="clear"/>
                <w:lang w:val="en-US" w:eastAsia="zh-CN"/>
              </w:rPr>
              <w:t>由上表土壤监测结果可知，</w:t>
            </w:r>
            <w:r>
              <w:rPr>
                <w:rFonts w:hint="eastAsia"/>
                <w:color w:val="auto"/>
                <w:sz w:val="24"/>
                <w:szCs w:val="24"/>
                <w:highlight w:val="none"/>
                <w:shd w:val="clear"/>
              </w:rPr>
              <w:t>土壤监测点位的</w:t>
            </w:r>
            <w:r>
              <w:rPr>
                <w:rFonts w:hint="eastAsia"/>
                <w:color w:val="auto"/>
                <w:sz w:val="24"/>
                <w:szCs w:val="24"/>
                <w:highlight w:val="none"/>
                <w:shd w:val="clear"/>
                <w:lang w:val="en-US" w:eastAsia="zh-CN"/>
              </w:rPr>
              <w:t>因子</w:t>
            </w:r>
            <w:r>
              <w:rPr>
                <w:rFonts w:hint="eastAsia"/>
                <w:color w:val="auto"/>
                <w:sz w:val="24"/>
                <w:szCs w:val="24"/>
                <w:highlight w:val="none"/>
                <w:shd w:val="clear"/>
              </w:rPr>
              <w:t>能够满足《土壤环境质量 建设用地土壤污染风险管控标准（试行）》（GB36600-2018）表1和2筛选值。</w:t>
            </w:r>
            <w:r>
              <w:rPr>
                <w:rFonts w:hint="eastAsia"/>
                <w:color w:val="auto"/>
                <w:sz w:val="24"/>
                <w:szCs w:val="24"/>
                <w:highlight w:val="none"/>
                <w:shd w:val="clear"/>
                <w:lang w:val="en-US" w:eastAsia="zh-CN"/>
              </w:rPr>
              <w:t>因此本项目所在地土壤现状良好。</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Times New Roman"/>
                <w:b/>
                <w:bCs/>
                <w:color w:val="auto"/>
                <w:sz w:val="24"/>
                <w:szCs w:val="20"/>
                <w:lang w:val="en-US" w:eastAsia="zh-CN"/>
              </w:rPr>
            </w:pPr>
            <w:r>
              <w:rPr>
                <w:rFonts w:hint="eastAsia" w:cs="Times New Roman"/>
                <w:b/>
                <w:bCs/>
                <w:color w:val="auto"/>
                <w:sz w:val="24"/>
                <w:szCs w:val="20"/>
                <w:lang w:val="en-US" w:eastAsia="zh-CN"/>
              </w:rPr>
              <w:t>6</w:t>
            </w:r>
            <w:r>
              <w:rPr>
                <w:rFonts w:ascii="Times New Roman" w:hAnsi="Times New Roman" w:cs="Times New Roman"/>
                <w:b/>
                <w:bCs/>
                <w:color w:val="auto"/>
                <w:sz w:val="24"/>
                <w:szCs w:val="20"/>
              </w:rPr>
              <w:t>生态环境</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left"/>
              <w:textAlignment w:val="auto"/>
              <w:rPr>
                <w:rFonts w:ascii="Times New Roman" w:hAnsi="Times New Roman" w:cs="Times New Roman"/>
                <w:color w:val="auto"/>
                <w:sz w:val="24"/>
              </w:rPr>
            </w:pPr>
            <w:r>
              <w:rPr>
                <w:rFonts w:ascii="Times New Roman" w:hAnsi="Times New Roman" w:cs="Times New Roman"/>
                <w:color w:val="auto"/>
                <w:sz w:val="24"/>
              </w:rPr>
              <w:t>经现场调查，</w:t>
            </w:r>
            <w:r>
              <w:rPr>
                <w:rFonts w:ascii="Times New Roman" w:hAnsi="Times New Roman" w:eastAsia="宋体" w:cs="Times New Roman"/>
                <w:color w:val="auto"/>
                <w:kern w:val="2"/>
                <w:sz w:val="24"/>
                <w:szCs w:val="24"/>
                <w:lang w:val="en-US" w:eastAsia="zh-CN" w:bidi="ar-SA"/>
              </w:rPr>
              <w:t>本项目评价区域没有自然保护区、风景名胜区和受国家保护的野生动植物种类，所在区域以道路、工业厂房等人工生态系统为主。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88" w:hRule="atLeast"/>
          <w:jc w:val="center"/>
        </w:trPr>
        <w:tc>
          <w:tcPr>
            <w:tcW w:w="532" w:type="dxa"/>
            <w:vAlign w:val="center"/>
          </w:tcPr>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环境</w:t>
            </w:r>
          </w:p>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保护</w:t>
            </w:r>
          </w:p>
          <w:p>
            <w:pPr>
              <w:spacing w:line="400" w:lineRule="exact"/>
              <w:jc w:val="center"/>
              <w:rPr>
                <w:rFonts w:ascii="Times New Roman" w:hAnsi="Times New Roman" w:cs="Times New Roman"/>
                <w:b/>
                <w:bCs/>
                <w:color w:val="auto"/>
                <w:sz w:val="28"/>
                <w:szCs w:val="28"/>
              </w:rPr>
            </w:pPr>
            <w:r>
              <w:rPr>
                <w:rFonts w:ascii="Times New Roman" w:hAnsi="Times New Roman" w:cs="Times New Roman"/>
                <w:b/>
                <w:bCs/>
                <w:color w:val="auto"/>
                <w:sz w:val="24"/>
              </w:rPr>
              <w:t>目标</w:t>
            </w:r>
          </w:p>
        </w:tc>
        <w:tc>
          <w:tcPr>
            <w:tcW w:w="8751" w:type="dxa"/>
            <w:vAlign w:val="center"/>
          </w:tcPr>
          <w:p>
            <w:pPr>
              <w:spacing w:line="460" w:lineRule="exact"/>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rPr>
              <w:t>厂界外500米范围内无地下水集中式饮用水水源和热水、矿泉水、温泉等特殊地下水资源。</w:t>
            </w:r>
            <w:r>
              <w:rPr>
                <w:rFonts w:hint="eastAsia" w:ascii="Times New Roman" w:hAnsi="Times New Roman" w:eastAsia="宋体" w:cs="Times New Roman"/>
                <w:color w:val="auto"/>
                <w:sz w:val="24"/>
                <w:lang w:val="en-US" w:eastAsia="zh-CN"/>
              </w:rPr>
              <w:t>项目厂界外500m范围内</w:t>
            </w:r>
            <w:r>
              <w:rPr>
                <w:rFonts w:hint="eastAsia" w:ascii="Times New Roman" w:hAnsi="Times New Roman" w:eastAsia="宋体" w:cs="Times New Roman"/>
                <w:color w:val="auto"/>
                <w:sz w:val="24"/>
              </w:rPr>
              <w:t>主要环境保护目标分布见附图</w:t>
            </w:r>
            <w:r>
              <w:rPr>
                <w:rFonts w:hint="eastAsia" w:ascii="Times New Roman" w:hAnsi="Times New Roman" w:cs="Times New Roman"/>
                <w:color w:val="auto"/>
                <w:sz w:val="24"/>
                <w:lang w:val="en-US" w:eastAsia="zh-CN"/>
              </w:rPr>
              <w:t>2</w:t>
            </w:r>
            <w:r>
              <w:rPr>
                <w:rFonts w:hint="eastAsia" w:ascii="Times New Roman" w:hAnsi="Times New Roman" w:eastAsia="宋体" w:cs="Times New Roman"/>
                <w:color w:val="auto"/>
                <w:sz w:val="24"/>
              </w:rPr>
              <w:t>。</w:t>
            </w:r>
          </w:p>
          <w:p>
            <w:pPr>
              <w:spacing w:line="520" w:lineRule="exact"/>
              <w:jc w:val="center"/>
              <w:rPr>
                <w:rFonts w:ascii="Times New Roman" w:hAnsi="Times New Roman" w:eastAsia="黑体" w:cs="Times New Roman"/>
                <w:color w:val="auto"/>
                <w:sz w:val="24"/>
                <w:highlight w:val="yellow"/>
              </w:rPr>
            </w:pPr>
            <w:r>
              <w:rPr>
                <w:rFonts w:hint="eastAsia" w:ascii="Times New Roman" w:hAnsi="Times New Roman" w:eastAsia="黑体" w:cs="Times New Roman"/>
                <w:b w:val="0"/>
                <w:bCs w:val="0"/>
                <w:color w:val="auto"/>
                <w:sz w:val="24"/>
                <w:szCs w:val="24"/>
                <w:lang w:val="en-US" w:eastAsia="zh-CN"/>
              </w:rPr>
              <w:t>表</w:t>
            </w:r>
            <w:r>
              <w:rPr>
                <w:rFonts w:hint="eastAsia" w:eastAsia="黑体" w:cs="Times New Roman"/>
                <w:b w:val="0"/>
                <w:bCs w:val="0"/>
                <w:color w:val="auto"/>
                <w:sz w:val="24"/>
                <w:szCs w:val="24"/>
                <w:lang w:val="en-US" w:eastAsia="zh-CN"/>
              </w:rPr>
              <w:t>28</w:t>
            </w:r>
            <w:r>
              <w:rPr>
                <w:rFonts w:hint="eastAsia" w:ascii="Times New Roman" w:hAnsi="Times New Roman" w:eastAsia="黑体" w:cs="Times New Roman"/>
                <w:b w:val="0"/>
                <w:bCs w:val="0"/>
                <w:color w:val="auto"/>
                <w:sz w:val="24"/>
                <w:szCs w:val="24"/>
                <w:lang w:val="en-US" w:eastAsia="zh-CN"/>
              </w:rPr>
              <w:t xml:space="preserve"> </w:t>
            </w:r>
            <w:r>
              <w:rPr>
                <w:rFonts w:hint="eastAsia" w:eastAsia="黑体" w:cs="Times New Roman"/>
                <w:b w:val="0"/>
                <w:bCs w:val="0"/>
                <w:color w:val="auto"/>
                <w:sz w:val="24"/>
                <w:szCs w:val="24"/>
                <w:lang w:val="en-US" w:eastAsia="zh-CN"/>
              </w:rPr>
              <w:t xml:space="preserve">     </w:t>
            </w:r>
            <w:r>
              <w:rPr>
                <w:rFonts w:ascii="Times New Roman" w:hAnsi="Times New Roman" w:eastAsia="黑体" w:cs="Times New Roman"/>
                <w:color w:val="auto"/>
                <w:sz w:val="24"/>
                <w:highlight w:val="none"/>
              </w:rPr>
              <w:t>主要环境保护目标</w:t>
            </w:r>
          </w:p>
          <w:tbl>
            <w:tblPr>
              <w:tblStyle w:val="28"/>
              <w:tblW w:w="859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948"/>
              <w:gridCol w:w="21"/>
              <w:gridCol w:w="950"/>
              <w:gridCol w:w="1611"/>
              <w:gridCol w:w="1185"/>
              <w:gridCol w:w="1020"/>
              <w:gridCol w:w="16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9" w:hRule="atLeast"/>
              </w:trPr>
              <w:tc>
                <w:tcPr>
                  <w:tcW w:w="685" w:type="pct"/>
                  <w:tcBorders>
                    <w:top w:val="single" w:color="auto" w:sz="4" w:space="0"/>
                    <w:left w:val="single" w:color="auto" w:sz="0" w:space="0"/>
                  </w:tcBorders>
                  <w:noWrap w:val="0"/>
                  <w:vAlign w:val="center"/>
                </w:tcPr>
                <w:p>
                  <w:pPr>
                    <w:adjustRightInd w:val="0"/>
                    <w:snapToGrid w:val="0"/>
                    <w:spacing w:line="276" w:lineRule="auto"/>
                    <w:jc w:val="center"/>
                    <w:rPr>
                      <w:rFonts w:ascii="Times New Roman" w:hAnsi="Times New Roman" w:cs="Times New Roman"/>
                      <w:color w:val="auto"/>
                      <w:szCs w:val="21"/>
                    </w:rPr>
                  </w:pPr>
                  <w:r>
                    <w:rPr>
                      <w:rFonts w:ascii="Times New Roman" w:hAnsi="Times New Roman" w:cs="Times New Roman"/>
                      <w:color w:val="auto"/>
                      <w:szCs w:val="21"/>
                    </w:rPr>
                    <w:t>环境保护对象</w:t>
                  </w:r>
                </w:p>
              </w:tc>
              <w:tc>
                <w:tcPr>
                  <w:tcW w:w="563" w:type="pct"/>
                  <w:gridSpan w:val="2"/>
                  <w:tcBorders>
                    <w:top w:val="single" w:color="auto" w:sz="4" w:space="0"/>
                  </w:tcBorders>
                  <w:noWrap w:val="0"/>
                  <w:vAlign w:val="center"/>
                </w:tcPr>
                <w:p>
                  <w:pPr>
                    <w:adjustRightInd w:val="0"/>
                    <w:snapToGrid w:val="0"/>
                    <w:spacing w:line="276" w:lineRule="auto"/>
                    <w:jc w:val="center"/>
                    <w:rPr>
                      <w:rFonts w:ascii="Times New Roman" w:hAnsi="Times New Roman" w:cs="Times New Roman"/>
                      <w:color w:val="auto"/>
                      <w:szCs w:val="21"/>
                    </w:rPr>
                  </w:pPr>
                  <w:r>
                    <w:rPr>
                      <w:rFonts w:ascii="Times New Roman" w:hAnsi="Times New Roman" w:cs="Times New Roman"/>
                      <w:color w:val="auto"/>
                      <w:szCs w:val="21"/>
                    </w:rPr>
                    <w:t>环境保护对象名称</w:t>
                  </w:r>
                </w:p>
              </w:tc>
              <w:tc>
                <w:tcPr>
                  <w:tcW w:w="552" w:type="pct"/>
                  <w:tcBorders>
                    <w:top w:val="single" w:color="auto" w:sz="4" w:space="0"/>
                  </w:tcBorders>
                  <w:noWrap w:val="0"/>
                  <w:vAlign w:val="center"/>
                </w:tcPr>
                <w:p>
                  <w:pPr>
                    <w:spacing w:line="276" w:lineRule="auto"/>
                    <w:jc w:val="center"/>
                    <w:rPr>
                      <w:rFonts w:ascii="Times New Roman" w:hAnsi="Times New Roman" w:cs="Times New Roman"/>
                      <w:color w:val="auto"/>
                      <w:szCs w:val="21"/>
                    </w:rPr>
                  </w:pPr>
                  <w:r>
                    <w:rPr>
                      <w:rFonts w:ascii="Times New Roman" w:hAnsi="Times New Roman" w:cs="Times New Roman"/>
                      <w:color w:val="auto"/>
                      <w:szCs w:val="21"/>
                    </w:rPr>
                    <w:t>方位</w:t>
                  </w:r>
                </w:p>
              </w:tc>
              <w:tc>
                <w:tcPr>
                  <w:tcW w:w="937" w:type="pct"/>
                  <w:tcBorders>
                    <w:top w:val="single" w:color="auto" w:sz="4" w:space="0"/>
                  </w:tcBorders>
                  <w:noWrap w:val="0"/>
                  <w:vAlign w:val="center"/>
                </w:tcPr>
                <w:p>
                  <w:pPr>
                    <w:spacing w:line="276" w:lineRule="auto"/>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经纬度</w:t>
                  </w:r>
                </w:p>
              </w:tc>
              <w:tc>
                <w:tcPr>
                  <w:tcW w:w="689" w:type="pct"/>
                  <w:tcBorders>
                    <w:top w:val="single" w:color="auto" w:sz="4" w:space="0"/>
                  </w:tcBorders>
                  <w:noWrap w:val="0"/>
                  <w:vAlign w:val="center"/>
                </w:tcPr>
                <w:p>
                  <w:pPr>
                    <w:spacing w:line="276" w:lineRule="auto"/>
                    <w:jc w:val="center"/>
                    <w:rPr>
                      <w:rFonts w:ascii="Times New Roman" w:hAnsi="Times New Roman" w:cs="Times New Roman"/>
                      <w:color w:val="auto"/>
                      <w:szCs w:val="21"/>
                    </w:rPr>
                  </w:pPr>
                  <w:r>
                    <w:rPr>
                      <w:rFonts w:ascii="Times New Roman" w:hAnsi="Times New Roman" w:cs="Times New Roman"/>
                      <w:color w:val="auto"/>
                      <w:szCs w:val="21"/>
                    </w:rPr>
                    <w:t>距离</w:t>
                  </w:r>
                </w:p>
              </w:tc>
              <w:tc>
                <w:tcPr>
                  <w:tcW w:w="593" w:type="pct"/>
                  <w:tcBorders>
                    <w:top w:val="single" w:color="auto" w:sz="4" w:space="0"/>
                  </w:tcBorders>
                  <w:noWrap w:val="0"/>
                  <w:vAlign w:val="center"/>
                </w:tcPr>
                <w:p>
                  <w:pPr>
                    <w:spacing w:line="276" w:lineRule="auto"/>
                    <w:jc w:val="center"/>
                    <w:rPr>
                      <w:rFonts w:ascii="Times New Roman" w:hAnsi="Times New Roman" w:cs="Times New Roman"/>
                      <w:color w:val="auto"/>
                      <w:szCs w:val="21"/>
                    </w:rPr>
                  </w:pPr>
                  <w:r>
                    <w:rPr>
                      <w:rFonts w:ascii="Times New Roman" w:hAnsi="Times New Roman" w:cs="Times New Roman"/>
                      <w:color w:val="auto"/>
                      <w:szCs w:val="21"/>
                    </w:rPr>
                    <w:t>规模</w:t>
                  </w:r>
                </w:p>
              </w:tc>
              <w:tc>
                <w:tcPr>
                  <w:tcW w:w="978" w:type="pct"/>
                  <w:tcBorders>
                    <w:top w:val="single" w:color="auto" w:sz="4" w:space="0"/>
                    <w:right w:val="single" w:color="auto" w:sz="4" w:space="0"/>
                  </w:tcBorders>
                  <w:noWrap w:val="0"/>
                  <w:vAlign w:val="center"/>
                </w:tcPr>
                <w:p>
                  <w:pPr>
                    <w:spacing w:line="276" w:lineRule="auto"/>
                    <w:jc w:val="center"/>
                    <w:rPr>
                      <w:rFonts w:ascii="Times New Roman" w:hAnsi="Times New Roman" w:cs="Times New Roman"/>
                      <w:color w:val="auto"/>
                      <w:szCs w:val="21"/>
                    </w:rPr>
                  </w:pPr>
                  <w:r>
                    <w:rPr>
                      <w:rFonts w:ascii="Times New Roman" w:hAnsi="Times New Roman" w:cs="Times New Roman"/>
                      <w:color w:val="auto"/>
                      <w:szCs w:val="21"/>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685" w:type="pct"/>
                  <w:vMerge w:val="restart"/>
                  <w:tcBorders>
                    <w:left w:val="single" w:color="auto" w:sz="4" w:space="0"/>
                  </w:tcBorders>
                  <w:noWrap w:val="0"/>
                  <w:vAlign w:val="center"/>
                </w:tcPr>
                <w:p>
                  <w:pPr>
                    <w:spacing w:line="360" w:lineRule="exact"/>
                    <w:jc w:val="center"/>
                    <w:rPr>
                      <w:rFonts w:hint="eastAsia" w:ascii="Times New Roman" w:hAnsi="Times New Roman" w:eastAsia="宋体" w:cs="Times New Roman"/>
                      <w:color w:val="auto"/>
                      <w:szCs w:val="21"/>
                      <w:lang w:val="en-US" w:eastAsia="zh-CN"/>
                    </w:rPr>
                  </w:pPr>
                  <w:r>
                    <w:rPr>
                      <w:rFonts w:ascii="Times New Roman" w:hAnsi="Times New Roman" w:cs="Times New Roman"/>
                      <w:color w:val="auto"/>
                    </w:rPr>
                    <w:t>环境空气</w:t>
                  </w:r>
                </w:p>
              </w:tc>
              <w:tc>
                <w:tcPr>
                  <w:tcW w:w="551" w:type="pct"/>
                  <w:noWrap w:val="0"/>
                  <w:vAlign w:val="center"/>
                </w:tcPr>
                <w:p>
                  <w:pPr>
                    <w:spacing w:line="276"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里瓦窑沟</w:t>
                  </w:r>
                </w:p>
              </w:tc>
              <w:tc>
                <w:tcPr>
                  <w:tcW w:w="564" w:type="pct"/>
                  <w:gridSpan w:val="2"/>
                  <w:noWrap w:val="0"/>
                  <w:vAlign w:val="center"/>
                </w:tcPr>
                <w:p>
                  <w:pPr>
                    <w:spacing w:line="276"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西</w:t>
                  </w:r>
                </w:p>
              </w:tc>
              <w:tc>
                <w:tcPr>
                  <w:tcW w:w="937" w:type="pct"/>
                  <w:noWrap w:val="0"/>
                  <w:vAlign w:val="center"/>
                </w:tcPr>
                <w:p>
                  <w:pPr>
                    <w:spacing w:line="276" w:lineRule="auto"/>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rPr>
                    <w:t>经度 11</w:t>
                  </w:r>
                  <w:r>
                    <w:rPr>
                      <w:rFonts w:hint="eastAsia" w:ascii="Times New Roman" w:hAnsi="Times New Roman" w:eastAsia="宋体" w:cs="Times New Roman"/>
                      <w:color w:val="auto"/>
                      <w:szCs w:val="21"/>
                      <w:lang w:val="en-US" w:eastAsia="zh-CN"/>
                    </w:rPr>
                    <w:t>3</w:t>
                  </w:r>
                  <w:r>
                    <w:rPr>
                      <w:rFonts w:ascii="Times New Roman" w:hAnsi="Times New Roman" w:eastAsia="宋体" w:cs="Times New Roman"/>
                      <w:color w:val="auto"/>
                      <w:szCs w:val="21"/>
                    </w:rPr>
                    <w:t xml:space="preserve"> 度 </w:t>
                  </w:r>
                  <w:r>
                    <w:rPr>
                      <w:rFonts w:hint="eastAsia" w:ascii="Times New Roman" w:hAnsi="Times New Roman" w:eastAsia="宋体" w:cs="Times New Roman"/>
                      <w:color w:val="auto"/>
                      <w:szCs w:val="21"/>
                      <w:lang w:val="en-US" w:eastAsia="zh-CN"/>
                    </w:rPr>
                    <w:t>02</w:t>
                  </w:r>
                  <w:r>
                    <w:rPr>
                      <w:rFonts w:ascii="Times New Roman" w:hAnsi="Times New Roman" w:eastAsia="宋体" w:cs="Times New Roman"/>
                      <w:color w:val="auto"/>
                      <w:szCs w:val="21"/>
                    </w:rPr>
                    <w:t xml:space="preserve"> 分 </w:t>
                  </w:r>
                  <w:r>
                    <w:rPr>
                      <w:rFonts w:hint="eastAsia" w:ascii="Times New Roman" w:hAnsi="Times New Roman" w:eastAsia="宋体" w:cs="Times New Roman"/>
                      <w:color w:val="auto"/>
                      <w:szCs w:val="21"/>
                      <w:lang w:val="en-US" w:eastAsia="zh-CN"/>
                    </w:rPr>
                    <w:t>347</w:t>
                  </w:r>
                  <w:r>
                    <w:rPr>
                      <w:rFonts w:ascii="Times New Roman" w:hAnsi="Times New Roman" w:eastAsia="宋体" w:cs="Times New Roman"/>
                      <w:color w:val="auto"/>
                      <w:szCs w:val="21"/>
                    </w:rPr>
                    <w:t xml:space="preserve"> 秒，纬度 3</w:t>
                  </w:r>
                  <w:r>
                    <w:rPr>
                      <w:rFonts w:hint="eastAsia" w:ascii="Times New Roman" w:hAnsi="Times New Roman" w:eastAsia="宋体" w:cs="Times New Roman"/>
                      <w:color w:val="auto"/>
                      <w:szCs w:val="21"/>
                      <w:lang w:val="en-US" w:eastAsia="zh-CN"/>
                    </w:rPr>
                    <w:t>3</w:t>
                  </w:r>
                  <w:r>
                    <w:rPr>
                      <w:rFonts w:ascii="Times New Roman" w:hAnsi="Times New Roman" w:eastAsia="宋体" w:cs="Times New Roman"/>
                      <w:color w:val="auto"/>
                      <w:szCs w:val="21"/>
                    </w:rPr>
                    <w:t xml:space="preserve"> 度 </w:t>
                  </w:r>
                  <w:r>
                    <w:rPr>
                      <w:rFonts w:hint="eastAsia" w:ascii="Times New Roman" w:hAnsi="Times New Roman" w:eastAsia="宋体" w:cs="Times New Roman"/>
                      <w:color w:val="auto"/>
                      <w:szCs w:val="21"/>
                      <w:lang w:val="en-US" w:eastAsia="zh-CN"/>
                    </w:rPr>
                    <w:t>61</w:t>
                  </w:r>
                  <w:r>
                    <w:rPr>
                      <w:rFonts w:ascii="Times New Roman" w:hAnsi="Times New Roman" w:eastAsia="宋体" w:cs="Times New Roman"/>
                      <w:color w:val="auto"/>
                      <w:szCs w:val="21"/>
                    </w:rPr>
                    <w:t xml:space="preserve"> 分 </w:t>
                  </w:r>
                  <w:r>
                    <w:rPr>
                      <w:rFonts w:hint="eastAsia" w:ascii="Times New Roman" w:hAnsi="Times New Roman" w:eastAsia="宋体" w:cs="Times New Roman"/>
                      <w:color w:val="auto"/>
                      <w:szCs w:val="21"/>
                      <w:lang w:val="en-US" w:eastAsia="zh-CN"/>
                    </w:rPr>
                    <w:t>791</w:t>
                  </w:r>
                  <w:r>
                    <w:rPr>
                      <w:rFonts w:ascii="Times New Roman" w:hAnsi="Times New Roman" w:eastAsia="宋体" w:cs="Times New Roman"/>
                      <w:color w:val="auto"/>
                      <w:szCs w:val="21"/>
                    </w:rPr>
                    <w:t xml:space="preserve"> 秒</w:t>
                  </w:r>
                </w:p>
              </w:tc>
              <w:tc>
                <w:tcPr>
                  <w:tcW w:w="689" w:type="pct"/>
                  <w:noWrap w:val="0"/>
                  <w:vAlign w:val="center"/>
                </w:tcPr>
                <w:p>
                  <w:pPr>
                    <w:spacing w:line="276"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497m</w:t>
                  </w:r>
                </w:p>
              </w:tc>
              <w:tc>
                <w:tcPr>
                  <w:tcW w:w="593" w:type="pct"/>
                  <w:noWrap w:val="0"/>
                  <w:vAlign w:val="center"/>
                </w:tcPr>
                <w:p>
                  <w:pPr>
                    <w:spacing w:line="276" w:lineRule="auto"/>
                    <w:jc w:val="center"/>
                    <w:rPr>
                      <w:rFonts w:hint="default" w:ascii="Times New Roman" w:hAnsi="Times New Roman" w:eastAsia="宋体" w:cs="Times New Roman"/>
                      <w:color w:val="auto"/>
                      <w:szCs w:val="21"/>
                      <w:highlight w:val="none"/>
                      <w:u w:val="single"/>
                      <w:lang w:val="en-US" w:eastAsia="zh-CN"/>
                    </w:rPr>
                  </w:pPr>
                  <w:r>
                    <w:rPr>
                      <w:rFonts w:hint="eastAsia" w:cs="Times New Roman"/>
                      <w:color w:val="auto"/>
                      <w:szCs w:val="21"/>
                      <w:highlight w:val="none"/>
                      <w:u w:val="single"/>
                      <w:lang w:val="en-US" w:eastAsia="zh-CN"/>
                    </w:rPr>
                    <w:t>10户、20人</w:t>
                  </w:r>
                </w:p>
              </w:tc>
              <w:tc>
                <w:tcPr>
                  <w:tcW w:w="978" w:type="pct"/>
                  <w:vMerge w:val="restart"/>
                  <w:tcBorders>
                    <w:right w:val="single" w:color="auto" w:sz="4" w:space="0"/>
                  </w:tcBorders>
                  <w:noWrap w:val="0"/>
                  <w:vAlign w:val="center"/>
                </w:tcPr>
                <w:p>
                  <w:pPr>
                    <w:spacing w:line="276" w:lineRule="auto"/>
                    <w:jc w:val="center"/>
                    <w:rPr>
                      <w:rFonts w:hint="eastAsia" w:ascii="Times New Roman" w:hAnsi="Times New Roman" w:eastAsia="宋体" w:cs="Times New Roman"/>
                      <w:color w:val="auto"/>
                      <w:szCs w:val="21"/>
                      <w:highlight w:val="none"/>
                      <w:lang w:eastAsia="zh-CN"/>
                    </w:rPr>
                  </w:pPr>
                  <w:r>
                    <w:rPr>
                      <w:rFonts w:ascii="Times New Roman" w:hAnsi="Times New Roman" w:cs="Times New Roman"/>
                      <w:color w:val="auto"/>
                      <w:szCs w:val="21"/>
                      <w:highlight w:val="none"/>
                    </w:rPr>
                    <w:t>《环境空气质量标准》（GB3095-2012）二级</w:t>
                  </w:r>
                  <w:r>
                    <w:rPr>
                      <w:rFonts w:hint="eastAsia" w:ascii="Times New Roman" w:hAnsi="Times New Roman" w:cs="Times New Roman"/>
                      <w:color w:val="auto"/>
                      <w:szCs w:val="21"/>
                      <w:highlight w:val="none"/>
                      <w:lang w:eastAsia="zh-CN"/>
                    </w:rPr>
                    <w:t>及修改单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685" w:type="pct"/>
                  <w:vMerge w:val="continue"/>
                  <w:tcBorders>
                    <w:left w:val="single" w:color="auto" w:sz="4" w:space="0"/>
                  </w:tcBorders>
                  <w:noWrap w:val="0"/>
                  <w:vAlign w:val="center"/>
                </w:tcPr>
                <w:p>
                  <w:pPr>
                    <w:spacing w:line="276" w:lineRule="auto"/>
                    <w:jc w:val="center"/>
                    <w:rPr>
                      <w:color w:val="auto"/>
                    </w:rPr>
                  </w:pPr>
                </w:p>
              </w:tc>
              <w:tc>
                <w:tcPr>
                  <w:tcW w:w="551" w:type="pct"/>
                  <w:noWrap w:val="0"/>
                  <w:vAlign w:val="center"/>
                </w:tcPr>
                <w:p>
                  <w:pPr>
                    <w:spacing w:line="276" w:lineRule="auto"/>
                    <w:jc w:val="center"/>
                    <w:rPr>
                      <w:rFonts w:hint="eastAsia" w:eastAsia="宋体"/>
                      <w:color w:val="auto"/>
                      <w:lang w:val="en-US" w:eastAsia="zh-CN"/>
                    </w:rPr>
                  </w:pPr>
                  <w:r>
                    <w:rPr>
                      <w:rFonts w:hint="eastAsia"/>
                      <w:color w:val="auto"/>
                      <w:lang w:val="en-US" w:eastAsia="zh-CN"/>
                    </w:rPr>
                    <w:t>侯家岭</w:t>
                  </w:r>
                </w:p>
              </w:tc>
              <w:tc>
                <w:tcPr>
                  <w:tcW w:w="564" w:type="pct"/>
                  <w:gridSpan w:val="2"/>
                  <w:noWrap w:val="0"/>
                  <w:vAlign w:val="center"/>
                </w:tcPr>
                <w:p>
                  <w:pPr>
                    <w:spacing w:line="276" w:lineRule="auto"/>
                    <w:jc w:val="center"/>
                    <w:rPr>
                      <w:rFonts w:hint="eastAsia" w:eastAsia="宋体"/>
                      <w:color w:val="auto"/>
                      <w:lang w:val="en-US" w:eastAsia="zh-CN"/>
                    </w:rPr>
                  </w:pPr>
                  <w:r>
                    <w:rPr>
                      <w:rFonts w:hint="eastAsia"/>
                      <w:color w:val="auto"/>
                      <w:lang w:val="en-US" w:eastAsia="zh-CN"/>
                    </w:rPr>
                    <w:t>南</w:t>
                  </w:r>
                </w:p>
              </w:tc>
              <w:tc>
                <w:tcPr>
                  <w:tcW w:w="937" w:type="pct"/>
                  <w:noWrap w:val="0"/>
                  <w:vAlign w:val="center"/>
                </w:tcPr>
                <w:p>
                  <w:pPr>
                    <w:spacing w:line="276" w:lineRule="auto"/>
                    <w:jc w:val="center"/>
                    <w:rPr>
                      <w:color w:val="auto"/>
                    </w:rPr>
                  </w:pPr>
                  <w:r>
                    <w:rPr>
                      <w:rFonts w:ascii="Times New Roman" w:hAnsi="Times New Roman" w:eastAsia="宋体" w:cs="Times New Roman"/>
                      <w:color w:val="auto"/>
                      <w:szCs w:val="21"/>
                    </w:rPr>
                    <w:t>经度 11</w:t>
                  </w:r>
                  <w:r>
                    <w:rPr>
                      <w:rFonts w:hint="eastAsia" w:ascii="Times New Roman" w:hAnsi="Times New Roman" w:eastAsia="宋体" w:cs="Times New Roman"/>
                      <w:color w:val="auto"/>
                      <w:szCs w:val="21"/>
                      <w:lang w:val="en-US" w:eastAsia="zh-CN"/>
                    </w:rPr>
                    <w:t>3</w:t>
                  </w:r>
                  <w:r>
                    <w:rPr>
                      <w:rFonts w:ascii="Times New Roman" w:hAnsi="Times New Roman" w:eastAsia="宋体" w:cs="Times New Roman"/>
                      <w:color w:val="auto"/>
                      <w:szCs w:val="21"/>
                    </w:rPr>
                    <w:t xml:space="preserve"> 度 </w:t>
                  </w:r>
                  <w:r>
                    <w:rPr>
                      <w:rFonts w:hint="eastAsia" w:ascii="Times New Roman" w:hAnsi="Times New Roman" w:eastAsia="宋体" w:cs="Times New Roman"/>
                      <w:color w:val="auto"/>
                      <w:szCs w:val="21"/>
                      <w:lang w:val="en-US" w:eastAsia="zh-CN"/>
                    </w:rPr>
                    <w:t>03</w:t>
                  </w:r>
                  <w:r>
                    <w:rPr>
                      <w:rFonts w:ascii="Times New Roman" w:hAnsi="Times New Roman" w:eastAsia="宋体" w:cs="Times New Roman"/>
                      <w:color w:val="auto"/>
                      <w:szCs w:val="21"/>
                    </w:rPr>
                    <w:t xml:space="preserve"> 分 </w:t>
                  </w:r>
                  <w:r>
                    <w:rPr>
                      <w:rFonts w:hint="eastAsia" w:ascii="Times New Roman" w:hAnsi="Times New Roman" w:eastAsia="宋体" w:cs="Times New Roman"/>
                      <w:color w:val="auto"/>
                      <w:szCs w:val="21"/>
                      <w:lang w:val="en-US" w:eastAsia="zh-CN"/>
                    </w:rPr>
                    <w:t>242</w:t>
                  </w:r>
                  <w:r>
                    <w:rPr>
                      <w:rFonts w:ascii="Times New Roman" w:hAnsi="Times New Roman" w:eastAsia="宋体" w:cs="Times New Roman"/>
                      <w:color w:val="auto"/>
                      <w:szCs w:val="21"/>
                    </w:rPr>
                    <w:t xml:space="preserve"> 秒，纬度 3</w:t>
                  </w:r>
                  <w:r>
                    <w:rPr>
                      <w:rFonts w:hint="eastAsia" w:ascii="Times New Roman" w:hAnsi="Times New Roman" w:eastAsia="宋体" w:cs="Times New Roman"/>
                      <w:color w:val="auto"/>
                      <w:szCs w:val="21"/>
                      <w:lang w:val="en-US" w:eastAsia="zh-CN"/>
                    </w:rPr>
                    <w:t>3</w:t>
                  </w:r>
                  <w:r>
                    <w:rPr>
                      <w:rFonts w:ascii="Times New Roman" w:hAnsi="Times New Roman" w:eastAsia="宋体" w:cs="Times New Roman"/>
                      <w:color w:val="auto"/>
                      <w:szCs w:val="21"/>
                    </w:rPr>
                    <w:t xml:space="preserve"> 度 </w:t>
                  </w:r>
                  <w:r>
                    <w:rPr>
                      <w:rFonts w:hint="eastAsia" w:ascii="Times New Roman" w:hAnsi="Times New Roman" w:eastAsia="宋体" w:cs="Times New Roman"/>
                      <w:color w:val="auto"/>
                      <w:szCs w:val="21"/>
                      <w:lang w:val="en-US" w:eastAsia="zh-CN"/>
                    </w:rPr>
                    <w:t>61</w:t>
                  </w:r>
                  <w:r>
                    <w:rPr>
                      <w:rFonts w:ascii="Times New Roman" w:hAnsi="Times New Roman" w:eastAsia="宋体" w:cs="Times New Roman"/>
                      <w:color w:val="auto"/>
                      <w:szCs w:val="21"/>
                    </w:rPr>
                    <w:t xml:space="preserve"> 分 </w:t>
                  </w:r>
                  <w:r>
                    <w:rPr>
                      <w:rFonts w:hint="eastAsia" w:ascii="Times New Roman" w:hAnsi="Times New Roman" w:eastAsia="宋体" w:cs="Times New Roman"/>
                      <w:color w:val="auto"/>
                      <w:szCs w:val="21"/>
                      <w:lang w:val="en-US" w:eastAsia="zh-CN"/>
                    </w:rPr>
                    <w:t>8414</w:t>
                  </w:r>
                  <w:r>
                    <w:rPr>
                      <w:rFonts w:ascii="Times New Roman" w:hAnsi="Times New Roman" w:eastAsia="宋体" w:cs="Times New Roman"/>
                      <w:color w:val="auto"/>
                      <w:szCs w:val="21"/>
                    </w:rPr>
                    <w:t xml:space="preserve"> 秒</w:t>
                  </w:r>
                </w:p>
              </w:tc>
              <w:tc>
                <w:tcPr>
                  <w:tcW w:w="689" w:type="pct"/>
                  <w:noWrap w:val="0"/>
                  <w:vAlign w:val="center"/>
                </w:tcPr>
                <w:p>
                  <w:pPr>
                    <w:spacing w:line="276" w:lineRule="auto"/>
                    <w:jc w:val="center"/>
                    <w:rPr>
                      <w:rFonts w:hint="default" w:eastAsia="宋体"/>
                      <w:color w:val="auto"/>
                      <w:lang w:val="en-US" w:eastAsia="zh-CN"/>
                    </w:rPr>
                  </w:pPr>
                  <w:r>
                    <w:rPr>
                      <w:rFonts w:hint="eastAsia"/>
                      <w:color w:val="auto"/>
                      <w:lang w:val="en-US" w:eastAsia="zh-CN"/>
                    </w:rPr>
                    <w:t>434m</w:t>
                  </w:r>
                </w:p>
              </w:tc>
              <w:tc>
                <w:tcPr>
                  <w:tcW w:w="593" w:type="pct"/>
                  <w:noWrap w:val="0"/>
                  <w:vAlign w:val="center"/>
                </w:tcPr>
                <w:p>
                  <w:pPr>
                    <w:spacing w:line="276" w:lineRule="auto"/>
                    <w:jc w:val="center"/>
                    <w:rPr>
                      <w:rFonts w:hint="default" w:ascii="Times New Roman" w:hAnsi="Times New Roman" w:eastAsia="宋体" w:cs="Times New Roman"/>
                      <w:color w:val="auto"/>
                      <w:szCs w:val="21"/>
                      <w:highlight w:val="none"/>
                      <w:u w:val="single"/>
                      <w:lang w:val="en-US" w:eastAsia="zh-CN"/>
                    </w:rPr>
                  </w:pPr>
                  <w:r>
                    <w:rPr>
                      <w:rFonts w:hint="eastAsia" w:cs="Times New Roman"/>
                      <w:color w:val="auto"/>
                      <w:szCs w:val="21"/>
                      <w:highlight w:val="none"/>
                      <w:u w:val="single"/>
                      <w:lang w:val="en-US" w:eastAsia="zh-CN"/>
                    </w:rPr>
                    <w:t>30户、100人</w:t>
                  </w:r>
                </w:p>
              </w:tc>
              <w:tc>
                <w:tcPr>
                  <w:tcW w:w="978" w:type="pct"/>
                  <w:vMerge w:val="continue"/>
                  <w:tcBorders>
                    <w:right w:val="single" w:color="auto" w:sz="4" w:space="0"/>
                  </w:tcBorders>
                  <w:noWrap w:val="0"/>
                  <w:vAlign w:val="center"/>
                </w:tcPr>
                <w:p>
                  <w:pPr>
                    <w:spacing w:line="276" w:lineRule="auto"/>
                    <w:jc w:val="center"/>
                    <w:rPr>
                      <w:rFonts w:hint="default" w:ascii="Times New Roman" w:hAnsi="Times New Roman" w:eastAsia="宋体" w:cs="Times New Roman"/>
                      <w:color w:val="auto"/>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685" w:type="pct"/>
                  <w:tcBorders>
                    <w:left w:val="single" w:color="auto" w:sz="4" w:space="0"/>
                  </w:tcBorders>
                  <w:noWrap w:val="0"/>
                  <w:vAlign w:val="center"/>
                </w:tcPr>
                <w:p>
                  <w:pPr>
                    <w:spacing w:line="360" w:lineRule="exact"/>
                    <w:jc w:val="center"/>
                    <w:rPr>
                      <w:rFonts w:hint="eastAsia" w:ascii="Times New Roman" w:hAnsi="Times New Roman" w:eastAsia="宋体" w:cs="Times New Roman"/>
                      <w:color w:val="auto"/>
                      <w:szCs w:val="21"/>
                      <w:lang w:val="en-US" w:eastAsia="zh-CN"/>
                    </w:rPr>
                  </w:pPr>
                  <w:r>
                    <w:rPr>
                      <w:rFonts w:ascii="Times New Roman" w:hAnsi="Times New Roman" w:eastAsia="宋体" w:cs="Times New Roman"/>
                      <w:color w:val="auto"/>
                    </w:rPr>
                    <w:t>声环境</w:t>
                  </w:r>
                </w:p>
              </w:tc>
              <w:tc>
                <w:tcPr>
                  <w:tcW w:w="3335" w:type="pct"/>
                  <w:gridSpan w:val="6"/>
                  <w:noWrap w:val="0"/>
                  <w:vAlign w:val="center"/>
                </w:tcPr>
                <w:p>
                  <w:pPr>
                    <w:spacing w:line="276" w:lineRule="auto"/>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本项目厂界50m范围内不涉及声环境敏感目标</w:t>
                  </w:r>
                </w:p>
              </w:tc>
              <w:tc>
                <w:tcPr>
                  <w:tcW w:w="978" w:type="pct"/>
                  <w:tcBorders>
                    <w:right w:val="single" w:color="auto" w:sz="4" w:space="0"/>
                  </w:tcBorders>
                  <w:noWrap w:val="0"/>
                  <w:vAlign w:val="center"/>
                </w:tcPr>
                <w:p>
                  <w:pPr>
                    <w:spacing w:line="276" w:lineRule="auto"/>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《声环境质量标准》（GB3096-2008）</w:t>
                  </w:r>
                  <w:r>
                    <w:rPr>
                      <w:rFonts w:hint="eastAsia" w:cs="Times New Roman"/>
                      <w:color w:val="auto"/>
                      <w:szCs w:val="21"/>
                      <w:lang w:val="en-US" w:eastAsia="zh-CN"/>
                    </w:rPr>
                    <w:t>2</w:t>
                  </w:r>
                  <w:r>
                    <w:rPr>
                      <w:rFonts w:hint="eastAsia" w:cs="Times New Roman"/>
                      <w:color w:val="auto"/>
                      <w:szCs w:val="21"/>
                      <w:lang w:eastAsia="zh-CN"/>
                    </w:rPr>
                    <w:t>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685" w:type="pct"/>
                  <w:vMerge w:val="restart"/>
                  <w:tcBorders>
                    <w:left w:val="single" w:color="auto" w:sz="4" w:space="0"/>
                  </w:tcBorders>
                  <w:noWrap w:val="0"/>
                  <w:vAlign w:val="center"/>
                </w:tcPr>
                <w:p>
                  <w:pPr>
                    <w:spacing w:line="276" w:lineRule="auto"/>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highlight w:val="none"/>
                      <w:lang w:val="en-US" w:eastAsia="zh-CN"/>
                    </w:rPr>
                    <w:t>地表水</w:t>
                  </w:r>
                </w:p>
              </w:tc>
              <w:tc>
                <w:tcPr>
                  <w:tcW w:w="563" w:type="pct"/>
                  <w:gridSpan w:val="2"/>
                  <w:noWrap w:val="0"/>
                  <w:vAlign w:val="center"/>
                </w:tcPr>
                <w:p>
                  <w:pPr>
                    <w:spacing w:line="276" w:lineRule="auto"/>
                    <w:jc w:val="center"/>
                    <w:rPr>
                      <w:rFonts w:hint="default" w:ascii="Times New Roman" w:hAnsi="Times New Roman" w:cs="Times New Roman"/>
                      <w:color w:val="auto"/>
                      <w:szCs w:val="21"/>
                      <w:lang w:val="en-US"/>
                    </w:rPr>
                  </w:pPr>
                  <w:r>
                    <w:rPr>
                      <w:rFonts w:hint="eastAsia" w:ascii="Times New Roman" w:hAnsi="Times New Roman" w:eastAsia="宋体" w:cs="Times New Roman"/>
                      <w:b w:val="0"/>
                      <w:bCs w:val="0"/>
                      <w:color w:val="auto"/>
                      <w:sz w:val="21"/>
                      <w:szCs w:val="21"/>
                      <w:highlight w:val="none"/>
                      <w:u w:val="none"/>
                      <w:lang w:val="en-US" w:eastAsia="zh-CN"/>
                    </w:rPr>
                    <w:t>澎河水库</w:t>
                  </w:r>
                </w:p>
              </w:tc>
              <w:tc>
                <w:tcPr>
                  <w:tcW w:w="552" w:type="pct"/>
                  <w:noWrap w:val="0"/>
                  <w:vAlign w:val="center"/>
                </w:tcPr>
                <w:p>
                  <w:pPr>
                    <w:spacing w:line="276" w:lineRule="auto"/>
                    <w:jc w:val="center"/>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西</w:t>
                  </w:r>
                </w:p>
              </w:tc>
              <w:tc>
                <w:tcPr>
                  <w:tcW w:w="937" w:type="pct"/>
                  <w:noWrap w:val="0"/>
                  <w:vAlign w:val="center"/>
                </w:tcPr>
                <w:p>
                  <w:pPr>
                    <w:spacing w:line="276" w:lineRule="auto"/>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w:t>
                  </w:r>
                </w:p>
              </w:tc>
              <w:tc>
                <w:tcPr>
                  <w:tcW w:w="689" w:type="pct"/>
                  <w:noWrap w:val="0"/>
                  <w:vAlign w:val="center"/>
                </w:tcPr>
                <w:p>
                  <w:pPr>
                    <w:spacing w:line="276" w:lineRule="auto"/>
                    <w:jc w:val="center"/>
                    <w:rPr>
                      <w:rFonts w:ascii="Times New Roman" w:hAnsi="Times New Roman" w:cs="Times New Roman"/>
                      <w:color w:val="auto"/>
                      <w:szCs w:val="21"/>
                    </w:rPr>
                  </w:pPr>
                  <w:r>
                    <w:rPr>
                      <w:rFonts w:hint="eastAsia" w:cs="Times New Roman"/>
                      <w:color w:val="auto"/>
                      <w:szCs w:val="21"/>
                      <w:lang w:val="en-US" w:eastAsia="zh-CN"/>
                    </w:rPr>
                    <w:t>1400</w:t>
                  </w:r>
                  <w:r>
                    <w:rPr>
                      <w:rFonts w:ascii="Times New Roman" w:hAnsi="Times New Roman" w:cs="Times New Roman"/>
                      <w:color w:val="auto"/>
                      <w:szCs w:val="21"/>
                    </w:rPr>
                    <w:t>m</w:t>
                  </w:r>
                </w:p>
              </w:tc>
              <w:tc>
                <w:tcPr>
                  <w:tcW w:w="593" w:type="pct"/>
                  <w:noWrap w:val="0"/>
                  <w:vAlign w:val="center"/>
                </w:tcPr>
                <w:p>
                  <w:pPr>
                    <w:spacing w:line="276" w:lineRule="auto"/>
                    <w:jc w:val="center"/>
                    <w:rPr>
                      <w:rFonts w:ascii="Times New Roman" w:hAnsi="Times New Roman" w:cs="Times New Roman"/>
                      <w:color w:val="auto"/>
                      <w:szCs w:val="21"/>
                    </w:rPr>
                  </w:pPr>
                  <w:r>
                    <w:rPr>
                      <w:rFonts w:ascii="Times New Roman" w:hAnsi="Times New Roman" w:cs="Times New Roman"/>
                      <w:color w:val="auto"/>
                      <w:szCs w:val="21"/>
                    </w:rPr>
                    <w:t>/</w:t>
                  </w:r>
                </w:p>
              </w:tc>
              <w:tc>
                <w:tcPr>
                  <w:tcW w:w="978" w:type="pct"/>
                  <w:vMerge w:val="restart"/>
                  <w:tcBorders>
                    <w:right w:val="single" w:color="auto" w:sz="4" w:space="0"/>
                  </w:tcBorders>
                  <w:noWrap w:val="0"/>
                  <w:vAlign w:val="center"/>
                </w:tcPr>
                <w:p>
                  <w:pPr>
                    <w:spacing w:line="276"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《地表水环境质量标准》(GB3838-2002)Ⅲ类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5" w:type="pct"/>
                  <w:vMerge w:val="continue"/>
                  <w:tcBorders>
                    <w:left w:val="single" w:color="auto" w:sz="4" w:space="0"/>
                  </w:tcBorders>
                  <w:noWrap w:val="0"/>
                  <w:vAlign w:val="center"/>
                </w:tcPr>
                <w:p>
                  <w:pPr>
                    <w:spacing w:line="276" w:lineRule="auto"/>
                    <w:jc w:val="center"/>
                    <w:rPr>
                      <w:rFonts w:hint="eastAsia" w:ascii="Times New Roman" w:hAnsi="Times New Roman" w:cs="Times New Roman"/>
                      <w:color w:val="auto"/>
                      <w:szCs w:val="21"/>
                      <w:highlight w:val="yellow"/>
                      <w:lang w:val="en-US" w:eastAsia="zh-CN"/>
                    </w:rPr>
                  </w:pPr>
                </w:p>
              </w:tc>
              <w:tc>
                <w:tcPr>
                  <w:tcW w:w="563" w:type="pct"/>
                  <w:gridSpan w:val="2"/>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冷水河</w:t>
                  </w:r>
                </w:p>
              </w:tc>
              <w:tc>
                <w:tcPr>
                  <w:tcW w:w="552" w:type="pct"/>
                  <w:noWrap w:val="0"/>
                  <w:vAlign w:val="center"/>
                </w:tcPr>
                <w:p>
                  <w:pPr>
                    <w:spacing w:line="276" w:lineRule="auto"/>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东</w:t>
                  </w:r>
                </w:p>
              </w:tc>
              <w:tc>
                <w:tcPr>
                  <w:tcW w:w="937" w:type="pct"/>
                  <w:noWrap w:val="0"/>
                  <w:vAlign w:val="center"/>
                </w:tcPr>
                <w:p>
                  <w:pPr>
                    <w:spacing w:line="276" w:lineRule="auto"/>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w:t>
                  </w:r>
                </w:p>
              </w:tc>
              <w:tc>
                <w:tcPr>
                  <w:tcW w:w="689"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750m</w:t>
                  </w:r>
                </w:p>
              </w:tc>
              <w:tc>
                <w:tcPr>
                  <w:tcW w:w="593" w:type="pct"/>
                  <w:noWrap w:val="0"/>
                  <w:vAlign w:val="center"/>
                </w:tcPr>
                <w:p>
                  <w:pPr>
                    <w:spacing w:line="276" w:lineRule="auto"/>
                    <w:jc w:val="center"/>
                    <w:rPr>
                      <w:rFonts w:ascii="Times New Roman" w:hAnsi="Times New Roman" w:cs="Times New Roman"/>
                      <w:color w:val="auto"/>
                      <w:szCs w:val="21"/>
                    </w:rPr>
                  </w:pPr>
                  <w:r>
                    <w:rPr>
                      <w:rFonts w:ascii="Times New Roman" w:hAnsi="Times New Roman" w:cs="Times New Roman"/>
                      <w:color w:val="auto"/>
                      <w:szCs w:val="21"/>
                    </w:rPr>
                    <w:t>/</w:t>
                  </w:r>
                </w:p>
              </w:tc>
              <w:tc>
                <w:tcPr>
                  <w:tcW w:w="978" w:type="pct"/>
                  <w:vMerge w:val="continue"/>
                  <w:tcBorders>
                    <w:right w:val="single" w:color="auto" w:sz="4" w:space="0"/>
                  </w:tcBorders>
                  <w:noWrap w:val="0"/>
                  <w:vAlign w:val="center"/>
                </w:tcPr>
                <w:p>
                  <w:pPr>
                    <w:spacing w:line="276" w:lineRule="auto"/>
                    <w:jc w:val="center"/>
                    <w:rPr>
                      <w:rFonts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685" w:type="pct"/>
                  <w:vMerge w:val="continue"/>
                  <w:tcBorders>
                    <w:left w:val="single" w:color="auto" w:sz="4" w:space="0"/>
                  </w:tcBorders>
                  <w:noWrap w:val="0"/>
                  <w:vAlign w:val="center"/>
                </w:tcPr>
                <w:p>
                  <w:pPr>
                    <w:spacing w:line="276" w:lineRule="auto"/>
                    <w:jc w:val="center"/>
                    <w:rPr>
                      <w:rFonts w:hint="eastAsia" w:ascii="Times New Roman" w:hAnsi="Times New Roman" w:cs="Times New Roman"/>
                      <w:color w:val="auto"/>
                      <w:szCs w:val="21"/>
                      <w:highlight w:val="yellow"/>
                      <w:lang w:val="en-US" w:eastAsia="zh-CN"/>
                    </w:rPr>
                  </w:pPr>
                </w:p>
              </w:tc>
              <w:tc>
                <w:tcPr>
                  <w:tcW w:w="563" w:type="pct"/>
                  <w:gridSpan w:val="2"/>
                  <w:noWrap w:val="0"/>
                  <w:vAlign w:val="center"/>
                </w:tcPr>
                <w:p>
                  <w:pPr>
                    <w:spacing w:line="276" w:lineRule="auto"/>
                    <w:jc w:val="center"/>
                    <w:rPr>
                      <w:color w:val="auto"/>
                      <w:sz w:val="21"/>
                    </w:rPr>
                  </w:pPr>
                  <w:r>
                    <w:rPr>
                      <w:rFonts w:hint="eastAsia"/>
                      <w:bCs/>
                      <w:color w:val="auto"/>
                    </w:rPr>
                    <w:t>昭平台南干渠</w:t>
                  </w:r>
                </w:p>
              </w:tc>
              <w:tc>
                <w:tcPr>
                  <w:tcW w:w="552"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北</w:t>
                  </w:r>
                </w:p>
              </w:tc>
              <w:tc>
                <w:tcPr>
                  <w:tcW w:w="937"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w:t>
                  </w:r>
                </w:p>
              </w:tc>
              <w:tc>
                <w:tcPr>
                  <w:tcW w:w="689"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3000m</w:t>
                  </w:r>
                </w:p>
              </w:tc>
              <w:tc>
                <w:tcPr>
                  <w:tcW w:w="593"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w:t>
                  </w:r>
                </w:p>
              </w:tc>
              <w:tc>
                <w:tcPr>
                  <w:tcW w:w="978" w:type="pct"/>
                  <w:tcBorders>
                    <w:right w:val="single" w:color="auto" w:sz="4" w:space="0"/>
                  </w:tcBorders>
                  <w:noWrap w:val="0"/>
                  <w:vAlign w:val="center"/>
                </w:tcPr>
                <w:p>
                  <w:pPr>
                    <w:pStyle w:val="108"/>
                    <w:rPr>
                      <w:bCs/>
                      <w:color w:val="auto"/>
                    </w:rPr>
                  </w:pPr>
                  <w:r>
                    <w:rPr>
                      <w:rFonts w:hint="eastAsia"/>
                      <w:bCs/>
                      <w:color w:val="auto"/>
                    </w:rPr>
                    <w:t>参照执行</w:t>
                  </w:r>
                  <w:r>
                    <w:rPr>
                      <w:bCs/>
                      <w:color w:val="auto"/>
                    </w:rPr>
                    <w:t>《地表水环境质量标准》</w:t>
                  </w:r>
                </w:p>
                <w:p>
                  <w:pPr>
                    <w:spacing w:line="276" w:lineRule="auto"/>
                    <w:jc w:val="center"/>
                    <w:rPr>
                      <w:rFonts w:hint="eastAsia" w:ascii="Times New Roman" w:hAnsi="Times New Roman" w:eastAsia="宋体" w:cs="Times New Roman"/>
                      <w:color w:val="auto"/>
                      <w:szCs w:val="21"/>
                      <w:highlight w:val="none"/>
                      <w:lang w:val="en-US" w:eastAsia="zh-CN"/>
                    </w:rPr>
                  </w:pPr>
                  <w:r>
                    <w:rPr>
                      <w:bCs/>
                      <w:color w:val="auto"/>
                    </w:rPr>
                    <w:t>（GB3838-2002）</w:t>
                  </w:r>
                  <w:r>
                    <w:rPr>
                      <w:color w:val="auto"/>
                    </w:rPr>
                    <w:fldChar w:fldCharType="begin"/>
                  </w:r>
                  <w:r>
                    <w:rPr>
                      <w:color w:val="auto"/>
                    </w:rPr>
                    <w:instrText xml:space="preserve"> </w:instrText>
                  </w:r>
                  <w:r>
                    <w:rPr>
                      <w:rFonts w:hint="eastAsia"/>
                      <w:color w:val="auto"/>
                    </w:rPr>
                    <w:instrText xml:space="preserve">= 4 \* ROMAN</w:instrText>
                  </w:r>
                  <w:r>
                    <w:rPr>
                      <w:color w:val="auto"/>
                    </w:rPr>
                    <w:instrText xml:space="preserve"> </w:instrText>
                  </w:r>
                  <w:r>
                    <w:rPr>
                      <w:color w:val="auto"/>
                    </w:rPr>
                    <w:fldChar w:fldCharType="separate"/>
                  </w:r>
                  <w:r>
                    <w:rPr>
                      <w:color w:val="auto"/>
                    </w:rPr>
                    <w:t>IV</w:t>
                  </w:r>
                  <w:r>
                    <w:rPr>
                      <w:color w:val="auto"/>
                    </w:rPr>
                    <w:fldChar w:fldCharType="end"/>
                  </w:r>
                  <w:r>
                    <w:rPr>
                      <w:color w:val="auto"/>
                    </w:rPr>
                    <w:t>类</w:t>
                  </w:r>
                  <w:r>
                    <w:rPr>
                      <w:rFonts w:hint="eastAsia"/>
                      <w:color w:val="auto"/>
                      <w:lang w:val="en-US"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685" w:type="pct"/>
                  <w:vMerge w:val="continue"/>
                  <w:tcBorders>
                    <w:left w:val="single" w:color="auto" w:sz="4" w:space="0"/>
                  </w:tcBorders>
                  <w:noWrap w:val="0"/>
                  <w:vAlign w:val="center"/>
                </w:tcPr>
                <w:p>
                  <w:pPr>
                    <w:spacing w:line="276" w:lineRule="auto"/>
                    <w:jc w:val="center"/>
                    <w:rPr>
                      <w:rFonts w:hint="eastAsia" w:ascii="Times New Roman" w:hAnsi="Times New Roman" w:cs="Times New Roman"/>
                      <w:color w:val="auto"/>
                      <w:szCs w:val="21"/>
                      <w:highlight w:val="yellow"/>
                      <w:lang w:val="en-US" w:eastAsia="zh-CN"/>
                    </w:rPr>
                  </w:pPr>
                </w:p>
              </w:tc>
              <w:tc>
                <w:tcPr>
                  <w:tcW w:w="563" w:type="pct"/>
                  <w:gridSpan w:val="2"/>
                  <w:noWrap w:val="0"/>
                  <w:vAlign w:val="center"/>
                </w:tcPr>
                <w:p>
                  <w:pPr>
                    <w:spacing w:line="276" w:lineRule="auto"/>
                    <w:jc w:val="center"/>
                    <w:rPr>
                      <w:rFonts w:hint="eastAsia" w:cs="Times New Roman"/>
                      <w:color w:val="auto"/>
                      <w:szCs w:val="21"/>
                      <w:lang w:val="en-US" w:eastAsia="zh-CN"/>
                    </w:rPr>
                  </w:pPr>
                  <w:r>
                    <w:rPr>
                      <w:color w:val="auto"/>
                      <w:sz w:val="21"/>
                    </w:rPr>
                    <w:t>南水北调中线总干渠</w:t>
                  </w:r>
                </w:p>
              </w:tc>
              <w:tc>
                <w:tcPr>
                  <w:tcW w:w="552"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北</w:t>
                  </w:r>
                </w:p>
              </w:tc>
              <w:tc>
                <w:tcPr>
                  <w:tcW w:w="937"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w:t>
                  </w:r>
                </w:p>
              </w:tc>
              <w:tc>
                <w:tcPr>
                  <w:tcW w:w="689"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3400m</w:t>
                  </w:r>
                </w:p>
              </w:tc>
              <w:tc>
                <w:tcPr>
                  <w:tcW w:w="593" w:type="pct"/>
                  <w:noWrap w:val="0"/>
                  <w:vAlign w:val="center"/>
                </w:tcPr>
                <w:p>
                  <w:pPr>
                    <w:spacing w:line="276" w:lineRule="auto"/>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w:t>
                  </w:r>
                </w:p>
              </w:tc>
              <w:tc>
                <w:tcPr>
                  <w:tcW w:w="978" w:type="pct"/>
                  <w:tcBorders>
                    <w:right w:val="single" w:color="auto" w:sz="4" w:space="0"/>
                  </w:tcBorders>
                  <w:noWrap w:val="0"/>
                  <w:vAlign w:val="center"/>
                </w:tcPr>
                <w:p>
                  <w:pPr>
                    <w:spacing w:line="276" w:lineRule="auto"/>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《地表水环境质量标准》(GB3838-2002)</w:t>
                  </w:r>
                  <w:r>
                    <w:rPr>
                      <w:color w:val="auto"/>
                      <w:sz w:val="21"/>
                    </w:rPr>
                    <w:t>Ⅱ</w:t>
                  </w:r>
                  <w:r>
                    <w:rPr>
                      <w:rFonts w:hint="eastAsia" w:ascii="Times New Roman" w:hAnsi="Times New Roman" w:eastAsia="宋体" w:cs="Times New Roman"/>
                      <w:color w:val="auto"/>
                      <w:szCs w:val="21"/>
                      <w:lang w:val="en-US" w:eastAsia="zh-CN"/>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4" w:hRule="atLeast"/>
              </w:trPr>
              <w:tc>
                <w:tcPr>
                  <w:tcW w:w="685" w:type="pct"/>
                  <w:tcBorders>
                    <w:left w:val="single" w:color="auto" w:sz="4" w:space="0"/>
                  </w:tcBorders>
                  <w:noWrap w:val="0"/>
                  <w:vAlign w:val="center"/>
                </w:tcPr>
                <w:p>
                  <w:pPr>
                    <w:spacing w:line="276"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地下水</w:t>
                  </w:r>
                </w:p>
              </w:tc>
              <w:tc>
                <w:tcPr>
                  <w:tcW w:w="563" w:type="pct"/>
                  <w:gridSpan w:val="2"/>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郭沟村水井</w:t>
                  </w:r>
                </w:p>
              </w:tc>
              <w:tc>
                <w:tcPr>
                  <w:tcW w:w="552"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东</w:t>
                  </w:r>
                </w:p>
              </w:tc>
              <w:tc>
                <w:tcPr>
                  <w:tcW w:w="937" w:type="pct"/>
                  <w:noWrap w:val="0"/>
                  <w:vAlign w:val="center"/>
                </w:tcPr>
                <w:p>
                  <w:pPr>
                    <w:spacing w:line="276" w:lineRule="auto"/>
                    <w:jc w:val="center"/>
                    <w:rPr>
                      <w:rFonts w:hint="default" w:cs="Times New Roman"/>
                      <w:color w:val="auto"/>
                      <w:szCs w:val="21"/>
                      <w:lang w:val="en-US" w:eastAsia="zh-CN"/>
                    </w:rPr>
                  </w:pPr>
                  <w:r>
                    <w:rPr>
                      <w:rFonts w:hint="eastAsia" w:cs="Times New Roman"/>
                      <w:color w:val="auto"/>
                      <w:szCs w:val="21"/>
                      <w:lang w:val="en-US" w:eastAsia="zh-CN"/>
                    </w:rPr>
                    <w:t>/</w:t>
                  </w:r>
                </w:p>
              </w:tc>
              <w:tc>
                <w:tcPr>
                  <w:tcW w:w="689" w:type="pct"/>
                  <w:noWrap w:val="0"/>
                  <w:vAlign w:val="center"/>
                </w:tcPr>
                <w:p>
                  <w:pPr>
                    <w:spacing w:line="276" w:lineRule="auto"/>
                    <w:jc w:val="center"/>
                    <w:rPr>
                      <w:rFonts w:hint="eastAsia" w:cs="Times New Roman"/>
                      <w:color w:val="auto"/>
                      <w:szCs w:val="21"/>
                      <w:lang w:val="en-US" w:eastAsia="zh-CN"/>
                    </w:rPr>
                  </w:pPr>
                  <w:r>
                    <w:rPr>
                      <w:rFonts w:hint="eastAsia" w:cs="Times New Roman"/>
                      <w:color w:val="auto"/>
                      <w:szCs w:val="21"/>
                      <w:lang w:val="en-US" w:eastAsia="zh-CN"/>
                    </w:rPr>
                    <w:t>2000m</w:t>
                  </w:r>
                </w:p>
              </w:tc>
              <w:tc>
                <w:tcPr>
                  <w:tcW w:w="593" w:type="pct"/>
                  <w:noWrap w:val="0"/>
                  <w:vAlign w:val="center"/>
                </w:tcPr>
                <w:p>
                  <w:pPr>
                    <w:spacing w:line="276" w:lineRule="auto"/>
                    <w:jc w:val="center"/>
                    <w:rPr>
                      <w:rFonts w:ascii="Times New Roman" w:hAnsi="Times New Roman" w:cs="Times New Roman"/>
                      <w:color w:val="auto"/>
                      <w:szCs w:val="21"/>
                    </w:rPr>
                  </w:pPr>
                  <w:r>
                    <w:rPr>
                      <w:rFonts w:ascii="Times New Roman" w:hAnsi="Times New Roman" w:cs="Times New Roman"/>
                      <w:color w:val="auto"/>
                      <w:szCs w:val="21"/>
                    </w:rPr>
                    <w:t>/</w:t>
                  </w:r>
                </w:p>
              </w:tc>
              <w:tc>
                <w:tcPr>
                  <w:tcW w:w="978" w:type="pct"/>
                  <w:tcBorders>
                    <w:right w:val="single" w:color="auto" w:sz="4" w:space="0"/>
                  </w:tcBorders>
                  <w:noWrap w:val="0"/>
                  <w:vAlign w:val="center"/>
                </w:tcPr>
                <w:p>
                  <w:pPr>
                    <w:spacing w:line="276" w:lineRule="auto"/>
                    <w:jc w:val="center"/>
                    <w:rPr>
                      <w:rFonts w:ascii="Times New Roman" w:hAnsi="Times New Roman" w:cs="Times New Roman"/>
                      <w:color w:val="auto"/>
                      <w:szCs w:val="21"/>
                      <w:highlight w:val="none"/>
                    </w:rPr>
                  </w:pPr>
                  <w:r>
                    <w:rPr>
                      <w:rFonts w:hint="eastAsia" w:cs="Times New Roman"/>
                      <w:color w:val="auto"/>
                      <w:szCs w:val="21"/>
                      <w:lang w:val="en-US" w:eastAsia="zh-CN"/>
                    </w:rPr>
                    <w:t>《地下水质量标准》（</w:t>
                  </w:r>
                  <w:r>
                    <w:rPr>
                      <w:rFonts w:hint="eastAsia" w:cs="Times New Roman"/>
                      <w:color w:val="auto"/>
                      <w:szCs w:val="21"/>
                      <w:highlight w:val="none"/>
                      <w:lang w:val="en-US" w:eastAsia="zh-CN"/>
                    </w:rPr>
                    <w:t>GB/T</w:t>
                  </w:r>
                  <w:r>
                    <w:rPr>
                      <w:rFonts w:hint="eastAsia" w:cs="Times New Roman"/>
                      <w:color w:val="auto"/>
                      <w:szCs w:val="21"/>
                      <w:lang w:val="en-US" w:eastAsia="zh-CN"/>
                    </w:rPr>
                    <w:t>14848-2017）</w:t>
                  </w:r>
                  <w:r>
                    <w:rPr>
                      <w:rFonts w:hint="eastAsia"/>
                      <w:color w:val="auto"/>
                      <w:sz w:val="21"/>
                      <w:lang w:val="en-US" w:eastAsia="zh-CN"/>
                    </w:rPr>
                    <w:t>Ⅲ</w:t>
                  </w:r>
                  <w:r>
                    <w:rPr>
                      <w:rFonts w:hint="eastAsia" w:cs="Times New Roman"/>
                      <w:color w:val="auto"/>
                      <w:szCs w:val="21"/>
                      <w:lang w:val="en-US"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685" w:type="pct"/>
                  <w:tcBorders>
                    <w:left w:val="single" w:color="auto" w:sz="4" w:space="0"/>
                    <w:bottom w:val="single" w:color="auto" w:sz="4" w:space="0"/>
                  </w:tcBorders>
                  <w:noWrap w:val="0"/>
                  <w:vAlign w:val="center"/>
                </w:tcPr>
                <w:p>
                  <w:pPr>
                    <w:spacing w:line="276"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生态环境</w:t>
                  </w:r>
                </w:p>
              </w:tc>
              <w:tc>
                <w:tcPr>
                  <w:tcW w:w="4314" w:type="pct"/>
                  <w:gridSpan w:val="7"/>
                  <w:tcBorders>
                    <w:bottom w:val="single" w:color="auto" w:sz="4" w:space="0"/>
                    <w:right w:val="single" w:color="auto" w:sz="4" w:space="0"/>
                  </w:tcBorders>
                  <w:noWrap w:val="0"/>
                  <w:vAlign w:val="center"/>
                </w:tcPr>
                <w:p>
                  <w:pPr>
                    <w:spacing w:line="276"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无特殊保护目标</w:t>
                  </w:r>
                </w:p>
              </w:tc>
            </w:tr>
          </w:tbl>
          <w:p>
            <w:pPr>
              <w:rPr>
                <w:rFonts w:ascii="Times New Roman" w:hAnsi="Times New Roman"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73" w:hRule="atLeast"/>
          <w:jc w:val="center"/>
        </w:trPr>
        <w:tc>
          <w:tcPr>
            <w:tcW w:w="532" w:type="dxa"/>
            <w:tcMar>
              <w:left w:w="28" w:type="dxa"/>
              <w:right w:w="28" w:type="dxa"/>
            </w:tcMar>
            <w:vAlign w:val="center"/>
          </w:tcPr>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污染</w:t>
            </w:r>
          </w:p>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物排</w:t>
            </w:r>
          </w:p>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放控</w:t>
            </w:r>
          </w:p>
          <w:p>
            <w:pPr>
              <w:spacing w:line="400" w:lineRule="exact"/>
              <w:jc w:val="center"/>
              <w:rPr>
                <w:rFonts w:ascii="Times New Roman" w:hAnsi="Times New Roman" w:cs="Times New Roman"/>
                <w:b/>
                <w:bCs/>
                <w:color w:val="auto"/>
                <w:sz w:val="24"/>
              </w:rPr>
            </w:pPr>
            <w:r>
              <w:rPr>
                <w:rFonts w:ascii="Times New Roman" w:hAnsi="Times New Roman" w:cs="Times New Roman"/>
                <w:b/>
                <w:bCs/>
                <w:color w:val="auto"/>
                <w:sz w:val="24"/>
              </w:rPr>
              <w:t>制标</w:t>
            </w:r>
          </w:p>
          <w:p>
            <w:pPr>
              <w:spacing w:line="400" w:lineRule="exact"/>
              <w:jc w:val="center"/>
              <w:rPr>
                <w:rFonts w:ascii="Times New Roman" w:hAnsi="Times New Roman" w:cs="Times New Roman"/>
                <w:b/>
                <w:bCs/>
                <w:color w:val="auto"/>
                <w:sz w:val="28"/>
                <w:szCs w:val="28"/>
              </w:rPr>
            </w:pPr>
            <w:r>
              <w:rPr>
                <w:rFonts w:ascii="Times New Roman" w:hAnsi="Times New Roman" w:cs="Times New Roman"/>
                <w:b/>
                <w:bCs/>
                <w:color w:val="auto"/>
                <w:sz w:val="24"/>
              </w:rPr>
              <w:t>准</w:t>
            </w:r>
          </w:p>
        </w:tc>
        <w:tc>
          <w:tcPr>
            <w:tcW w:w="8751" w:type="dxa"/>
            <w:vAlign w:val="center"/>
          </w:tcPr>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rPr>
            </w:pPr>
            <w:r>
              <w:rPr>
                <w:rFonts w:hint="eastAsia" w:ascii="Times New Roman" w:hAnsi="Times New Roman" w:cs="Times New Roman"/>
                <w:b/>
                <w:bCs/>
                <w:color w:val="auto"/>
                <w:sz w:val="24"/>
                <w:lang w:val="en-US" w:eastAsia="zh-CN"/>
              </w:rPr>
              <w:t>4.1</w:t>
            </w:r>
            <w:r>
              <w:rPr>
                <w:rFonts w:hint="eastAsia" w:ascii="Times New Roman" w:hAnsi="Times New Roman" w:eastAsia="宋体" w:cs="Times New Roman"/>
                <w:b/>
                <w:bCs/>
                <w:color w:val="auto"/>
                <w:sz w:val="24"/>
                <w:lang w:val="en-US" w:eastAsia="zh-CN"/>
              </w:rPr>
              <w:t>废气</w:t>
            </w:r>
          </w:p>
          <w:p>
            <w:pPr>
              <w:pStyle w:val="7"/>
              <w:numPr>
                <w:ilvl w:val="0"/>
                <w:numId w:val="0"/>
              </w:numPr>
              <w:spacing w:line="360" w:lineRule="auto"/>
              <w:ind w:leftChars="196"/>
              <w:jc w:val="both"/>
              <w:rPr>
                <w:rFonts w:hint="default" w:ascii="Times New Roman" w:hAnsi="Times New Roman" w:eastAsia="宋体" w:cs="Times New Roman"/>
                <w:b w:val="0"/>
                <w:color w:val="auto"/>
                <w:kern w:val="2"/>
                <w:sz w:val="24"/>
                <w:szCs w:val="24"/>
                <w:lang w:val="en-US" w:eastAsia="zh-CN" w:bidi="ar-SA"/>
              </w:rPr>
            </w:pPr>
            <w:r>
              <w:rPr>
                <w:rFonts w:hint="eastAsia" w:ascii="Times New Roman" w:hAnsi="Times New Roman" w:eastAsia="宋体" w:cs="Times New Roman"/>
                <w:b w:val="0"/>
                <w:color w:val="auto"/>
                <w:kern w:val="2"/>
                <w:sz w:val="24"/>
                <w:szCs w:val="24"/>
                <w:lang w:val="en-US" w:eastAsia="zh-CN" w:bidi="ar-SA"/>
              </w:rPr>
              <w:t>本项目产生</w:t>
            </w:r>
            <w:r>
              <w:rPr>
                <w:rFonts w:hint="eastAsia" w:cs="Times New Roman"/>
                <w:b w:val="0"/>
                <w:color w:val="auto"/>
                <w:kern w:val="2"/>
                <w:sz w:val="24"/>
                <w:szCs w:val="24"/>
                <w:lang w:val="en-US" w:eastAsia="zh-CN" w:bidi="ar-SA"/>
              </w:rPr>
              <w:t>废气为颗粒物和氨气</w:t>
            </w:r>
            <w:r>
              <w:rPr>
                <w:rFonts w:hint="eastAsia" w:ascii="Times New Roman" w:hAnsi="Times New Roman" w:eastAsia="宋体" w:cs="Times New Roman"/>
                <w:b w:val="0"/>
                <w:color w:val="auto"/>
                <w:kern w:val="2"/>
                <w:sz w:val="24"/>
                <w:szCs w:val="24"/>
                <w:lang w:val="en-US" w:eastAsia="zh-CN" w:bidi="ar-SA"/>
              </w:rPr>
              <w:t>，执行标准如下：</w:t>
            </w:r>
          </w:p>
          <w:p>
            <w:pPr>
              <w:pStyle w:val="7"/>
              <w:numPr>
                <w:ilvl w:val="0"/>
                <w:numId w:val="0"/>
              </w:numPr>
              <w:spacing w:line="360" w:lineRule="auto"/>
              <w:ind w:leftChars="196"/>
              <w:jc w:val="both"/>
              <w:rPr>
                <w:rFonts w:hint="default" w:ascii="Times New Roman" w:hAnsi="Times New Roman" w:eastAsia="宋体" w:cs="Times New Roman"/>
                <w:b w:val="0"/>
                <w:color w:val="auto"/>
                <w:kern w:val="2"/>
                <w:sz w:val="24"/>
                <w:szCs w:val="24"/>
                <w:lang w:val="en-US" w:eastAsia="zh-CN" w:bidi="ar-SA"/>
              </w:rPr>
            </w:pPr>
            <w:r>
              <w:rPr>
                <w:rFonts w:hint="eastAsia" w:ascii="Times New Roman" w:hAnsi="Times New Roman" w:eastAsia="宋体" w:cs="Times New Roman"/>
                <w:b w:val="0"/>
                <w:color w:val="auto"/>
                <w:kern w:val="2"/>
                <w:sz w:val="24"/>
                <w:szCs w:val="24"/>
                <w:lang w:val="en-US" w:eastAsia="zh-CN" w:bidi="ar-SA"/>
              </w:rPr>
              <w:t>（1）颗粒物</w:t>
            </w:r>
          </w:p>
          <w:p>
            <w:pPr>
              <w:pStyle w:val="7"/>
              <w:numPr>
                <w:ilvl w:val="0"/>
                <w:numId w:val="0"/>
              </w:numPr>
              <w:spacing w:line="360" w:lineRule="auto"/>
              <w:ind w:leftChars="196"/>
              <w:jc w:val="center"/>
              <w:rPr>
                <w:rFonts w:hint="eastAsia" w:ascii="Times New Roman" w:hAnsi="Times New Roman" w:eastAsia="黑体" w:cs="Times New Roman"/>
                <w:b w:val="0"/>
                <w:color w:val="auto"/>
                <w:kern w:val="2"/>
                <w:sz w:val="24"/>
                <w:szCs w:val="24"/>
                <w:highlight w:val="none"/>
                <w:lang w:val="en-US" w:eastAsia="zh-CN" w:bidi="ar-SA"/>
              </w:rPr>
            </w:pPr>
            <w:r>
              <w:rPr>
                <w:rFonts w:hint="eastAsia" w:ascii="Times New Roman" w:hAnsi="Times New Roman" w:eastAsia="黑体" w:cs="Times New Roman"/>
                <w:b w:val="0"/>
                <w:color w:val="auto"/>
                <w:kern w:val="2"/>
                <w:sz w:val="24"/>
                <w:szCs w:val="24"/>
                <w:highlight w:val="none"/>
                <w:lang w:val="en-US" w:eastAsia="zh-CN" w:bidi="ar-SA"/>
              </w:rPr>
              <w:t>表</w:t>
            </w:r>
            <w:r>
              <w:rPr>
                <w:rFonts w:hint="eastAsia" w:eastAsia="黑体" w:cs="Times New Roman"/>
                <w:b w:val="0"/>
                <w:color w:val="auto"/>
                <w:kern w:val="2"/>
                <w:sz w:val="24"/>
                <w:szCs w:val="24"/>
                <w:highlight w:val="none"/>
                <w:lang w:val="en-US" w:eastAsia="zh-CN" w:bidi="ar-SA"/>
              </w:rPr>
              <w:t>29</w:t>
            </w:r>
            <w:r>
              <w:rPr>
                <w:rFonts w:hint="eastAsia" w:ascii="Times New Roman" w:hAnsi="Times New Roman" w:eastAsia="黑体" w:cs="Times New Roman"/>
                <w:b w:val="0"/>
                <w:color w:val="auto"/>
                <w:kern w:val="2"/>
                <w:sz w:val="24"/>
                <w:szCs w:val="24"/>
                <w:highlight w:val="none"/>
                <w:lang w:val="en-US" w:eastAsia="zh-CN" w:bidi="ar-SA"/>
              </w:rPr>
              <w:t xml:space="preserve">   大气污染物排放标准限值</w:t>
            </w:r>
          </w:p>
          <w:tbl>
            <w:tblPr>
              <w:tblStyle w:val="28"/>
              <w:tblW w:w="86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09"/>
              <w:gridCol w:w="1729"/>
              <w:gridCol w:w="2329"/>
              <w:gridCol w:w="1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9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标准名称及类别</w:t>
                  </w:r>
                </w:p>
              </w:tc>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污染物因子</w:t>
                  </w:r>
                </w:p>
              </w:tc>
              <w:tc>
                <w:tcPr>
                  <w:tcW w:w="3982"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29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《大气污染物综合排放标准》（GB16297-1996）</w:t>
                  </w:r>
                </w:p>
              </w:tc>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颗粒物</w:t>
                  </w:r>
                </w:p>
              </w:tc>
              <w:tc>
                <w:tcPr>
                  <w:tcW w:w="23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企业边界大气污染物浓度限值</w:t>
                  </w:r>
                </w:p>
              </w:tc>
              <w:tc>
                <w:tcPr>
                  <w:tcW w:w="16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1.0mg/m</w:t>
                  </w:r>
                  <w:r>
                    <w:rPr>
                      <w:rFonts w:ascii="Times New Roman" w:hAnsi="Times New Roman" w:cs="Times New Roman"/>
                      <w:b w:val="0"/>
                      <w:bCs w:val="0"/>
                      <w:color w:val="auto"/>
                      <w:sz w:val="21"/>
                      <w:szCs w:val="21"/>
                      <w:vertAlign w:val="superscript"/>
                    </w:rPr>
                    <w:t>3</w:t>
                  </w:r>
                </w:p>
              </w:tc>
            </w:tr>
          </w:tbl>
          <w:p>
            <w:pPr>
              <w:spacing w:line="400" w:lineRule="exact"/>
              <w:jc w:val="both"/>
              <w:rPr>
                <w:rFonts w:hint="default" w:ascii="Times New Roman" w:hAnsi="Times New Roman" w:eastAsia="宋体" w:cs="Times New Roman"/>
                <w:b w:val="0"/>
                <w:color w:val="auto"/>
                <w:kern w:val="2"/>
                <w:sz w:val="24"/>
                <w:szCs w:val="24"/>
                <w:lang w:val="en-US" w:eastAsia="zh-CN" w:bidi="ar-SA"/>
              </w:rPr>
            </w:pPr>
            <w:r>
              <w:rPr>
                <w:rFonts w:hint="eastAsia" w:hAnsi="黑体" w:eastAsia="黑体"/>
                <w:color w:val="auto"/>
                <w:sz w:val="24"/>
                <w:szCs w:val="24"/>
                <w:u w:val="none"/>
                <w:lang w:val="en-US" w:eastAsia="zh-CN"/>
              </w:rPr>
              <w:t xml:space="preserve">   （2）</w:t>
            </w:r>
            <w:r>
              <w:rPr>
                <w:rFonts w:hint="eastAsia" w:ascii="Times New Roman" w:hAnsi="Times New Roman" w:eastAsia="宋体" w:cs="Times New Roman"/>
                <w:b w:val="0"/>
                <w:color w:val="auto"/>
                <w:kern w:val="2"/>
                <w:sz w:val="24"/>
                <w:szCs w:val="24"/>
                <w:lang w:val="en-US" w:eastAsia="zh-CN" w:bidi="ar-SA"/>
              </w:rPr>
              <w:t>氨气无组织</w:t>
            </w:r>
          </w:p>
          <w:p>
            <w:pPr>
              <w:spacing w:line="400" w:lineRule="exact"/>
              <w:jc w:val="center"/>
              <w:rPr>
                <w:rFonts w:hint="eastAsia" w:ascii="Times New Roman" w:hAnsi="黑体" w:eastAsia="黑体" w:cs="Times New Roman"/>
                <w:color w:val="auto"/>
                <w:sz w:val="24"/>
                <w:szCs w:val="24"/>
                <w:u w:val="none"/>
              </w:rPr>
            </w:pPr>
            <w:r>
              <w:rPr>
                <w:rFonts w:hAnsi="黑体" w:eastAsia="黑体"/>
                <w:color w:val="auto"/>
                <w:sz w:val="24"/>
                <w:szCs w:val="24"/>
                <w:u w:val="none"/>
              </w:rPr>
              <w:t>表</w:t>
            </w:r>
            <w:r>
              <w:rPr>
                <w:rFonts w:hint="eastAsia" w:hAnsi="黑体" w:eastAsia="黑体"/>
                <w:color w:val="auto"/>
                <w:sz w:val="24"/>
                <w:szCs w:val="24"/>
                <w:u w:val="none"/>
                <w:lang w:val="en-US" w:eastAsia="zh-CN"/>
              </w:rPr>
              <w:t>30</w:t>
            </w:r>
            <w:r>
              <w:rPr>
                <w:rFonts w:hint="eastAsia" w:hAnsi="黑体" w:eastAsia="黑体"/>
                <w:color w:val="auto"/>
                <w:sz w:val="24"/>
                <w:szCs w:val="24"/>
                <w:u w:val="none"/>
              </w:rPr>
              <w:t xml:space="preserve"> </w:t>
            </w:r>
            <w:r>
              <w:rPr>
                <w:rFonts w:hAnsi="黑体" w:eastAsia="黑体"/>
                <w:color w:val="auto"/>
                <w:sz w:val="24"/>
                <w:szCs w:val="24"/>
                <w:u w:val="none"/>
              </w:rPr>
              <w:t xml:space="preserve">  </w:t>
            </w:r>
            <w:r>
              <w:rPr>
                <w:rFonts w:hint="eastAsia" w:ascii="Times New Roman" w:hAnsi="黑体" w:eastAsia="黑体" w:cs="Times New Roman"/>
                <w:color w:val="auto"/>
                <w:sz w:val="24"/>
                <w:szCs w:val="24"/>
                <w:u w:val="none"/>
              </w:rPr>
              <w:t>《恶臭污染物排放标准》(GB14554-1993)</w:t>
            </w:r>
            <w:r>
              <w:rPr>
                <w:rFonts w:hint="eastAsia" w:hAnsi="黑体" w:eastAsia="黑体" w:cs="Times New Roman"/>
                <w:color w:val="auto"/>
                <w:sz w:val="24"/>
                <w:szCs w:val="24"/>
                <w:u w:val="none"/>
                <w:lang w:val="en-US" w:eastAsia="zh-CN"/>
              </w:rPr>
              <w:t xml:space="preserve">  </w:t>
            </w:r>
            <w:r>
              <w:rPr>
                <w:rFonts w:hint="eastAsia" w:ascii="Times New Roman" w:hAnsi="黑体" w:eastAsia="黑体" w:cs="Times New Roman"/>
                <w:color w:val="auto"/>
                <w:sz w:val="24"/>
                <w:szCs w:val="24"/>
                <w:u w:val="none"/>
              </w:rPr>
              <w:t>表 1</w:t>
            </w:r>
          </w:p>
          <w:tbl>
            <w:tblPr>
              <w:tblStyle w:val="28"/>
              <w:tblW w:w="85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80"/>
              <w:gridCol w:w="2619"/>
              <w:gridCol w:w="2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72" w:hRule="atLeast"/>
                <w:jc w:val="center"/>
              </w:trPr>
              <w:tc>
                <w:tcPr>
                  <w:tcW w:w="3280" w:type="dxa"/>
                  <w:noWrap w:val="0"/>
                  <w:vAlign w:val="center"/>
                </w:tcPr>
                <w:p>
                  <w:pPr>
                    <w:spacing w:line="240" w:lineRule="exact"/>
                    <w:jc w:val="center"/>
                    <w:rPr>
                      <w:rFonts w:hint="eastAsia"/>
                      <w:color w:val="auto"/>
                      <w:kern w:val="0"/>
                      <w:szCs w:val="21"/>
                      <w:u w:val="none"/>
                    </w:rPr>
                  </w:pPr>
                  <w:r>
                    <w:rPr>
                      <w:rFonts w:hint="eastAsia"/>
                      <w:color w:val="auto"/>
                      <w:kern w:val="0"/>
                      <w:szCs w:val="21"/>
                      <w:u w:val="none"/>
                    </w:rPr>
                    <w:t>污染物名称</w:t>
                  </w:r>
                </w:p>
              </w:tc>
              <w:tc>
                <w:tcPr>
                  <w:tcW w:w="2619" w:type="dxa"/>
                  <w:noWrap w:val="0"/>
                  <w:vAlign w:val="center"/>
                </w:tcPr>
                <w:p>
                  <w:pPr>
                    <w:spacing w:line="240" w:lineRule="exact"/>
                    <w:jc w:val="center"/>
                    <w:rPr>
                      <w:rFonts w:hint="eastAsia"/>
                      <w:color w:val="auto"/>
                      <w:kern w:val="0"/>
                      <w:szCs w:val="21"/>
                      <w:u w:val="none"/>
                    </w:rPr>
                  </w:pPr>
                  <w:r>
                    <w:rPr>
                      <w:rFonts w:hint="eastAsia"/>
                      <w:color w:val="auto"/>
                      <w:kern w:val="0"/>
                      <w:szCs w:val="21"/>
                      <w:u w:val="none"/>
                      <w:lang w:val="en-US" w:eastAsia="zh-CN"/>
                    </w:rPr>
                    <w:t>单位</w:t>
                  </w:r>
                </w:p>
              </w:tc>
              <w:tc>
                <w:tcPr>
                  <w:tcW w:w="2687" w:type="dxa"/>
                  <w:noWrap w:val="0"/>
                  <w:vAlign w:val="center"/>
                </w:tcPr>
                <w:p>
                  <w:pPr>
                    <w:spacing w:line="240" w:lineRule="exact"/>
                    <w:jc w:val="center"/>
                    <w:rPr>
                      <w:rFonts w:hint="eastAsia" w:eastAsia="宋体"/>
                      <w:color w:val="auto"/>
                      <w:kern w:val="0"/>
                      <w:szCs w:val="21"/>
                      <w:u w:val="none"/>
                      <w:lang w:val="en-US" w:eastAsia="zh-CN"/>
                    </w:rPr>
                  </w:pPr>
                  <w:r>
                    <w:rPr>
                      <w:rFonts w:hint="eastAsia"/>
                      <w:color w:val="auto"/>
                      <w:kern w:val="0"/>
                      <w:szCs w:val="21"/>
                      <w:u w:val="none"/>
                      <w:lang w:val="en-US" w:eastAsia="zh-CN"/>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7" w:hRule="atLeast"/>
                <w:jc w:val="center"/>
              </w:trPr>
              <w:tc>
                <w:tcPr>
                  <w:tcW w:w="3280" w:type="dxa"/>
                  <w:noWrap w:val="0"/>
                  <w:vAlign w:val="center"/>
                </w:tcPr>
                <w:p>
                  <w:pPr>
                    <w:spacing w:line="240" w:lineRule="exact"/>
                    <w:jc w:val="center"/>
                    <w:rPr>
                      <w:rFonts w:hint="eastAsia"/>
                      <w:color w:val="auto"/>
                      <w:kern w:val="0"/>
                      <w:szCs w:val="21"/>
                      <w:u w:val="none"/>
                    </w:rPr>
                  </w:pPr>
                  <w:r>
                    <w:rPr>
                      <w:rFonts w:hint="eastAsia"/>
                      <w:color w:val="auto"/>
                      <w:kern w:val="0"/>
                      <w:szCs w:val="21"/>
                      <w:u w:val="none"/>
                    </w:rPr>
                    <w:t>氨</w:t>
                  </w:r>
                </w:p>
              </w:tc>
              <w:tc>
                <w:tcPr>
                  <w:tcW w:w="2619" w:type="dxa"/>
                  <w:noWrap w:val="0"/>
                  <w:vAlign w:val="center"/>
                </w:tcPr>
                <w:p>
                  <w:pPr>
                    <w:spacing w:line="240" w:lineRule="exact"/>
                    <w:jc w:val="center"/>
                    <w:rPr>
                      <w:rFonts w:hint="eastAsia"/>
                      <w:color w:val="auto"/>
                      <w:kern w:val="0"/>
                      <w:szCs w:val="21"/>
                      <w:u w:val="none"/>
                    </w:rPr>
                  </w:pPr>
                  <w:r>
                    <w:rPr>
                      <w:rFonts w:hint="eastAsia"/>
                      <w:color w:val="auto"/>
                      <w:kern w:val="0"/>
                      <w:szCs w:val="21"/>
                      <w:u w:val="none"/>
                    </w:rPr>
                    <w:t>mg/m</w:t>
                  </w:r>
                  <w:r>
                    <w:rPr>
                      <w:rFonts w:hint="eastAsia"/>
                      <w:color w:val="auto"/>
                      <w:kern w:val="0"/>
                      <w:szCs w:val="21"/>
                      <w:u w:val="none"/>
                      <w:vertAlign w:val="superscript"/>
                    </w:rPr>
                    <w:t>3</w:t>
                  </w:r>
                </w:p>
              </w:tc>
              <w:tc>
                <w:tcPr>
                  <w:tcW w:w="2687" w:type="dxa"/>
                  <w:noWrap w:val="0"/>
                  <w:vAlign w:val="center"/>
                </w:tcPr>
                <w:p>
                  <w:pPr>
                    <w:spacing w:line="240" w:lineRule="exact"/>
                    <w:jc w:val="center"/>
                    <w:rPr>
                      <w:rFonts w:hint="default" w:eastAsia="宋体"/>
                      <w:color w:val="auto"/>
                      <w:kern w:val="0"/>
                      <w:szCs w:val="21"/>
                      <w:u w:val="none"/>
                      <w:lang w:val="en-US" w:eastAsia="zh-CN"/>
                    </w:rPr>
                  </w:pPr>
                  <w:r>
                    <w:rPr>
                      <w:rFonts w:hint="eastAsia"/>
                      <w:color w:val="auto"/>
                      <w:kern w:val="0"/>
                      <w:szCs w:val="21"/>
                      <w:u w:val="none"/>
                      <w:lang w:val="en-US" w:eastAsia="zh-CN"/>
                    </w:rPr>
                    <w:t>1.5</w:t>
                  </w:r>
                </w:p>
              </w:tc>
            </w:tr>
          </w:tbl>
          <w:p>
            <w:pPr>
              <w:spacing w:line="400" w:lineRule="exact"/>
              <w:ind w:firstLine="480" w:firstLineChars="200"/>
              <w:jc w:val="both"/>
              <w:rPr>
                <w:rFonts w:hAnsi="黑体" w:eastAsia="黑体"/>
                <w:color w:val="auto"/>
                <w:sz w:val="24"/>
                <w:szCs w:val="24"/>
                <w:u w:val="none"/>
              </w:rPr>
            </w:pPr>
            <w:r>
              <w:rPr>
                <w:rFonts w:hint="eastAsia" w:hAnsi="黑体" w:eastAsia="黑体"/>
                <w:color w:val="auto"/>
                <w:sz w:val="24"/>
                <w:szCs w:val="24"/>
                <w:u w:val="none"/>
                <w:lang w:val="en-US" w:eastAsia="zh-CN"/>
              </w:rPr>
              <w:t>（3）</w:t>
            </w:r>
            <w:r>
              <w:rPr>
                <w:rFonts w:hint="eastAsia" w:ascii="Times New Roman" w:hAnsi="Times New Roman" w:eastAsia="宋体" w:cs="Times New Roman"/>
                <w:b w:val="0"/>
                <w:color w:val="auto"/>
                <w:kern w:val="2"/>
                <w:sz w:val="24"/>
                <w:szCs w:val="24"/>
                <w:lang w:val="en-US" w:eastAsia="zh-CN" w:bidi="ar-SA"/>
              </w:rPr>
              <w:t>氨气</w:t>
            </w:r>
            <w:r>
              <w:rPr>
                <w:rFonts w:hint="eastAsia" w:cs="Times New Roman"/>
                <w:b w:val="0"/>
                <w:color w:val="auto"/>
                <w:kern w:val="2"/>
                <w:sz w:val="24"/>
                <w:szCs w:val="24"/>
                <w:lang w:val="en-US" w:eastAsia="zh-CN" w:bidi="ar-SA"/>
              </w:rPr>
              <w:t>有</w:t>
            </w:r>
            <w:r>
              <w:rPr>
                <w:rFonts w:hint="eastAsia" w:ascii="Times New Roman" w:hAnsi="Times New Roman" w:eastAsia="宋体" w:cs="Times New Roman"/>
                <w:b w:val="0"/>
                <w:color w:val="auto"/>
                <w:kern w:val="2"/>
                <w:sz w:val="24"/>
                <w:szCs w:val="24"/>
                <w:lang w:val="en-US" w:eastAsia="zh-CN" w:bidi="ar-SA"/>
              </w:rPr>
              <w:t>组织</w:t>
            </w:r>
          </w:p>
          <w:p>
            <w:pPr>
              <w:spacing w:line="400" w:lineRule="exact"/>
              <w:jc w:val="center"/>
              <w:rPr>
                <w:rFonts w:hint="eastAsia" w:ascii="Times New Roman" w:hAnsi="黑体" w:eastAsia="黑体" w:cs="Times New Roman"/>
                <w:color w:val="auto"/>
                <w:sz w:val="24"/>
                <w:szCs w:val="24"/>
                <w:u w:val="none"/>
                <w:lang w:eastAsia="zh-CN"/>
              </w:rPr>
            </w:pPr>
            <w:r>
              <w:rPr>
                <w:rFonts w:hAnsi="黑体" w:eastAsia="黑体"/>
                <w:color w:val="auto"/>
                <w:sz w:val="24"/>
                <w:szCs w:val="24"/>
                <w:u w:val="none"/>
              </w:rPr>
              <w:t>表</w:t>
            </w:r>
            <w:r>
              <w:rPr>
                <w:rFonts w:hint="eastAsia" w:hAnsi="黑体" w:eastAsia="黑体"/>
                <w:color w:val="auto"/>
                <w:sz w:val="24"/>
                <w:szCs w:val="24"/>
                <w:u w:val="none"/>
                <w:lang w:val="en-US" w:eastAsia="zh-CN"/>
              </w:rPr>
              <w:t>31</w:t>
            </w:r>
            <w:r>
              <w:rPr>
                <w:rFonts w:hint="eastAsia" w:hAnsi="黑体" w:eastAsia="黑体"/>
                <w:color w:val="auto"/>
                <w:sz w:val="24"/>
                <w:szCs w:val="24"/>
                <w:u w:val="none"/>
              </w:rPr>
              <w:t xml:space="preserve"> </w:t>
            </w:r>
            <w:r>
              <w:rPr>
                <w:rFonts w:hAnsi="黑体" w:eastAsia="黑体"/>
                <w:color w:val="auto"/>
                <w:sz w:val="24"/>
                <w:szCs w:val="24"/>
                <w:u w:val="none"/>
              </w:rPr>
              <w:t xml:space="preserve">  </w:t>
            </w:r>
            <w:r>
              <w:rPr>
                <w:rFonts w:hint="eastAsia" w:ascii="Times New Roman" w:hAnsi="黑体" w:eastAsia="黑体" w:cs="Times New Roman"/>
                <w:color w:val="auto"/>
                <w:sz w:val="24"/>
                <w:szCs w:val="24"/>
                <w:u w:val="none"/>
              </w:rPr>
              <w:t xml:space="preserve">《恶臭污染物排放标准》(GB14554-1993)表 </w:t>
            </w:r>
            <w:r>
              <w:rPr>
                <w:rFonts w:hint="eastAsia" w:ascii="Times New Roman" w:hAnsi="黑体" w:eastAsia="黑体" w:cs="Times New Roman"/>
                <w:color w:val="auto"/>
                <w:sz w:val="24"/>
                <w:szCs w:val="24"/>
                <w:u w:val="none"/>
                <w:lang w:val="en-US" w:eastAsia="zh-CN"/>
              </w:rPr>
              <w:t>2</w:t>
            </w:r>
          </w:p>
          <w:tbl>
            <w:tblPr>
              <w:tblStyle w:val="28"/>
              <w:tblW w:w="8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80"/>
              <w:gridCol w:w="2619"/>
              <w:gridCol w:w="2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2" w:hRule="atLeast"/>
                <w:jc w:val="center"/>
              </w:trPr>
              <w:tc>
                <w:tcPr>
                  <w:tcW w:w="3280" w:type="dxa"/>
                  <w:noWrap w:val="0"/>
                  <w:vAlign w:val="center"/>
                </w:tcPr>
                <w:p>
                  <w:pPr>
                    <w:spacing w:line="240" w:lineRule="exact"/>
                    <w:jc w:val="center"/>
                    <w:rPr>
                      <w:rFonts w:hint="eastAsia"/>
                      <w:color w:val="auto"/>
                      <w:kern w:val="0"/>
                      <w:szCs w:val="21"/>
                      <w:u w:val="none"/>
                    </w:rPr>
                  </w:pPr>
                  <w:r>
                    <w:rPr>
                      <w:rFonts w:hint="eastAsia"/>
                      <w:color w:val="auto"/>
                      <w:kern w:val="0"/>
                      <w:szCs w:val="21"/>
                      <w:u w:val="none"/>
                    </w:rPr>
                    <w:t>污染物名称</w:t>
                  </w:r>
                </w:p>
              </w:tc>
              <w:tc>
                <w:tcPr>
                  <w:tcW w:w="2619" w:type="dxa"/>
                  <w:noWrap w:val="0"/>
                  <w:vAlign w:val="center"/>
                </w:tcPr>
                <w:p>
                  <w:pPr>
                    <w:spacing w:line="240" w:lineRule="exact"/>
                    <w:jc w:val="center"/>
                    <w:rPr>
                      <w:rFonts w:hint="default"/>
                      <w:color w:val="auto"/>
                      <w:kern w:val="0"/>
                      <w:szCs w:val="21"/>
                      <w:u w:val="none"/>
                      <w:lang w:val="en-US"/>
                    </w:rPr>
                  </w:pPr>
                  <w:r>
                    <w:rPr>
                      <w:rFonts w:hint="eastAsia"/>
                      <w:color w:val="auto"/>
                      <w:kern w:val="0"/>
                      <w:szCs w:val="21"/>
                      <w:u w:val="none"/>
                      <w:lang w:val="en-US" w:eastAsia="zh-CN"/>
                    </w:rPr>
                    <w:t>排气筒高度m</w:t>
                  </w:r>
                </w:p>
              </w:tc>
              <w:tc>
                <w:tcPr>
                  <w:tcW w:w="2672" w:type="dxa"/>
                  <w:noWrap w:val="0"/>
                  <w:vAlign w:val="center"/>
                </w:tcPr>
                <w:p>
                  <w:pPr>
                    <w:spacing w:line="240" w:lineRule="exact"/>
                    <w:jc w:val="center"/>
                    <w:rPr>
                      <w:rFonts w:hint="default" w:eastAsia="宋体"/>
                      <w:color w:val="auto"/>
                      <w:kern w:val="0"/>
                      <w:szCs w:val="21"/>
                      <w:u w:val="none"/>
                      <w:lang w:val="en-US" w:eastAsia="zh-CN"/>
                    </w:rPr>
                  </w:pPr>
                  <w:r>
                    <w:rPr>
                      <w:rFonts w:hint="eastAsia" w:eastAsia="宋体"/>
                      <w:color w:val="auto"/>
                      <w:kern w:val="0"/>
                      <w:szCs w:val="21"/>
                      <w:u w:val="none"/>
                      <w:lang w:val="en-US" w:eastAsia="zh-CN"/>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7" w:hRule="atLeast"/>
                <w:jc w:val="center"/>
              </w:trPr>
              <w:tc>
                <w:tcPr>
                  <w:tcW w:w="3280" w:type="dxa"/>
                  <w:noWrap w:val="0"/>
                  <w:vAlign w:val="center"/>
                </w:tcPr>
                <w:p>
                  <w:pPr>
                    <w:spacing w:line="240" w:lineRule="exact"/>
                    <w:jc w:val="center"/>
                    <w:rPr>
                      <w:rFonts w:hint="eastAsia"/>
                      <w:color w:val="auto"/>
                      <w:kern w:val="0"/>
                      <w:szCs w:val="21"/>
                      <w:u w:val="none"/>
                    </w:rPr>
                  </w:pPr>
                  <w:r>
                    <w:rPr>
                      <w:rFonts w:hint="eastAsia"/>
                      <w:color w:val="auto"/>
                      <w:kern w:val="0"/>
                      <w:szCs w:val="21"/>
                      <w:u w:val="none"/>
                    </w:rPr>
                    <w:t>氨</w:t>
                  </w:r>
                </w:p>
              </w:tc>
              <w:tc>
                <w:tcPr>
                  <w:tcW w:w="2619" w:type="dxa"/>
                  <w:noWrap w:val="0"/>
                  <w:vAlign w:val="center"/>
                </w:tcPr>
                <w:p>
                  <w:pPr>
                    <w:spacing w:line="240" w:lineRule="exact"/>
                    <w:jc w:val="center"/>
                    <w:rPr>
                      <w:rFonts w:hint="default" w:eastAsia="宋体"/>
                      <w:color w:val="auto"/>
                      <w:kern w:val="0"/>
                      <w:szCs w:val="21"/>
                      <w:u w:val="none"/>
                      <w:lang w:val="en-US" w:eastAsia="zh-CN"/>
                    </w:rPr>
                  </w:pPr>
                  <w:r>
                    <w:rPr>
                      <w:rFonts w:hint="eastAsia"/>
                      <w:color w:val="auto"/>
                      <w:kern w:val="0"/>
                      <w:szCs w:val="21"/>
                      <w:u w:val="none"/>
                      <w:lang w:val="en-US" w:eastAsia="zh-CN"/>
                    </w:rPr>
                    <w:t>15</w:t>
                  </w:r>
                </w:p>
              </w:tc>
              <w:tc>
                <w:tcPr>
                  <w:tcW w:w="2672" w:type="dxa"/>
                  <w:noWrap w:val="0"/>
                  <w:vAlign w:val="center"/>
                </w:tcPr>
                <w:p>
                  <w:pPr>
                    <w:spacing w:line="240" w:lineRule="exact"/>
                    <w:jc w:val="center"/>
                    <w:rPr>
                      <w:rFonts w:hint="default" w:eastAsia="宋体"/>
                      <w:color w:val="auto"/>
                      <w:kern w:val="0"/>
                      <w:szCs w:val="21"/>
                      <w:u w:val="none"/>
                      <w:lang w:val="en-US" w:eastAsia="zh-CN"/>
                    </w:rPr>
                  </w:pPr>
                  <w:r>
                    <w:rPr>
                      <w:rFonts w:hint="eastAsia"/>
                      <w:color w:val="auto"/>
                      <w:kern w:val="0"/>
                      <w:szCs w:val="21"/>
                      <w:u w:val="none"/>
                      <w:lang w:val="en-US" w:eastAsia="zh-CN"/>
                    </w:rPr>
                    <w:t>4.9</w:t>
                  </w:r>
                </w:p>
              </w:tc>
            </w:tr>
          </w:tbl>
          <w:p>
            <w:pPr>
              <w:pStyle w:val="24"/>
              <w:keepNext w:val="0"/>
              <w:keepLines w:val="0"/>
              <w:widowControl/>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kern w:val="2"/>
                <w:sz w:val="24"/>
                <w:szCs w:val="24"/>
                <w:lang w:val="en-US" w:eastAsia="zh-CN" w:bidi="ar-SA"/>
              </w:rPr>
            </w:pPr>
          </w:p>
          <w:p>
            <w:pPr>
              <w:pStyle w:val="24"/>
              <w:keepNext w:val="0"/>
              <w:keepLines w:val="0"/>
              <w:widowControl/>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4.2废水</w:t>
            </w:r>
          </w:p>
          <w:p>
            <w:pPr>
              <w:spacing w:line="360" w:lineRule="auto"/>
              <w:ind w:firstLine="480" w:firstLineChars="200"/>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本项目不涉及废水外排。</w:t>
            </w:r>
          </w:p>
          <w:p>
            <w:pPr>
              <w:spacing w:line="360" w:lineRule="auto"/>
              <w:ind w:firstLine="482" w:firstLineChars="200"/>
              <w:rPr>
                <w:rFonts w:hint="eastAsia" w:ascii="Times New Roman" w:hAnsi="Times New Roman" w:cs="Times New Roman"/>
                <w:color w:val="auto"/>
                <w:sz w:val="24"/>
              </w:rPr>
            </w:pPr>
            <w:r>
              <w:rPr>
                <w:rFonts w:hint="eastAsia" w:ascii="Times New Roman" w:hAnsi="Times New Roman" w:cs="Times New Roman"/>
                <w:b/>
                <w:bCs/>
                <w:color w:val="auto"/>
                <w:sz w:val="24"/>
                <w:lang w:val="en-US" w:eastAsia="zh-CN"/>
              </w:rPr>
              <w:t>4.</w:t>
            </w:r>
            <w:r>
              <w:rPr>
                <w:rFonts w:hint="eastAsia" w:cs="Times New Roman"/>
                <w:b/>
                <w:bCs/>
                <w:color w:val="auto"/>
                <w:sz w:val="24"/>
                <w:lang w:val="en-US" w:eastAsia="zh-CN"/>
              </w:rPr>
              <w:t>3噪声</w:t>
            </w:r>
          </w:p>
          <w:p>
            <w:pPr>
              <w:pStyle w:val="24"/>
              <w:keepNext w:val="0"/>
              <w:keepLines w:val="0"/>
              <w:widowControl/>
              <w:suppressLineNumbers w:val="0"/>
              <w:spacing w:before="0" w:beforeAutospacing="0" w:after="0" w:afterAutospacing="0" w:line="360" w:lineRule="auto"/>
              <w:ind w:left="0" w:right="0" w:firstLine="480" w:firstLineChars="200"/>
              <w:rPr>
                <w:rFonts w:hint="eastAsia" w:ascii="Times New Roman" w:hAnsi="Times New Roman" w:eastAsia="宋体"/>
                <w:color w:val="auto"/>
                <w:lang w:eastAsia="zh-CN"/>
              </w:rPr>
            </w:pPr>
            <w:r>
              <w:rPr>
                <w:rFonts w:hint="eastAsia" w:ascii="Times New Roman" w:hAnsi="Times New Roman" w:eastAsia="宋体"/>
                <w:color w:val="auto"/>
                <w:lang w:eastAsia="zh-CN"/>
              </w:rPr>
              <w:t>①施工噪声执行《建筑施工场界环境噪声排放标准》（GB12523-2011），具体标准值见</w:t>
            </w:r>
            <w:r>
              <w:rPr>
                <w:rFonts w:hint="eastAsia" w:ascii="Times New Roman" w:hAnsi="Times New Roman" w:eastAsia="宋体"/>
                <w:color w:val="auto"/>
                <w:lang w:val="en-US" w:eastAsia="zh-CN"/>
              </w:rPr>
              <w:t>下</w:t>
            </w:r>
            <w:r>
              <w:rPr>
                <w:rFonts w:hint="eastAsia" w:ascii="Times New Roman" w:hAnsi="Times New Roman" w:eastAsia="宋体"/>
                <w:color w:val="auto"/>
                <w:lang w:eastAsia="zh-CN"/>
              </w:rPr>
              <w:t>表：</w:t>
            </w:r>
          </w:p>
          <w:p>
            <w:pPr>
              <w:pStyle w:val="13"/>
              <w:spacing w:line="360" w:lineRule="auto"/>
              <w:jc w:val="center"/>
              <w:rPr>
                <w:rFonts w:hint="eastAsia" w:ascii="Times New Roman" w:hAnsi="黑体" w:eastAsia="黑体" w:cs="Times New Roman"/>
                <w:color w:val="auto"/>
                <w:kern w:val="2"/>
                <w:sz w:val="24"/>
                <w:lang w:val="en-US" w:eastAsia="zh-CN" w:bidi="ar-SA"/>
              </w:rPr>
            </w:pPr>
            <w:r>
              <w:rPr>
                <w:rFonts w:hint="eastAsia" w:ascii="Times New Roman" w:hAnsi="Times New Roman" w:eastAsia="宋体" w:cs="宋体"/>
                <w:b/>
                <w:bCs/>
                <w:color w:val="auto"/>
                <w:kern w:val="0"/>
                <w:sz w:val="24"/>
                <w:szCs w:val="24"/>
                <w:lang w:val="en-US" w:eastAsia="zh-CN" w:bidi="ar"/>
              </w:rPr>
              <w:t xml:space="preserve">    </w:t>
            </w:r>
            <w:r>
              <w:rPr>
                <w:rFonts w:hint="eastAsia" w:ascii="Times New Roman" w:hAnsi="黑体" w:eastAsia="黑体" w:cs="Times New Roman"/>
                <w:color w:val="auto"/>
                <w:kern w:val="2"/>
                <w:sz w:val="24"/>
                <w:lang w:val="en-US" w:eastAsia="zh-CN" w:bidi="ar-SA"/>
              </w:rPr>
              <w:t xml:space="preserve"> 表 </w:t>
            </w:r>
            <w:r>
              <w:rPr>
                <w:rFonts w:hint="eastAsia" w:hAnsi="黑体" w:eastAsia="黑体" w:cs="Times New Roman"/>
                <w:color w:val="auto"/>
                <w:kern w:val="2"/>
                <w:sz w:val="24"/>
                <w:lang w:val="en-US" w:eastAsia="zh-CN" w:bidi="ar-SA"/>
              </w:rPr>
              <w:t>32</w:t>
            </w:r>
            <w:r>
              <w:rPr>
                <w:rFonts w:hint="eastAsia" w:ascii="Times New Roman" w:hAnsi="黑体" w:eastAsia="黑体" w:cs="Times New Roman"/>
                <w:color w:val="auto"/>
                <w:kern w:val="2"/>
                <w:sz w:val="24"/>
                <w:lang w:val="en-US" w:eastAsia="zh-CN" w:bidi="ar-SA"/>
              </w:rPr>
              <w:t xml:space="preserve">      建筑施工场界环境噪声排放限值      单位：dB（A）</w:t>
            </w:r>
          </w:p>
          <w:tbl>
            <w:tblPr>
              <w:tblStyle w:val="28"/>
              <w:tblW w:w="854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11"/>
              <w:gridCol w:w="44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7" w:hRule="atLeast"/>
                <w:jc w:val="center"/>
              </w:trPr>
              <w:tc>
                <w:tcPr>
                  <w:tcW w:w="4111" w:type="dxa"/>
                  <w:tcBorders>
                    <w:tl2br w:val="nil"/>
                    <w:tr2bl w:val="nil"/>
                  </w:tcBorders>
                  <w:vAlign w:val="center"/>
                </w:tcPr>
                <w:p>
                  <w:pPr>
                    <w:pStyle w:val="49"/>
                    <w:bidi w:val="0"/>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昼间</w:t>
                  </w:r>
                </w:p>
              </w:tc>
              <w:tc>
                <w:tcPr>
                  <w:tcW w:w="4433" w:type="dxa"/>
                  <w:tcBorders>
                    <w:tl2br w:val="nil"/>
                    <w:tr2bl w:val="nil"/>
                  </w:tcBorders>
                  <w:vAlign w:val="center"/>
                </w:tcPr>
                <w:p>
                  <w:pPr>
                    <w:pStyle w:val="49"/>
                    <w:bidi w:val="0"/>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7" w:hRule="atLeast"/>
                <w:jc w:val="center"/>
              </w:trPr>
              <w:tc>
                <w:tcPr>
                  <w:tcW w:w="4111" w:type="dxa"/>
                  <w:tcBorders>
                    <w:tl2br w:val="nil"/>
                    <w:tr2bl w:val="nil"/>
                  </w:tcBorders>
                  <w:vAlign w:val="center"/>
                </w:tcPr>
                <w:p>
                  <w:pPr>
                    <w:pStyle w:val="49"/>
                    <w:bidi w:val="0"/>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4433" w:type="dxa"/>
                  <w:tcBorders>
                    <w:tl2br w:val="nil"/>
                    <w:tr2bl w:val="nil"/>
                  </w:tcBorders>
                  <w:vAlign w:val="center"/>
                </w:tcPr>
                <w:p>
                  <w:pPr>
                    <w:pStyle w:val="49"/>
                    <w:bidi w:val="0"/>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w:t>
                  </w:r>
                </w:p>
              </w:tc>
            </w:tr>
          </w:tbl>
          <w:p>
            <w:pPr>
              <w:pStyle w:val="24"/>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②本项目营运期噪声执行《工业企业厂界环境噪声排放标准》（GB12348-2008）中的</w:t>
            </w:r>
            <w:r>
              <w:rPr>
                <w:rFonts w:hint="eastAsia" w:ascii="Times New Roman" w:hAnsi="Times New Roman" w:eastAsia="宋体"/>
                <w:color w:val="auto"/>
                <w:lang w:val="en-US" w:eastAsia="zh-CN"/>
              </w:rPr>
              <w:t>2</w:t>
            </w:r>
            <w:r>
              <w:rPr>
                <w:rFonts w:hint="default" w:ascii="Times New Roman" w:hAnsi="Times New Roman" w:eastAsia="宋体"/>
                <w:color w:val="auto"/>
                <w:lang w:val="en-US" w:eastAsia="zh-CN"/>
              </w:rPr>
              <w:t>类标准，具体标准值见</w:t>
            </w:r>
            <w:r>
              <w:rPr>
                <w:rFonts w:hint="eastAsia" w:ascii="Times New Roman" w:hAnsi="Times New Roman" w:eastAsia="宋体"/>
                <w:color w:val="auto"/>
                <w:lang w:val="en-US" w:eastAsia="zh-CN"/>
              </w:rPr>
              <w:t>下</w:t>
            </w:r>
            <w:r>
              <w:rPr>
                <w:rFonts w:hint="default" w:ascii="Times New Roman" w:hAnsi="Times New Roman" w:eastAsia="宋体"/>
                <w:color w:val="auto"/>
                <w:lang w:val="en-US" w:eastAsia="zh-CN"/>
              </w:rPr>
              <w:t>表</w:t>
            </w:r>
            <w:r>
              <w:rPr>
                <w:rFonts w:hint="eastAsia" w:ascii="Times New Roman" w:hAnsi="Times New Roman" w:eastAsia="宋体"/>
                <w:color w:val="auto"/>
                <w:lang w:val="en-US" w:eastAsia="zh-CN"/>
              </w:rPr>
              <w:t>：</w:t>
            </w:r>
          </w:p>
          <w:p>
            <w:pPr>
              <w:pStyle w:val="13"/>
              <w:spacing w:line="360" w:lineRule="auto"/>
              <w:jc w:val="center"/>
              <w:rPr>
                <w:rFonts w:hint="eastAsia" w:ascii="Times New Roman" w:hAnsi="黑体" w:eastAsia="黑体" w:cs="Times New Roman"/>
                <w:color w:val="auto"/>
                <w:kern w:val="2"/>
                <w:sz w:val="24"/>
                <w:lang w:val="en-US" w:eastAsia="zh-CN" w:bidi="ar-SA"/>
              </w:rPr>
            </w:pPr>
            <w:r>
              <w:rPr>
                <w:rFonts w:hint="eastAsia" w:ascii="Times New Roman" w:hAnsi="Times New Roman" w:eastAsia="宋体" w:cs="宋体"/>
                <w:b/>
                <w:bCs/>
                <w:color w:val="auto"/>
                <w:kern w:val="0"/>
                <w:sz w:val="24"/>
                <w:szCs w:val="24"/>
                <w:lang w:val="en-US" w:eastAsia="zh-CN" w:bidi="ar"/>
              </w:rPr>
              <w:t xml:space="preserve"> </w:t>
            </w:r>
            <w:r>
              <w:rPr>
                <w:rFonts w:hint="eastAsia" w:ascii="Times New Roman" w:hAnsi="黑体" w:eastAsia="黑体" w:cs="Times New Roman"/>
                <w:color w:val="auto"/>
                <w:kern w:val="2"/>
                <w:sz w:val="24"/>
                <w:lang w:val="en-US" w:eastAsia="zh-CN" w:bidi="ar-SA"/>
              </w:rPr>
              <w:t xml:space="preserve"> 表</w:t>
            </w:r>
            <w:r>
              <w:rPr>
                <w:rFonts w:hint="eastAsia" w:hAnsi="黑体" w:eastAsia="黑体" w:cs="Times New Roman"/>
                <w:color w:val="auto"/>
                <w:kern w:val="2"/>
                <w:sz w:val="24"/>
                <w:lang w:val="en-US" w:eastAsia="zh-CN" w:bidi="ar-SA"/>
              </w:rPr>
              <w:t>33</w:t>
            </w:r>
            <w:r>
              <w:rPr>
                <w:rFonts w:hint="eastAsia" w:ascii="Times New Roman" w:hAnsi="黑体" w:eastAsia="黑体" w:cs="Times New Roman"/>
                <w:color w:val="auto"/>
                <w:kern w:val="2"/>
                <w:sz w:val="24"/>
                <w:lang w:val="en-US" w:eastAsia="zh-CN" w:bidi="ar-SA"/>
              </w:rPr>
              <w:t xml:space="preserve">    工业企业厂界环境噪声排放标准     单位：dB（A）</w:t>
            </w:r>
          </w:p>
          <w:tbl>
            <w:tblPr>
              <w:tblStyle w:val="28"/>
              <w:tblW w:w="85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56"/>
              <w:gridCol w:w="2758"/>
              <w:gridCol w:w="30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2" w:hRule="atLeast"/>
                <w:jc w:val="center"/>
              </w:trPr>
              <w:tc>
                <w:tcPr>
                  <w:tcW w:w="2756" w:type="dxa"/>
                  <w:tcBorders>
                    <w:tl2br w:val="nil"/>
                    <w:tr2bl w:val="nil"/>
                  </w:tcBorders>
                  <w:vAlign w:val="center"/>
                </w:tcPr>
                <w:p>
                  <w:pPr>
                    <w:pStyle w:val="49"/>
                    <w:bidi w:val="0"/>
                    <w:spacing w:line="360" w:lineRule="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厂区外声功能区类别</w:t>
                  </w:r>
                </w:p>
              </w:tc>
              <w:tc>
                <w:tcPr>
                  <w:tcW w:w="2758" w:type="dxa"/>
                  <w:tcBorders>
                    <w:tl2br w:val="nil"/>
                    <w:tr2bl w:val="nil"/>
                  </w:tcBorders>
                  <w:vAlign w:val="center"/>
                </w:tcPr>
                <w:p>
                  <w:pPr>
                    <w:pStyle w:val="49"/>
                    <w:bidi w:val="0"/>
                    <w:spacing w:line="360" w:lineRule="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昼间</w:t>
                  </w:r>
                </w:p>
              </w:tc>
              <w:tc>
                <w:tcPr>
                  <w:tcW w:w="3065" w:type="dxa"/>
                  <w:tcBorders>
                    <w:tl2br w:val="nil"/>
                    <w:tr2bl w:val="nil"/>
                  </w:tcBorders>
                  <w:vAlign w:val="center"/>
                </w:tcPr>
                <w:p>
                  <w:pPr>
                    <w:pStyle w:val="49"/>
                    <w:bidi w:val="0"/>
                    <w:spacing w:line="360" w:lineRule="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2756" w:type="dxa"/>
                  <w:tcBorders>
                    <w:tl2br w:val="nil"/>
                    <w:tr2bl w:val="nil"/>
                  </w:tcBorders>
                  <w:vAlign w:val="center"/>
                </w:tcPr>
                <w:p>
                  <w:pPr>
                    <w:pStyle w:val="49"/>
                    <w:bidi w:val="0"/>
                    <w:spacing w:line="360" w:lineRule="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2类</w:t>
                  </w:r>
                </w:p>
              </w:tc>
              <w:tc>
                <w:tcPr>
                  <w:tcW w:w="2758" w:type="dxa"/>
                  <w:tcBorders>
                    <w:tl2br w:val="nil"/>
                    <w:tr2bl w:val="nil"/>
                  </w:tcBorders>
                  <w:vAlign w:val="center"/>
                </w:tcPr>
                <w:p>
                  <w:pPr>
                    <w:pStyle w:val="49"/>
                    <w:bidi w:val="0"/>
                    <w:spacing w:line="360" w:lineRule="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w:t>
                  </w:r>
                </w:p>
              </w:tc>
              <w:tc>
                <w:tcPr>
                  <w:tcW w:w="3065" w:type="dxa"/>
                  <w:tcBorders>
                    <w:tl2br w:val="nil"/>
                    <w:tr2bl w:val="nil"/>
                  </w:tcBorders>
                  <w:vAlign w:val="center"/>
                </w:tcPr>
                <w:p>
                  <w:pPr>
                    <w:pStyle w:val="49"/>
                    <w:bidi w:val="0"/>
                    <w:spacing w:line="360" w:lineRule="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r>
          </w:tbl>
          <w:p>
            <w:pPr>
              <w:spacing w:line="520" w:lineRule="exact"/>
              <w:ind w:firstLine="482" w:firstLineChars="200"/>
              <w:rPr>
                <w:rFonts w:hint="eastAsia" w:ascii="Times New Roman" w:hAnsi="Times New Roman" w:cs="Times New Roman"/>
                <w:b/>
                <w:color w:val="auto"/>
                <w:sz w:val="24"/>
              </w:rPr>
            </w:pPr>
            <w:r>
              <w:rPr>
                <w:rFonts w:hint="eastAsia" w:ascii="Times New Roman" w:hAnsi="Times New Roman" w:cs="Times New Roman"/>
                <w:b/>
                <w:color w:val="auto"/>
                <w:sz w:val="24"/>
                <w:lang w:val="en-US" w:eastAsia="zh-CN"/>
              </w:rPr>
              <w:t>4.</w:t>
            </w:r>
            <w:r>
              <w:rPr>
                <w:rFonts w:hint="eastAsia" w:cs="Times New Roman"/>
                <w:b/>
                <w:color w:val="auto"/>
                <w:sz w:val="24"/>
                <w:lang w:val="en-US" w:eastAsia="zh-CN"/>
              </w:rPr>
              <w:t>4</w:t>
            </w:r>
            <w:r>
              <w:rPr>
                <w:rFonts w:hint="eastAsia" w:ascii="Times New Roman" w:hAnsi="Times New Roman" w:cs="Times New Roman"/>
                <w:b/>
                <w:color w:val="auto"/>
                <w:sz w:val="24"/>
              </w:rPr>
              <w:t>固废</w:t>
            </w:r>
          </w:p>
          <w:p>
            <w:pPr>
              <w:spacing w:line="520" w:lineRule="exact"/>
              <w:ind w:firstLine="480" w:firstLineChars="200"/>
              <w:rPr>
                <w:rFonts w:ascii="Times New Roman" w:hAnsi="Times New Roman" w:cs="Times New Roman"/>
                <w:color w:val="auto"/>
              </w:rPr>
            </w:pPr>
            <w:r>
              <w:rPr>
                <w:rFonts w:hint="eastAsia" w:cs="Times New Roman"/>
                <w:bCs/>
                <w:color w:val="auto"/>
                <w:sz w:val="24"/>
                <w:szCs w:val="18"/>
                <w:lang w:val="en-US" w:eastAsia="zh-CN"/>
              </w:rPr>
              <w:t>飞灰储存</w:t>
            </w:r>
            <w:r>
              <w:rPr>
                <w:rFonts w:ascii="Times New Roman" w:hAnsi="Times New Roman" w:cs="Times New Roman"/>
                <w:bCs/>
                <w:color w:val="auto"/>
                <w:sz w:val="24"/>
                <w:szCs w:val="18"/>
              </w:rPr>
              <w:t>执行</w:t>
            </w:r>
            <w:r>
              <w:rPr>
                <w:rFonts w:hint="eastAsia" w:ascii="Times New Roman" w:hAnsi="Times New Roman" w:cs="Times New Roman"/>
                <w:bCs/>
                <w:color w:val="auto"/>
                <w:sz w:val="24"/>
                <w:szCs w:val="18"/>
                <w:lang w:eastAsia="zh-CN"/>
              </w:rPr>
              <w:t>《危险废物贮存污染控制标准》（GB 18597-2023）</w:t>
            </w:r>
            <w:r>
              <w:rPr>
                <w:rFonts w:hint="eastAsia" w:ascii="Times New Roman" w:hAnsi="Times New Roman" w:cs="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63" w:hRule="atLeast"/>
          <w:jc w:val="center"/>
        </w:trPr>
        <w:tc>
          <w:tcPr>
            <w:tcW w:w="532" w:type="dxa"/>
            <w:vAlign w:val="center"/>
          </w:tcPr>
          <w:p>
            <w:pPr>
              <w:spacing w:line="400" w:lineRule="exact"/>
              <w:jc w:val="center"/>
              <w:rPr>
                <w:rFonts w:ascii="Times New Roman" w:hAnsi="Times New Roman" w:cs="Times New Roman"/>
                <w:b/>
                <w:bCs/>
                <w:color w:val="auto"/>
                <w:sz w:val="24"/>
                <w:highlight w:val="none"/>
              </w:rPr>
            </w:pPr>
            <w:r>
              <w:rPr>
                <w:rFonts w:ascii="Times New Roman" w:hAnsi="Times New Roman" w:cs="Times New Roman"/>
                <w:b/>
                <w:bCs/>
                <w:color w:val="auto"/>
                <w:sz w:val="24"/>
                <w:highlight w:val="none"/>
              </w:rPr>
              <w:t>总量</w:t>
            </w:r>
          </w:p>
          <w:p>
            <w:pPr>
              <w:spacing w:line="400" w:lineRule="exact"/>
              <w:jc w:val="center"/>
              <w:rPr>
                <w:rFonts w:ascii="Times New Roman" w:hAnsi="Times New Roman" w:cs="Times New Roman"/>
                <w:b/>
                <w:bCs/>
                <w:color w:val="auto"/>
                <w:sz w:val="24"/>
                <w:highlight w:val="none"/>
              </w:rPr>
            </w:pPr>
            <w:r>
              <w:rPr>
                <w:rFonts w:ascii="Times New Roman" w:hAnsi="Times New Roman" w:cs="Times New Roman"/>
                <w:b/>
                <w:bCs/>
                <w:color w:val="auto"/>
                <w:sz w:val="24"/>
                <w:highlight w:val="none"/>
              </w:rPr>
              <w:t>控制</w:t>
            </w:r>
          </w:p>
          <w:p>
            <w:pPr>
              <w:spacing w:line="400" w:lineRule="exact"/>
              <w:jc w:val="center"/>
              <w:rPr>
                <w:rFonts w:ascii="Times New Roman" w:hAnsi="Times New Roman" w:cs="Times New Roman"/>
                <w:b/>
                <w:bCs/>
                <w:color w:val="auto"/>
                <w:sz w:val="28"/>
                <w:szCs w:val="28"/>
              </w:rPr>
            </w:pPr>
            <w:r>
              <w:rPr>
                <w:rFonts w:ascii="Times New Roman" w:hAnsi="Times New Roman" w:cs="Times New Roman"/>
                <w:b/>
                <w:bCs/>
                <w:color w:val="auto"/>
                <w:sz w:val="24"/>
                <w:highlight w:val="none"/>
              </w:rPr>
              <w:t>指标</w:t>
            </w:r>
          </w:p>
        </w:tc>
        <w:tc>
          <w:tcPr>
            <w:tcW w:w="8751" w:type="dxa"/>
            <w:vAlign w:val="center"/>
          </w:tcPr>
          <w:p>
            <w:pPr>
              <w:numPr>
                <w:ilvl w:val="0"/>
                <w:numId w:val="0"/>
              </w:numPr>
              <w:spacing w:line="360" w:lineRule="auto"/>
              <w:ind w:firstLine="480" w:firstLineChars="200"/>
              <w:rPr>
                <w:rFonts w:hint="default" w:cs="Times New Roman"/>
                <w:b w:val="0"/>
                <w:bCs w:val="0"/>
                <w:color w:val="auto"/>
                <w:sz w:val="24"/>
                <w:szCs w:val="24"/>
                <w:u w:val="none"/>
                <w:lang w:val="en-US" w:eastAsia="zh-CN"/>
              </w:rPr>
            </w:pPr>
            <w:r>
              <w:rPr>
                <w:rFonts w:hint="eastAsia" w:cs="Times New Roman"/>
                <w:b w:val="0"/>
                <w:bCs w:val="0"/>
                <w:color w:val="auto"/>
                <w:sz w:val="24"/>
                <w:szCs w:val="24"/>
                <w:u w:val="none"/>
                <w:lang w:val="en-US" w:eastAsia="zh-CN"/>
              </w:rPr>
              <w:t>根据国家相关总量文件要求，总量控制因子包括： COD、氨氮等 2 种废水污染因子，颗粒物、 二氧化硫、 氮氧化物、挥发性有机物等4种废气污染因子，铬、镉、汞、砷、铅等5种重金属污染因子。本项目排放废气为氨气和颗粒物，因此本项目不设总量控制指标。</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contextualSpacing/>
              <w:jc w:val="center"/>
              <w:textAlignment w:val="auto"/>
              <w:rPr>
                <w:rFonts w:hint="default" w:ascii="Times New Roman" w:hAnsi="Times New Roman" w:eastAsia="宋体" w:cs="Times New Roman"/>
                <w:color w:val="auto"/>
                <w:kern w:val="0"/>
                <w:szCs w:val="21"/>
                <w:lang w:val="en-US" w:eastAsia="zh-CN"/>
              </w:rPr>
            </w:pPr>
          </w:p>
        </w:tc>
      </w:tr>
    </w:tbl>
    <w:p>
      <w:pPr>
        <w:pStyle w:val="24"/>
        <w:numPr>
          <w:ilvl w:val="0"/>
          <w:numId w:val="6"/>
        </w:numPr>
        <w:spacing w:beforeLines="50" w:beforeAutospacing="0" w:afterLines="50" w:afterAutospacing="0"/>
        <w:jc w:val="center"/>
        <w:outlineLvl w:val="0"/>
        <w:rPr>
          <w:rFonts w:ascii="Times New Roman" w:hAnsi="Times New Roman" w:cs="Times New Roman"/>
          <w:b/>
          <w:bCs/>
          <w:color w:val="auto"/>
          <w:sz w:val="30"/>
          <w:szCs w:val="30"/>
        </w:rPr>
      </w:pPr>
      <w:r>
        <w:rPr>
          <w:rFonts w:ascii="Times New Roman" w:hAnsi="Times New Roman" w:eastAsia="黑体" w:cs="Times New Roman"/>
          <w:snapToGrid w:val="0"/>
          <w:color w:val="auto"/>
          <w:sz w:val="36"/>
          <w:szCs w:val="36"/>
        </w:rPr>
        <w:br w:type="page"/>
      </w:r>
      <w:r>
        <w:rPr>
          <w:rFonts w:ascii="Times New Roman" w:hAnsi="Times New Roman" w:cs="Times New Roman"/>
          <w:b/>
          <w:bCs/>
          <w:color w:val="auto"/>
          <w:sz w:val="30"/>
          <w:szCs w:val="30"/>
        </w:rPr>
        <w:t>主要环境影响和保护措施</w:t>
      </w:r>
    </w:p>
    <w:tbl>
      <w:tblPr>
        <w:tblStyle w:val="28"/>
        <w:tblW w:w="502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85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6" w:hRule="atLeast"/>
          <w:jc w:val="center"/>
        </w:trPr>
        <w:tc>
          <w:tcPr>
            <w:tcW w:w="405" w:type="pct"/>
            <w:noWrap w:val="0"/>
            <w:tcMar>
              <w:left w:w="28" w:type="dxa"/>
              <w:right w:w="28" w:type="dxa"/>
            </w:tcMar>
            <w:vAlign w:val="center"/>
          </w:tcPr>
          <w:p>
            <w:pPr>
              <w:pStyle w:val="81"/>
              <w:adjustRightInd w:val="0"/>
              <w:spacing w:before="0" w:after="0"/>
              <w:ind w:right="0"/>
              <w:jc w:val="center"/>
              <w:rPr>
                <w:rFonts w:ascii="Times New Roman" w:hAnsi="Times New Roman" w:cs="Times New Roman"/>
                <w:bCs/>
                <w:color w:val="auto"/>
              </w:rPr>
            </w:pPr>
            <w:r>
              <w:rPr>
                <w:rFonts w:ascii="Times New Roman" w:hAnsi="Times New Roman" w:eastAsia="宋体" w:cs="Times New Roman"/>
                <w:b/>
                <w:bCs/>
                <w:color w:val="auto"/>
                <w:kern w:val="2"/>
                <w:sz w:val="24"/>
                <w:szCs w:val="24"/>
                <w:lang w:val="en-US" w:eastAsia="zh-CN" w:bidi="ar-SA"/>
              </w:rPr>
              <w:t>施工期环境保护措施</w:t>
            </w:r>
          </w:p>
        </w:tc>
        <w:tc>
          <w:tcPr>
            <w:tcW w:w="4594" w:type="pct"/>
            <w:noWrap w:val="0"/>
            <w:vAlign w:val="center"/>
          </w:tcPr>
          <w:p>
            <w:pPr>
              <w:spacing w:line="360" w:lineRule="auto"/>
              <w:ind w:firstLine="480" w:firstLineChars="200"/>
              <w:jc w:val="both"/>
              <w:rPr>
                <w:rFonts w:hint="eastAsia" w:cs="Times New Roman"/>
                <w:color w:val="auto"/>
                <w:sz w:val="24"/>
                <w:lang w:val="en-US" w:eastAsia="zh-CN"/>
              </w:rPr>
            </w:pPr>
            <w:r>
              <w:rPr>
                <w:rFonts w:hint="eastAsia" w:cs="Times New Roman"/>
                <w:color w:val="auto"/>
                <w:sz w:val="24"/>
                <w:lang w:val="en-US" w:eastAsia="zh-CN"/>
              </w:rPr>
              <w:t>本项目租用</w:t>
            </w:r>
            <w:r>
              <w:rPr>
                <w:rFonts w:hint="eastAsia" w:ascii="Times New Roman" w:hAnsi="Times New Roman" w:eastAsia="宋体" w:cs="Times New Roman"/>
                <w:color w:val="auto"/>
                <w:sz w:val="24"/>
                <w:szCs w:val="24"/>
                <w:lang w:val="en-US" w:eastAsia="zh-CN"/>
              </w:rPr>
              <w:t>鲁山首创生物质能源有限公司现有</w:t>
            </w:r>
            <w:r>
              <w:rPr>
                <w:rFonts w:hint="eastAsia" w:cs="Times New Roman"/>
                <w:b w:val="0"/>
                <w:bCs w:val="0"/>
                <w:color w:val="auto"/>
                <w:sz w:val="24"/>
                <w:szCs w:val="24"/>
                <w:u w:val="none"/>
                <w:lang w:val="en-US" w:eastAsia="zh-CN"/>
              </w:rPr>
              <w:t>生物质料棚</w:t>
            </w:r>
            <w:r>
              <w:rPr>
                <w:rFonts w:hint="eastAsia" w:cs="Times New Roman"/>
                <w:color w:val="auto"/>
                <w:sz w:val="24"/>
                <w:lang w:val="en-US" w:eastAsia="zh-CN"/>
              </w:rPr>
              <w:t>进行改造，达到存储飞灰的条件。</w:t>
            </w:r>
          </w:p>
          <w:p>
            <w:pPr>
              <w:spacing w:line="360" w:lineRule="auto"/>
              <w:ind w:firstLine="480" w:firstLineChars="200"/>
              <w:jc w:val="both"/>
              <w:rPr>
                <w:rFonts w:hint="default" w:cs="Times New Roman"/>
                <w:color w:val="auto"/>
                <w:sz w:val="24"/>
                <w:lang w:val="en-US" w:eastAsia="zh-CN"/>
              </w:rPr>
            </w:pPr>
            <w:r>
              <w:rPr>
                <w:rFonts w:hint="eastAsia" w:cs="Times New Roman"/>
                <w:color w:val="auto"/>
                <w:sz w:val="24"/>
                <w:lang w:val="en-US" w:eastAsia="zh-CN"/>
              </w:rPr>
              <w:t>施工期内容为：</w:t>
            </w:r>
          </w:p>
          <w:p>
            <w:pPr>
              <w:spacing w:line="360" w:lineRule="auto"/>
              <w:ind w:firstLine="480" w:firstLineChars="200"/>
              <w:jc w:val="both"/>
              <w:rPr>
                <w:rFonts w:hint="default" w:cs="Times New Roman"/>
                <w:color w:val="auto"/>
                <w:sz w:val="24"/>
                <w:lang w:val="en-US" w:eastAsia="zh-CN"/>
              </w:rPr>
            </w:pPr>
            <w:r>
              <w:rPr>
                <w:rFonts w:hint="eastAsia" w:cs="Times New Roman"/>
                <w:color w:val="auto"/>
                <w:sz w:val="24"/>
                <w:lang w:val="en-US" w:eastAsia="zh-CN"/>
              </w:rPr>
              <w:t>有:1.在生物质料棚约二分之一处，使用300m</w:t>
            </w:r>
            <w:r>
              <w:rPr>
                <w:rFonts w:hint="eastAsia" w:cs="Times New Roman"/>
                <w:color w:val="auto"/>
                <w:sz w:val="24"/>
                <w:vertAlign w:val="superscript"/>
                <w:lang w:val="en-US" w:eastAsia="zh-CN"/>
              </w:rPr>
              <w:t>2</w:t>
            </w:r>
            <w:r>
              <w:rPr>
                <w:rFonts w:hint="eastAsia" w:cs="Times New Roman"/>
                <w:color w:val="auto"/>
                <w:sz w:val="24"/>
                <w:lang w:val="en-US" w:eastAsia="zh-CN"/>
              </w:rPr>
              <w:t>彩钢瓦进行分区隔离；2.对分区后约4200m</w:t>
            </w:r>
            <w:r>
              <w:rPr>
                <w:rFonts w:hint="eastAsia" w:cs="Times New Roman"/>
                <w:color w:val="auto"/>
                <w:sz w:val="24"/>
                <w:vertAlign w:val="superscript"/>
                <w:lang w:val="en-US" w:eastAsia="zh-CN"/>
              </w:rPr>
              <w:t>2</w:t>
            </w:r>
            <w:r>
              <w:rPr>
                <w:rFonts w:hint="eastAsia" w:cs="Times New Roman"/>
                <w:color w:val="auto"/>
                <w:sz w:val="24"/>
                <w:lang w:val="en-US" w:eastAsia="zh-CN"/>
              </w:rPr>
              <w:t>地面做防渗措施；3对原有约1000m</w:t>
            </w:r>
            <w:r>
              <w:rPr>
                <w:rFonts w:hint="eastAsia" w:cs="Times New Roman"/>
                <w:color w:val="auto"/>
                <w:sz w:val="24"/>
                <w:vertAlign w:val="superscript"/>
                <w:lang w:val="en-US" w:eastAsia="zh-CN"/>
              </w:rPr>
              <w:t>2</w:t>
            </w:r>
            <w:r>
              <w:rPr>
                <w:rFonts w:hint="eastAsia" w:cs="Times New Roman"/>
                <w:color w:val="auto"/>
                <w:sz w:val="24"/>
                <w:lang w:val="en-US" w:eastAsia="zh-CN"/>
              </w:rPr>
              <w:t>的铁质防飞网再次进行封闭4新增除氨系统</w:t>
            </w:r>
          </w:p>
          <w:p>
            <w:pPr>
              <w:spacing w:line="360" w:lineRule="auto"/>
              <w:ind w:firstLine="480" w:firstLineChars="200"/>
              <w:jc w:val="both"/>
              <w:rPr>
                <w:rFonts w:hint="default" w:cs="Times New Roman"/>
                <w:color w:val="auto"/>
                <w:sz w:val="24"/>
                <w:lang w:val="en-US" w:eastAsia="zh-CN"/>
              </w:rPr>
            </w:pPr>
            <w:r>
              <w:rPr>
                <w:rFonts w:hint="eastAsia" w:cs="Times New Roman"/>
                <w:color w:val="auto"/>
                <w:sz w:val="24"/>
                <w:lang w:val="en-US" w:eastAsia="zh-CN"/>
              </w:rPr>
              <w:t>该生物质料棚目前顶部有部分未密闭，因此在未密闭处进行密闭，该生物质料棚目前防渗措施为一般防渗，</w:t>
            </w:r>
            <w:r>
              <w:rPr>
                <w:rFonts w:hint="eastAsia" w:cs="Times New Roman"/>
                <w:bCs/>
                <w:color w:val="auto"/>
                <w:sz w:val="24"/>
                <w:u w:val="none"/>
                <w:lang w:val="en-US" w:eastAsia="zh-CN"/>
              </w:rPr>
              <w:t>本次施工要求</w:t>
            </w:r>
            <w:r>
              <w:rPr>
                <w:rFonts w:hint="eastAsia" w:cs="Times New Roman"/>
                <w:bCs/>
                <w:color w:val="auto"/>
                <w:sz w:val="24"/>
                <w:u w:val="none"/>
                <w:lang w:eastAsia="zh-CN"/>
              </w:rPr>
              <w:t>贮存设施地面、</w:t>
            </w:r>
            <w:r>
              <w:rPr>
                <w:rFonts w:hint="eastAsia" w:cs="Times New Roman"/>
                <w:bCs/>
                <w:color w:val="auto"/>
                <w:sz w:val="24"/>
                <w:u w:val="none"/>
                <w:lang w:val="en-US" w:eastAsia="zh-CN"/>
              </w:rPr>
              <w:t>隔断墙</w:t>
            </w:r>
            <w:r>
              <w:rPr>
                <w:rFonts w:hint="eastAsia" w:cs="Times New Roman"/>
                <w:bCs/>
                <w:color w:val="auto"/>
                <w:sz w:val="24"/>
                <w:u w:val="none"/>
                <w:lang w:eastAsia="zh-CN"/>
              </w:rPr>
              <w:t>与</w:t>
            </w:r>
            <w:r>
              <w:rPr>
                <w:rFonts w:hint="eastAsia" w:cs="Times New Roman"/>
                <w:bCs/>
                <w:color w:val="auto"/>
                <w:sz w:val="24"/>
                <w:u w:val="none"/>
                <w:lang w:val="en-US" w:eastAsia="zh-CN"/>
              </w:rPr>
              <w:t>实体墙裙</w:t>
            </w:r>
            <w:r>
              <w:rPr>
                <w:rFonts w:hint="eastAsia" w:cs="Times New Roman"/>
                <w:bCs/>
                <w:color w:val="auto"/>
                <w:sz w:val="24"/>
                <w:u w:val="none"/>
                <w:lang w:eastAsia="zh-CN"/>
              </w:rPr>
              <w:t>应采取</w:t>
            </w:r>
            <w:r>
              <w:rPr>
                <w:rFonts w:hint="eastAsia" w:cs="Times New Roman"/>
                <w:bCs/>
                <w:color w:val="auto"/>
                <w:sz w:val="24"/>
                <w:u w:val="none"/>
                <w:lang w:val="en-US" w:eastAsia="zh-CN"/>
              </w:rPr>
              <w:t>重点</w:t>
            </w:r>
            <w:r>
              <w:rPr>
                <w:rFonts w:hint="eastAsia" w:cs="Times New Roman"/>
                <w:bCs/>
                <w:color w:val="auto"/>
                <w:sz w:val="24"/>
                <w:u w:val="none"/>
                <w:lang w:eastAsia="zh-CN"/>
              </w:rPr>
              <w:t>防渗措施；表面防渗材料应与所接触的物料或污染物相容，采用高密度聚乙烯膜、钠基膨润土防水毯或其他防渗性能等效的材料。贮存的危险废物直接接触地面的，应进行基础防渗</w:t>
            </w:r>
            <w:r>
              <w:rPr>
                <w:rFonts w:hint="eastAsia" w:cs="Times New Roman"/>
                <w:bCs/>
                <w:color w:val="FF0000"/>
                <w:sz w:val="24"/>
                <w:u w:val="none"/>
                <w:lang w:eastAsia="zh-CN"/>
              </w:rPr>
              <w:t>，</w:t>
            </w:r>
            <w:r>
              <w:rPr>
                <w:rFonts w:hint="eastAsia" w:cs="Times New Roman"/>
                <w:bCs/>
                <w:color w:val="auto"/>
                <w:sz w:val="24"/>
                <w:u w:val="none"/>
                <w:lang w:eastAsia="zh-CN"/>
              </w:rPr>
              <w:t>防渗层为至少1 m 厚黏土层（渗透系数不大于10</w:t>
            </w:r>
            <w:r>
              <w:rPr>
                <w:rFonts w:hint="eastAsia" w:cs="Times New Roman"/>
                <w:bCs/>
                <w:color w:val="auto"/>
                <w:sz w:val="24"/>
                <w:u w:val="none"/>
                <w:vertAlign w:val="superscript"/>
                <w:lang w:eastAsia="zh-CN"/>
              </w:rPr>
              <w:t>-7</w:t>
            </w:r>
            <w:r>
              <w:rPr>
                <w:rFonts w:hint="eastAsia" w:cs="Times New Roman"/>
                <w:bCs/>
                <w:color w:val="auto"/>
                <w:sz w:val="24"/>
                <w:u w:val="none"/>
                <w:lang w:eastAsia="zh-CN"/>
              </w:rPr>
              <w:t xml:space="preserve"> cm/s），或至少2 mm 厚高密度聚乙烯膜等人工防渗材料（渗透系数不大于 10</w:t>
            </w:r>
            <w:r>
              <w:rPr>
                <w:rFonts w:hint="eastAsia" w:cs="Times New Roman"/>
                <w:bCs/>
                <w:color w:val="auto"/>
                <w:sz w:val="24"/>
                <w:u w:val="none"/>
                <w:vertAlign w:val="superscript"/>
                <w:lang w:eastAsia="zh-CN"/>
              </w:rPr>
              <w:t>-10</w:t>
            </w:r>
            <w:r>
              <w:rPr>
                <w:rFonts w:hint="eastAsia" w:cs="Times New Roman"/>
                <w:bCs/>
                <w:color w:val="auto"/>
                <w:sz w:val="24"/>
                <w:u w:val="none"/>
                <w:lang w:eastAsia="zh-CN"/>
              </w:rPr>
              <w:t xml:space="preserve"> cm/s）</w:t>
            </w:r>
          </w:p>
          <w:p>
            <w:pPr>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由于施工期主要建设内容为防渗及仓库封闭，工期较短，不涉及土方开挖等内容，且在密闭条件下进行施工作业，对环境产生影响较小，因此不对施工期环境影响进行分析。</w:t>
            </w:r>
          </w:p>
        </w:tc>
      </w:tr>
    </w:tbl>
    <w:p>
      <w:pPr>
        <w:pStyle w:val="24"/>
        <w:widowControl/>
        <w:numPr>
          <w:ilvl w:val="0"/>
          <w:numId w:val="0"/>
        </w:numPr>
        <w:spacing w:before="100" w:beforeLines="50" w:beforeAutospacing="0" w:after="100" w:afterLines="50" w:afterAutospacing="0"/>
        <w:jc w:val="both"/>
        <w:outlineLvl w:val="0"/>
        <w:rPr>
          <w:rFonts w:ascii="Times New Roman" w:hAnsi="Times New Roman" w:cs="Times New Roman"/>
          <w:b/>
          <w:bCs/>
          <w:color w:val="auto"/>
          <w:sz w:val="30"/>
          <w:szCs w:val="30"/>
        </w:rPr>
        <w:sectPr>
          <w:pgSz w:w="11907" w:h="16840"/>
          <w:pgMar w:top="1134" w:right="1417" w:bottom="1134"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15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4" w:hRule="atLeast"/>
        </w:trPr>
        <w:tc>
          <w:tcPr>
            <w:tcW w:w="593" w:type="dxa"/>
          </w:tcPr>
          <w:p>
            <w:pPr>
              <w:spacing w:line="400" w:lineRule="exact"/>
              <w:jc w:val="center"/>
              <w:rPr>
                <w:rFonts w:hint="default" w:ascii="Times New Roman" w:hAnsi="Times New Roman" w:eastAsia="宋体" w:cs="Times New Roman"/>
                <w:b/>
                <w:bCs/>
                <w:color w:val="auto"/>
                <w:sz w:val="24"/>
              </w:rPr>
            </w:pPr>
          </w:p>
          <w:p>
            <w:pPr>
              <w:spacing w:line="400" w:lineRule="exact"/>
              <w:jc w:val="center"/>
              <w:rPr>
                <w:rFonts w:hint="default" w:ascii="Times New Roman" w:hAnsi="Times New Roman" w:eastAsia="宋体" w:cs="Times New Roman"/>
                <w:b/>
                <w:bCs/>
                <w:color w:val="auto"/>
                <w:sz w:val="24"/>
              </w:rPr>
            </w:pPr>
          </w:p>
          <w:p>
            <w:pPr>
              <w:spacing w:line="400" w:lineRule="exact"/>
              <w:jc w:val="center"/>
              <w:rPr>
                <w:rFonts w:hint="default" w:ascii="Times New Roman" w:hAnsi="Times New Roman" w:eastAsia="宋体" w:cs="Times New Roman"/>
                <w:b/>
                <w:bCs/>
                <w:color w:val="auto"/>
                <w:sz w:val="24"/>
              </w:rPr>
            </w:pPr>
          </w:p>
          <w:p>
            <w:pPr>
              <w:spacing w:line="400" w:lineRule="exact"/>
              <w:jc w:val="center"/>
              <w:rPr>
                <w:rFonts w:hint="default" w:ascii="Times New Roman" w:hAnsi="Times New Roman" w:eastAsia="宋体" w:cs="Times New Roman"/>
                <w:b/>
                <w:bCs/>
                <w:color w:val="auto"/>
                <w:sz w:val="24"/>
              </w:rPr>
            </w:pPr>
          </w:p>
          <w:p>
            <w:pPr>
              <w:spacing w:line="400" w:lineRule="exact"/>
              <w:jc w:val="center"/>
              <w:rPr>
                <w:rFonts w:hint="default" w:ascii="Times New Roman" w:hAnsi="Times New Roman" w:eastAsia="宋体" w:cs="Times New Roman"/>
                <w:b/>
                <w:bCs/>
                <w:color w:val="auto"/>
                <w:sz w:val="24"/>
              </w:rPr>
            </w:pPr>
          </w:p>
          <w:p>
            <w:pPr>
              <w:spacing w:line="400" w:lineRule="exact"/>
              <w:jc w:val="center"/>
              <w:rPr>
                <w:rFonts w:hint="default" w:ascii="Times New Roman" w:hAnsi="Times New Roman" w:eastAsia="宋体" w:cs="Times New Roman"/>
                <w:b/>
                <w:bCs/>
                <w:color w:val="auto"/>
                <w:sz w:val="24"/>
              </w:rPr>
            </w:pP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运营</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期环</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境影</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响和</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保护</w:t>
            </w:r>
          </w:p>
          <w:p>
            <w:pPr>
              <w:pStyle w:val="24"/>
              <w:widowControl/>
              <w:numPr>
                <w:ilvl w:val="0"/>
                <w:numId w:val="0"/>
              </w:numPr>
              <w:spacing w:before="100" w:beforeLines="50" w:beforeAutospacing="0" w:after="100" w:afterLines="50" w:afterAutospacing="0"/>
              <w:jc w:val="both"/>
              <w:outlineLvl w:val="0"/>
              <w:rPr>
                <w:rFonts w:ascii="Times New Roman" w:hAnsi="Times New Roman" w:cs="Times New Roman"/>
                <w:b/>
                <w:bCs/>
                <w:color w:val="auto"/>
                <w:sz w:val="30"/>
                <w:szCs w:val="30"/>
                <w:vertAlign w:val="baseline"/>
              </w:rPr>
            </w:pPr>
            <w:r>
              <w:rPr>
                <w:rFonts w:hint="default" w:ascii="Times New Roman" w:hAnsi="Times New Roman" w:eastAsia="宋体" w:cs="Times New Roman"/>
                <w:b/>
                <w:bCs/>
                <w:color w:val="auto"/>
                <w:sz w:val="24"/>
              </w:rPr>
              <w:t>措施</w:t>
            </w:r>
          </w:p>
        </w:tc>
        <w:tc>
          <w:tcPr>
            <w:tcW w:w="14906" w:type="dxa"/>
          </w:tcPr>
          <w:p>
            <w:pPr>
              <w:pStyle w:val="7"/>
              <w:widowControl w:val="0"/>
              <w:numPr>
                <w:ilvl w:val="0"/>
                <w:numId w:val="0"/>
              </w:numPr>
              <w:spacing w:line="520" w:lineRule="exact"/>
              <w:jc w:val="center"/>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w:t>
            </w:r>
            <w:r>
              <w:rPr>
                <w:rFonts w:hint="eastAsia" w:eastAsia="黑体" w:cs="Times New Roman"/>
                <w:b w:val="0"/>
                <w:bCs w:val="0"/>
                <w:color w:val="auto"/>
                <w:sz w:val="24"/>
                <w:szCs w:val="24"/>
                <w:lang w:val="en-US" w:eastAsia="zh-CN"/>
              </w:rPr>
              <w:t>34</w:t>
            </w:r>
            <w:r>
              <w:rPr>
                <w:rFonts w:hint="eastAsia" w:ascii="Times New Roman" w:hAnsi="Times New Roman" w:eastAsia="黑体" w:cs="Times New Roman"/>
                <w:b w:val="0"/>
                <w:bCs w:val="0"/>
                <w:color w:val="auto"/>
                <w:sz w:val="24"/>
                <w:szCs w:val="24"/>
                <w:lang w:val="en-US" w:eastAsia="zh-CN"/>
              </w:rPr>
              <w:t xml:space="preserve"> 本项目废气产排污节点、污染物及污染治理设施信息表</w:t>
            </w:r>
          </w:p>
          <w:tbl>
            <w:tblPr>
              <w:tblStyle w:val="28"/>
              <w:tblW w:w="148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427"/>
              <w:gridCol w:w="636"/>
              <w:gridCol w:w="457"/>
              <w:gridCol w:w="427"/>
              <w:gridCol w:w="899"/>
              <w:gridCol w:w="1331"/>
              <w:gridCol w:w="1013"/>
              <w:gridCol w:w="561"/>
              <w:gridCol w:w="1405"/>
              <w:gridCol w:w="784"/>
              <w:gridCol w:w="899"/>
              <w:gridCol w:w="1013"/>
              <w:gridCol w:w="1115"/>
              <w:gridCol w:w="637"/>
              <w:gridCol w:w="26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74" w:hRule="atLeast"/>
              </w:trPr>
              <w:tc>
                <w:tcPr>
                  <w:tcW w:w="214" w:type="pct"/>
                  <w:vMerge w:val="restart"/>
                  <w:tcBorders>
                    <w:top w:val="single" w:color="auto" w:sz="4" w:space="0"/>
                    <w:left w:val="single" w:color="auto" w:sz="0"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hint="eastAsia" w:ascii="Times New Roman" w:hAnsi="Times New Roman" w:eastAsia="宋体" w:cs="Times New Roman"/>
                      <w:b/>
                      <w:bCs w:val="0"/>
                      <w:color w:val="auto"/>
                      <w:sz w:val="21"/>
                      <w:szCs w:val="21"/>
                      <w:lang w:val="zh-CN"/>
                    </w:rPr>
                    <w:t>主要生产单元</w:t>
                  </w:r>
                </w:p>
              </w:tc>
              <w:tc>
                <w:tcPr>
                  <w:tcW w:w="144" w:type="pct"/>
                  <w:vMerge w:val="restart"/>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主要产污设施</w:t>
                  </w:r>
                </w:p>
              </w:tc>
              <w:tc>
                <w:tcPr>
                  <w:tcW w:w="214" w:type="pct"/>
                  <w:vMerge w:val="restart"/>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主要产污环节</w:t>
                  </w:r>
                </w:p>
              </w:tc>
              <w:tc>
                <w:tcPr>
                  <w:tcW w:w="154" w:type="pct"/>
                  <w:vMerge w:val="restart"/>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主要污染物</w:t>
                  </w:r>
                </w:p>
              </w:tc>
              <w:tc>
                <w:tcPr>
                  <w:tcW w:w="1234" w:type="pct"/>
                  <w:gridSpan w:val="4"/>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污染物产生</w:t>
                  </w:r>
                </w:p>
              </w:tc>
              <w:tc>
                <w:tcPr>
                  <w:tcW w:w="189" w:type="pct"/>
                  <w:vMerge w:val="restart"/>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排放形式</w:t>
                  </w:r>
                </w:p>
              </w:tc>
              <w:tc>
                <w:tcPr>
                  <w:tcW w:w="737" w:type="pct"/>
                  <w:gridSpan w:val="2"/>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治理设施</w:t>
                  </w:r>
                </w:p>
              </w:tc>
              <w:tc>
                <w:tcPr>
                  <w:tcW w:w="1017" w:type="pct"/>
                  <w:gridSpan w:val="3"/>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污染物排放</w:t>
                  </w:r>
                </w:p>
              </w:tc>
              <w:tc>
                <w:tcPr>
                  <w:tcW w:w="214" w:type="pct"/>
                  <w:vMerge w:val="restart"/>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rPr>
                    <w:t>核算排放时间h</w:t>
                  </w:r>
                </w:p>
              </w:tc>
              <w:tc>
                <w:tcPr>
                  <w:tcW w:w="880" w:type="pct"/>
                  <w:vMerge w:val="restart"/>
                  <w:tcBorders>
                    <w:top w:val="single" w:color="auto" w:sz="4" w:space="0"/>
                    <w:right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0" w:hRule="atLeast"/>
              </w:trPr>
              <w:tc>
                <w:tcPr>
                  <w:tcW w:w="214" w:type="pct"/>
                  <w:vMerge w:val="continue"/>
                  <w:tcBorders>
                    <w:left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color w:val="auto"/>
                      <w:sz w:val="21"/>
                      <w:szCs w:val="21"/>
                    </w:rPr>
                  </w:pPr>
                </w:p>
              </w:tc>
              <w:tc>
                <w:tcPr>
                  <w:tcW w:w="144" w:type="pct"/>
                  <w:vMerge w:val="continue"/>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color w:val="auto"/>
                      <w:sz w:val="21"/>
                      <w:szCs w:val="21"/>
                    </w:rPr>
                  </w:pPr>
                </w:p>
              </w:tc>
              <w:tc>
                <w:tcPr>
                  <w:tcW w:w="214" w:type="pct"/>
                  <w:vMerge w:val="continue"/>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color w:val="auto"/>
                      <w:sz w:val="21"/>
                      <w:szCs w:val="21"/>
                    </w:rPr>
                  </w:pPr>
                </w:p>
              </w:tc>
              <w:tc>
                <w:tcPr>
                  <w:tcW w:w="154" w:type="pct"/>
                  <w:vMerge w:val="continue"/>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color w:val="auto"/>
                      <w:sz w:val="21"/>
                      <w:szCs w:val="21"/>
                    </w:rPr>
                  </w:pPr>
                </w:p>
              </w:tc>
              <w:tc>
                <w:tcPr>
                  <w:tcW w:w="143"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rPr>
                  </w:pPr>
                  <w:r>
                    <w:rPr>
                      <w:rFonts w:ascii="Times New Roman" w:hAnsi="Times New Roman" w:eastAsia="宋体" w:cs="Times New Roman"/>
                      <w:b/>
                      <w:bCs w:val="0"/>
                      <w:color w:val="auto"/>
                      <w:sz w:val="21"/>
                      <w:szCs w:val="21"/>
                    </w:rPr>
                    <w:t>核算方法</w:t>
                  </w:r>
                </w:p>
              </w:tc>
              <w:tc>
                <w:tcPr>
                  <w:tcW w:w="302"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hint="eastAsia" w:ascii="Times New Roman" w:hAnsi="Times New Roman" w:eastAsia="宋体" w:cs="Times New Roman"/>
                      <w:b/>
                      <w:bCs w:val="0"/>
                      <w:color w:val="auto"/>
                      <w:sz w:val="21"/>
                      <w:szCs w:val="21"/>
                      <w:lang w:val="en-US" w:eastAsia="zh-CN"/>
                    </w:rPr>
                    <w:t>产生</w:t>
                  </w:r>
                  <w:r>
                    <w:rPr>
                      <w:rFonts w:ascii="Times New Roman" w:hAnsi="Times New Roman" w:eastAsia="宋体" w:cs="Times New Roman"/>
                      <w:b/>
                      <w:bCs w:val="0"/>
                      <w:color w:val="auto"/>
                      <w:sz w:val="21"/>
                      <w:szCs w:val="21"/>
                      <w:lang w:val="zh-CN"/>
                    </w:rPr>
                    <w:t>速率</w:t>
                  </w:r>
                  <w:r>
                    <w:rPr>
                      <w:rFonts w:ascii="Times New Roman" w:hAnsi="Times New Roman" w:eastAsia="宋体" w:cs="Times New Roman"/>
                      <w:b/>
                      <w:bCs w:val="0"/>
                      <w:color w:val="auto"/>
                      <w:sz w:val="21"/>
                      <w:szCs w:val="21"/>
                    </w:rPr>
                    <w:t>kg/h</w:t>
                  </w:r>
                </w:p>
              </w:tc>
              <w:tc>
                <w:tcPr>
                  <w:tcW w:w="448"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bCs w:val="0"/>
                      <w:color w:val="auto"/>
                      <w:sz w:val="21"/>
                      <w:szCs w:val="21"/>
                      <w:lang w:val="en-US" w:eastAsia="zh-CN"/>
                    </w:rPr>
                  </w:pPr>
                  <w:r>
                    <w:rPr>
                      <w:rFonts w:hint="eastAsia" w:eastAsia="宋体" w:cs="Times New Roman"/>
                      <w:b/>
                      <w:bCs w:val="0"/>
                      <w:color w:val="auto"/>
                      <w:sz w:val="21"/>
                      <w:szCs w:val="21"/>
                      <w:lang w:val="en-US" w:eastAsia="zh-CN"/>
                    </w:rPr>
                    <w:t>产生浓度</w:t>
                  </w:r>
                  <w:r>
                    <w:rPr>
                      <w:rFonts w:hint="eastAsia" w:ascii="Times New Roman" w:hAnsi="Times New Roman" w:eastAsia="宋体" w:cs="Times New Roman"/>
                      <w:b/>
                      <w:bCs w:val="0"/>
                      <w:color w:val="auto"/>
                      <w:sz w:val="21"/>
                      <w:szCs w:val="21"/>
                      <w:lang w:val="en-US" w:eastAsia="zh-CN"/>
                    </w:rPr>
                    <w:t>mg/</w:t>
                  </w:r>
                  <w:r>
                    <w:rPr>
                      <w:rFonts w:hint="eastAsia" w:eastAsia="宋体" w:cs="Times New Roman"/>
                      <w:b/>
                      <w:bCs w:val="0"/>
                      <w:color w:val="auto"/>
                      <w:sz w:val="21"/>
                      <w:szCs w:val="21"/>
                      <w:lang w:val="en-US" w:eastAsia="zh-CN"/>
                    </w:rPr>
                    <w:t>m</w:t>
                  </w:r>
                  <w:r>
                    <w:rPr>
                      <w:rFonts w:hint="eastAsia" w:eastAsia="宋体" w:cs="Times New Roman"/>
                      <w:b/>
                      <w:bCs w:val="0"/>
                      <w:color w:val="auto"/>
                      <w:sz w:val="21"/>
                      <w:szCs w:val="21"/>
                      <w:vertAlign w:val="superscript"/>
                      <w:lang w:val="en-US" w:eastAsia="zh-CN"/>
                    </w:rPr>
                    <w:t>3</w:t>
                  </w:r>
                </w:p>
              </w:tc>
              <w:tc>
                <w:tcPr>
                  <w:tcW w:w="340"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hint="eastAsia" w:ascii="Times New Roman" w:hAnsi="Times New Roman" w:eastAsia="宋体" w:cs="Times New Roman"/>
                      <w:b/>
                      <w:bCs w:val="0"/>
                      <w:color w:val="auto"/>
                      <w:sz w:val="21"/>
                      <w:szCs w:val="21"/>
                      <w:lang w:val="en-US" w:eastAsia="zh-CN"/>
                    </w:rPr>
                    <w:t>产生</w:t>
                  </w:r>
                  <w:r>
                    <w:rPr>
                      <w:rFonts w:ascii="Times New Roman" w:hAnsi="Times New Roman" w:eastAsia="宋体" w:cs="Times New Roman"/>
                      <w:b/>
                      <w:bCs w:val="0"/>
                      <w:color w:val="auto"/>
                      <w:sz w:val="21"/>
                      <w:szCs w:val="21"/>
                      <w:lang w:val="zh-CN"/>
                    </w:rPr>
                    <w:t>量t/a</w:t>
                  </w:r>
                </w:p>
              </w:tc>
              <w:tc>
                <w:tcPr>
                  <w:tcW w:w="189" w:type="pct"/>
                  <w:vMerge w:val="continue"/>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rPr>
                  </w:pPr>
                </w:p>
              </w:tc>
              <w:tc>
                <w:tcPr>
                  <w:tcW w:w="473"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名称、处理能力、收集效率、去除率</w:t>
                  </w:r>
                </w:p>
              </w:tc>
              <w:tc>
                <w:tcPr>
                  <w:tcW w:w="264"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是否技术可行</w:t>
                  </w:r>
                </w:p>
              </w:tc>
              <w:tc>
                <w:tcPr>
                  <w:tcW w:w="302"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val="0"/>
                      <w:color w:val="auto"/>
                      <w:sz w:val="21"/>
                      <w:szCs w:val="21"/>
                      <w:lang w:val="en-US"/>
                    </w:rPr>
                  </w:pPr>
                  <w:r>
                    <w:rPr>
                      <w:rFonts w:ascii="Times New Roman" w:hAnsi="Times New Roman" w:eastAsia="宋体" w:cs="Times New Roman"/>
                      <w:b/>
                      <w:bCs w:val="0"/>
                      <w:color w:val="auto"/>
                      <w:sz w:val="21"/>
                      <w:szCs w:val="21"/>
                      <w:lang w:val="zh-CN"/>
                    </w:rPr>
                    <w:t>排放</w:t>
                  </w:r>
                  <w:r>
                    <w:rPr>
                      <w:rFonts w:hint="eastAsia" w:eastAsia="宋体" w:cs="Times New Roman"/>
                      <w:b/>
                      <w:bCs w:val="0"/>
                      <w:color w:val="auto"/>
                      <w:sz w:val="21"/>
                      <w:szCs w:val="21"/>
                      <w:lang w:val="en-US" w:eastAsia="zh-CN"/>
                    </w:rPr>
                    <w:t>浓度</w:t>
                  </w:r>
                  <w:r>
                    <w:rPr>
                      <w:rFonts w:hint="eastAsia" w:ascii="Times New Roman" w:hAnsi="Times New Roman" w:eastAsia="宋体" w:cs="Times New Roman"/>
                      <w:b/>
                      <w:bCs w:val="0"/>
                      <w:color w:val="auto"/>
                      <w:sz w:val="21"/>
                      <w:szCs w:val="21"/>
                      <w:lang w:val="en-US" w:eastAsia="zh-CN"/>
                    </w:rPr>
                    <w:t>mg/</w:t>
                  </w:r>
                  <w:r>
                    <w:rPr>
                      <w:rFonts w:hint="eastAsia" w:eastAsia="宋体" w:cs="Times New Roman"/>
                      <w:b/>
                      <w:bCs w:val="0"/>
                      <w:color w:val="auto"/>
                      <w:sz w:val="21"/>
                      <w:szCs w:val="21"/>
                      <w:lang w:val="en-US" w:eastAsia="zh-CN"/>
                    </w:rPr>
                    <w:t>m</w:t>
                  </w:r>
                  <w:r>
                    <w:rPr>
                      <w:rFonts w:hint="eastAsia" w:eastAsia="宋体" w:cs="Times New Roman"/>
                      <w:b/>
                      <w:bCs w:val="0"/>
                      <w:color w:val="auto"/>
                      <w:sz w:val="21"/>
                      <w:szCs w:val="21"/>
                      <w:vertAlign w:val="superscript"/>
                      <w:lang w:val="en-US" w:eastAsia="zh-CN"/>
                    </w:rPr>
                    <w:t>3</w:t>
                  </w:r>
                </w:p>
              </w:tc>
              <w:tc>
                <w:tcPr>
                  <w:tcW w:w="340"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rPr>
                  </w:pPr>
                  <w:r>
                    <w:rPr>
                      <w:rFonts w:ascii="Times New Roman" w:hAnsi="Times New Roman" w:eastAsia="宋体" w:cs="Times New Roman"/>
                      <w:b/>
                      <w:bCs w:val="0"/>
                      <w:color w:val="auto"/>
                      <w:sz w:val="21"/>
                      <w:szCs w:val="21"/>
                      <w:lang w:val="zh-CN"/>
                    </w:rPr>
                    <w:t>排放速率</w:t>
                  </w:r>
                  <w:r>
                    <w:rPr>
                      <w:rFonts w:ascii="Times New Roman" w:hAnsi="Times New Roman" w:eastAsia="宋体" w:cs="Times New Roman"/>
                      <w:b/>
                      <w:bCs w:val="0"/>
                      <w:color w:val="auto"/>
                      <w:sz w:val="21"/>
                      <w:szCs w:val="21"/>
                    </w:rPr>
                    <w:t>kg/h</w:t>
                  </w:r>
                </w:p>
              </w:tc>
              <w:tc>
                <w:tcPr>
                  <w:tcW w:w="374" w:type="pct"/>
                  <w:tcBorders>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lang w:val="zh-CN"/>
                    </w:rPr>
                  </w:pPr>
                  <w:r>
                    <w:rPr>
                      <w:rFonts w:ascii="Times New Roman" w:hAnsi="Times New Roman" w:eastAsia="宋体" w:cs="Times New Roman"/>
                      <w:b/>
                      <w:bCs w:val="0"/>
                      <w:color w:val="auto"/>
                      <w:sz w:val="21"/>
                      <w:szCs w:val="21"/>
                      <w:lang w:val="zh-CN"/>
                    </w:rPr>
                    <w:t>排放量t/a</w:t>
                  </w:r>
                </w:p>
              </w:tc>
              <w:tc>
                <w:tcPr>
                  <w:tcW w:w="21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sz w:val="21"/>
                      <w:szCs w:val="21"/>
                      <w:lang w:val="zh-CN"/>
                    </w:rPr>
                  </w:pPr>
                </w:p>
              </w:tc>
              <w:tc>
                <w:tcPr>
                  <w:tcW w:w="880" w:type="pct"/>
                  <w:vMerge w:val="continue"/>
                  <w:tcBorders>
                    <w:right w:val="single" w:color="auto" w:sz="4" w:space="0"/>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5" w:hRule="atLeast"/>
              </w:trPr>
              <w:tc>
                <w:tcPr>
                  <w:tcW w:w="214" w:type="pct"/>
                  <w:vMerge w:val="restart"/>
                  <w:tcBorders>
                    <w:left w:val="single" w:color="auto" w:sz="4" w:space="0"/>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飞灰暂存</w:t>
                  </w:r>
                </w:p>
              </w:tc>
              <w:tc>
                <w:tcPr>
                  <w:tcW w:w="144"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飞灰仓库</w:t>
                  </w:r>
                </w:p>
              </w:tc>
              <w:tc>
                <w:tcPr>
                  <w:tcW w:w="214"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cs="Times New Roman"/>
                      <w:color w:val="auto"/>
                      <w:sz w:val="21"/>
                      <w:szCs w:val="21"/>
                      <w:u w:val="none"/>
                      <w:lang w:val="en-US" w:eastAsia="zh-CN"/>
                    </w:rPr>
                    <w:t>暂存</w:t>
                  </w:r>
                </w:p>
              </w:tc>
              <w:tc>
                <w:tcPr>
                  <w:tcW w:w="154"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氨气</w:t>
                  </w:r>
                </w:p>
              </w:tc>
              <w:tc>
                <w:tcPr>
                  <w:tcW w:w="143"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类比法</w:t>
                  </w:r>
                </w:p>
              </w:tc>
              <w:tc>
                <w:tcPr>
                  <w:tcW w:w="302" w:type="pct"/>
                  <w:vMerge w:val="restart"/>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u w:val="single"/>
                      <w:lang w:val="en-US" w:eastAsia="zh-CN"/>
                    </w:rPr>
                  </w:pPr>
                  <w:r>
                    <w:rPr>
                      <w:rFonts w:hint="eastAsia" w:cs="Times New Roman"/>
                      <w:color w:val="auto"/>
                      <w:kern w:val="0"/>
                      <w:sz w:val="21"/>
                      <w:szCs w:val="21"/>
                      <w:highlight w:val="none"/>
                      <w:u w:val="single"/>
                      <w:lang w:val="en-US" w:eastAsia="zh-CN"/>
                    </w:rPr>
                    <w:t>0.00032</w:t>
                  </w:r>
                </w:p>
              </w:tc>
              <w:tc>
                <w:tcPr>
                  <w:tcW w:w="448" w:type="pct"/>
                  <w:vMerge w:val="restart"/>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u w:val="single"/>
                      <w:lang w:val="en-US" w:eastAsia="zh-CN"/>
                    </w:rPr>
                  </w:pPr>
                  <w:r>
                    <w:rPr>
                      <w:rFonts w:hint="eastAsia" w:cs="Times New Roman"/>
                      <w:color w:val="auto"/>
                      <w:kern w:val="0"/>
                      <w:sz w:val="21"/>
                      <w:szCs w:val="21"/>
                      <w:highlight w:val="none"/>
                      <w:u w:val="single"/>
                      <w:lang w:val="en-US" w:eastAsia="zh-CN"/>
                    </w:rPr>
                    <w:t>0.016</w:t>
                  </w:r>
                </w:p>
              </w:tc>
              <w:tc>
                <w:tcPr>
                  <w:tcW w:w="1013" w:type="dxa"/>
                  <w:tcBorders>
                    <w:tl2br w:val="nil"/>
                    <w:tr2bl w:val="nil"/>
                  </w:tcBorders>
                  <w:noWrap w:val="0"/>
                  <w:vAlign w:val="center"/>
                </w:tcPr>
                <w:p>
                  <w:pPr>
                    <w:jc w:val="center"/>
                    <w:rPr>
                      <w:rFonts w:hint="default" w:cs="Times New Roman"/>
                      <w:color w:val="auto"/>
                      <w:kern w:val="0"/>
                      <w:sz w:val="21"/>
                      <w:szCs w:val="21"/>
                      <w:highlight w:val="none"/>
                      <w:u w:val="single"/>
                      <w:lang w:val="en-US" w:eastAsia="zh-CN" w:bidi="ar-SA"/>
                    </w:rPr>
                  </w:pPr>
                  <w:r>
                    <w:rPr>
                      <w:rFonts w:hint="eastAsia" w:cs="Times New Roman"/>
                      <w:color w:val="auto"/>
                      <w:kern w:val="0"/>
                      <w:sz w:val="21"/>
                      <w:szCs w:val="21"/>
                      <w:highlight w:val="none"/>
                      <w:u w:val="single"/>
                      <w:lang w:val="en-US" w:eastAsia="zh-CN" w:bidi="ar-SA"/>
                    </w:rPr>
                    <w:t>0.00063</w:t>
                  </w:r>
                </w:p>
              </w:tc>
              <w:tc>
                <w:tcPr>
                  <w:tcW w:w="189" w:type="pc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sz w:val="21"/>
                      <w:szCs w:val="21"/>
                      <w:u w:val="single"/>
                    </w:rPr>
                  </w:pPr>
                  <w:r>
                    <w:rPr>
                      <w:rFonts w:ascii="Times New Roman" w:hAnsi="Times New Roman" w:cs="Times New Roman"/>
                      <w:color w:val="auto"/>
                      <w:sz w:val="21"/>
                      <w:szCs w:val="21"/>
                      <w:u w:val="single"/>
                    </w:rPr>
                    <w:t>有组织</w:t>
                  </w:r>
                </w:p>
              </w:tc>
              <w:tc>
                <w:tcPr>
                  <w:tcW w:w="473"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管道收集+水洗喷淋塔+15m高排气筒（收集效率90％、处理效率80％、风机风量为20000m</w:t>
                  </w:r>
                  <w:r>
                    <w:rPr>
                      <w:rFonts w:hint="eastAsia" w:cs="Times New Roman"/>
                      <w:color w:val="auto"/>
                      <w:sz w:val="21"/>
                      <w:szCs w:val="21"/>
                      <w:u w:val="single"/>
                      <w:vertAlign w:val="superscript"/>
                      <w:lang w:val="en-US" w:eastAsia="zh-CN"/>
                    </w:rPr>
                    <w:t>3</w:t>
                  </w:r>
                  <w:r>
                    <w:rPr>
                      <w:rFonts w:hint="eastAsia" w:cs="Times New Roman"/>
                      <w:color w:val="auto"/>
                      <w:sz w:val="21"/>
                      <w:szCs w:val="21"/>
                      <w:u w:val="single"/>
                      <w:lang w:val="en-US" w:eastAsia="zh-CN"/>
                    </w:rPr>
                    <w:t>/h）</w:t>
                  </w:r>
                </w:p>
              </w:tc>
              <w:tc>
                <w:tcPr>
                  <w:tcW w:w="264"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sz w:val="21"/>
                      <w:szCs w:val="21"/>
                      <w:u w:val="single"/>
                      <w:lang w:val="zh-CN"/>
                    </w:rPr>
                  </w:pPr>
                  <w:r>
                    <w:rPr>
                      <w:rFonts w:ascii="Times New Roman" w:hAnsi="Times New Roman" w:cs="Times New Roman"/>
                      <w:color w:val="auto"/>
                      <w:sz w:val="21"/>
                      <w:szCs w:val="21"/>
                      <w:u w:val="single"/>
                      <w:lang w:val="zh-CN"/>
                    </w:rPr>
                    <w:t>可行</w:t>
                  </w:r>
                </w:p>
              </w:tc>
              <w:tc>
                <w:tcPr>
                  <w:tcW w:w="899"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u w:val="single"/>
                      <w:lang w:val="en-US" w:eastAsia="zh-CN" w:bidi="ar-SA"/>
                    </w:rPr>
                  </w:pPr>
                  <w:r>
                    <w:rPr>
                      <w:rFonts w:hint="eastAsia" w:cs="Times New Roman"/>
                      <w:color w:val="auto"/>
                      <w:kern w:val="0"/>
                      <w:sz w:val="21"/>
                      <w:szCs w:val="21"/>
                      <w:highlight w:val="none"/>
                      <w:u w:val="single"/>
                      <w:lang w:val="en-US" w:eastAsia="zh-CN"/>
                    </w:rPr>
                    <w:t>0.00288</w:t>
                  </w:r>
                </w:p>
              </w:tc>
              <w:tc>
                <w:tcPr>
                  <w:tcW w:w="1013"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u w:val="single"/>
                      <w:lang w:val="en-US" w:eastAsia="zh-CN" w:bidi="ar-SA"/>
                    </w:rPr>
                  </w:pPr>
                  <w:r>
                    <w:rPr>
                      <w:rFonts w:hint="eastAsia" w:cs="Times New Roman"/>
                      <w:color w:val="auto"/>
                      <w:kern w:val="0"/>
                      <w:sz w:val="21"/>
                      <w:szCs w:val="21"/>
                      <w:highlight w:val="none"/>
                      <w:u w:val="single"/>
                      <w:lang w:val="en-US" w:eastAsia="zh-CN"/>
                    </w:rPr>
                    <w:t>5.76*10</w:t>
                  </w:r>
                  <w:r>
                    <w:rPr>
                      <w:rFonts w:hint="eastAsia" w:cs="Times New Roman"/>
                      <w:color w:val="auto"/>
                      <w:kern w:val="0"/>
                      <w:sz w:val="21"/>
                      <w:szCs w:val="21"/>
                      <w:highlight w:val="none"/>
                      <w:u w:val="single"/>
                      <w:vertAlign w:val="superscript"/>
                      <w:lang w:val="en-US" w:eastAsia="zh-CN"/>
                    </w:rPr>
                    <w:t>-5</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bidi="ar-SA"/>
                    </w:rPr>
                    <w:t>0.000126</w:t>
                  </w:r>
                </w:p>
              </w:tc>
              <w:tc>
                <w:tcPr>
                  <w:tcW w:w="214" w:type="pct"/>
                  <w:vMerge w:val="restart"/>
                  <w:tcBorders>
                    <w:tl2br w:val="nil"/>
                    <w:tr2bl w:val="nil"/>
                  </w:tcBorders>
                  <w:noWrap w:val="0"/>
                  <w:vAlign w:val="center"/>
                </w:tcPr>
                <w:p>
                  <w:pPr>
                    <w:pStyle w:val="81"/>
                    <w:keepNext w:val="0"/>
                    <w:keepLines w:val="0"/>
                    <w:pageBreakBefore w:val="0"/>
                    <w:kinsoku/>
                    <w:wordWrap/>
                    <w:overflowPunct/>
                    <w:topLinePunct w:val="0"/>
                    <w:autoSpaceDE/>
                    <w:autoSpaceDN/>
                    <w:bidi w:val="0"/>
                    <w:snapToGrid/>
                    <w:spacing w:before="0" w:after="0" w:line="320" w:lineRule="exact"/>
                    <w:ind w:right="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2190</w:t>
                  </w:r>
                </w:p>
              </w:tc>
              <w:tc>
                <w:tcPr>
                  <w:tcW w:w="880" w:type="pct"/>
                  <w:tcBorders>
                    <w:right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《恶臭污染物排放标准》(GB14554-1993)表 2（排气筒高度15m，排放速率4.9kg/h）</w:t>
                  </w:r>
                </w:p>
                <w:p>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eastAsia="宋体" w:cs="Times New Roman"/>
                      <w:color w:val="auto"/>
                      <w:sz w:val="21"/>
                      <w:szCs w:val="21"/>
                      <w:u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214" w:type="pct"/>
                  <w:vMerge w:val="continue"/>
                  <w:tcBorders>
                    <w:left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rPr>
                  </w:pPr>
                </w:p>
              </w:tc>
              <w:tc>
                <w:tcPr>
                  <w:tcW w:w="14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rPr>
                  </w:pPr>
                </w:p>
              </w:tc>
              <w:tc>
                <w:tcPr>
                  <w:tcW w:w="21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rPr>
                  </w:pPr>
                </w:p>
              </w:tc>
              <w:tc>
                <w:tcPr>
                  <w:tcW w:w="15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cs="Times New Roman"/>
                      <w:color w:val="auto"/>
                      <w:sz w:val="21"/>
                      <w:szCs w:val="21"/>
                      <w:u w:val="none"/>
                      <w:lang w:val="en-US" w:eastAsia="zh-CN"/>
                    </w:rPr>
                  </w:pPr>
                </w:p>
              </w:tc>
              <w:tc>
                <w:tcPr>
                  <w:tcW w:w="143"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u w:val="none"/>
                    </w:rPr>
                  </w:pPr>
                </w:p>
              </w:tc>
              <w:tc>
                <w:tcPr>
                  <w:tcW w:w="302" w:type="pct"/>
                  <w:vMerge w:val="continue"/>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u w:val="single"/>
                      <w:lang w:val="en-US" w:eastAsia="zh-CN"/>
                    </w:rPr>
                  </w:pPr>
                </w:p>
              </w:tc>
              <w:tc>
                <w:tcPr>
                  <w:tcW w:w="448" w:type="pct"/>
                  <w:vMerge w:val="continue"/>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u w:val="single"/>
                      <w:lang w:val="en-US" w:eastAsia="zh-CN"/>
                    </w:rPr>
                  </w:pPr>
                </w:p>
              </w:tc>
              <w:tc>
                <w:tcPr>
                  <w:tcW w:w="1013"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u w:val="single"/>
                      <w:lang w:val="en-US" w:eastAsia="zh-CN" w:bidi="ar-SA"/>
                    </w:rPr>
                  </w:pPr>
                  <w:r>
                    <w:rPr>
                      <w:rFonts w:hint="eastAsia" w:cs="Times New Roman"/>
                      <w:color w:val="auto"/>
                      <w:kern w:val="0"/>
                      <w:sz w:val="21"/>
                      <w:szCs w:val="21"/>
                      <w:highlight w:val="none"/>
                      <w:u w:val="single"/>
                      <w:lang w:val="en-US" w:eastAsia="zh-CN" w:bidi="ar-SA"/>
                    </w:rPr>
                    <w:t>0.000032</w:t>
                  </w:r>
                </w:p>
              </w:tc>
              <w:tc>
                <w:tcPr>
                  <w:tcW w:w="18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无组织</w:t>
                  </w:r>
                </w:p>
              </w:tc>
              <w:tc>
                <w:tcPr>
                  <w:tcW w:w="473"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cs="Times New Roman"/>
                      <w:color w:val="auto"/>
                      <w:sz w:val="21"/>
                      <w:szCs w:val="21"/>
                      <w:u w:val="single"/>
                      <w:lang w:eastAsia="zh-CN"/>
                    </w:rPr>
                  </w:pPr>
                </w:p>
              </w:tc>
              <w:tc>
                <w:tcPr>
                  <w:tcW w:w="26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u w:val="single"/>
                      <w:lang w:val="zh-CN"/>
                    </w:rPr>
                  </w:pPr>
                </w:p>
              </w:tc>
              <w:tc>
                <w:tcPr>
                  <w:tcW w:w="899" w:type="dxa"/>
                  <w:tcBorders>
                    <w:tl2br w:val="nil"/>
                    <w:tr2bl w:val="nil"/>
                  </w:tcBorders>
                  <w:noWrap w:val="0"/>
                  <w:vAlign w:val="center"/>
                </w:tcPr>
                <w:p>
                  <w:pPr>
                    <w:jc w:val="center"/>
                    <w:rPr>
                      <w:rFonts w:hint="default" w:ascii="Times New Roman" w:hAnsi="Times New Roman" w:cs="Times New Roman"/>
                      <w:color w:val="auto"/>
                      <w:kern w:val="0"/>
                      <w:sz w:val="21"/>
                      <w:szCs w:val="21"/>
                      <w:highlight w:val="yellow"/>
                      <w:u w:val="single"/>
                      <w:lang w:val="en-US" w:eastAsia="zh-CN"/>
                    </w:rPr>
                  </w:pPr>
                  <w:r>
                    <w:rPr>
                      <w:rFonts w:hint="eastAsia" w:cs="Times New Roman"/>
                      <w:color w:val="auto"/>
                      <w:sz w:val="21"/>
                      <w:szCs w:val="21"/>
                      <w:highlight w:val="none"/>
                      <w:u w:val="single"/>
                      <w:lang w:val="en-US" w:eastAsia="zh-CN"/>
                    </w:rPr>
                    <w:t>0.0016</w:t>
                  </w:r>
                </w:p>
              </w:tc>
              <w:tc>
                <w:tcPr>
                  <w:tcW w:w="1013" w:type="dxa"/>
                  <w:tcBorders>
                    <w:tl2br w:val="nil"/>
                    <w:tr2bl w:val="nil"/>
                  </w:tcBorders>
                  <w:noWrap w:val="0"/>
                  <w:vAlign w:val="center"/>
                </w:tcPr>
                <w:p>
                  <w:pPr>
                    <w:jc w:val="center"/>
                    <w:rPr>
                      <w:rFonts w:hint="default" w:ascii="Times New Roman" w:hAnsi="Times New Roman" w:cs="Times New Roman"/>
                      <w:color w:val="auto"/>
                      <w:kern w:val="0"/>
                      <w:sz w:val="21"/>
                      <w:szCs w:val="21"/>
                      <w:highlight w:val="yellow"/>
                      <w:u w:val="single"/>
                      <w:lang w:val="en-US" w:eastAsia="zh-CN"/>
                    </w:rPr>
                  </w:pPr>
                  <w:r>
                    <w:rPr>
                      <w:rFonts w:hint="eastAsia" w:cs="Times New Roman"/>
                      <w:color w:val="auto"/>
                      <w:kern w:val="0"/>
                      <w:sz w:val="21"/>
                      <w:szCs w:val="21"/>
                      <w:highlight w:val="none"/>
                      <w:u w:val="single"/>
                      <w:lang w:val="en-US" w:eastAsia="zh-CN"/>
                    </w:rPr>
                    <w:t>/</w:t>
                  </w:r>
                </w:p>
              </w:tc>
              <w:tc>
                <w:tcPr>
                  <w:tcW w:w="1115" w:type="dxa"/>
                  <w:tcBorders>
                    <w:tl2br w:val="nil"/>
                    <w:tr2bl w:val="nil"/>
                  </w:tcBorders>
                  <w:noWrap w:val="0"/>
                  <w:vAlign w:val="center"/>
                </w:tcPr>
                <w:p>
                  <w:pPr>
                    <w:jc w:val="center"/>
                    <w:rPr>
                      <w:rFonts w:hint="default" w:ascii="Times New Roman" w:hAnsi="Times New Roman" w:cs="Times New Roman"/>
                      <w:color w:val="auto"/>
                      <w:kern w:val="0"/>
                      <w:sz w:val="21"/>
                      <w:szCs w:val="21"/>
                      <w:highlight w:val="yellow"/>
                      <w:u w:val="single"/>
                      <w:lang w:val="en-US" w:eastAsia="zh-CN"/>
                    </w:rPr>
                  </w:pPr>
                  <w:r>
                    <w:rPr>
                      <w:rFonts w:hint="eastAsia" w:cs="Times New Roman"/>
                      <w:color w:val="auto"/>
                      <w:kern w:val="0"/>
                      <w:sz w:val="21"/>
                      <w:szCs w:val="21"/>
                      <w:highlight w:val="none"/>
                      <w:u w:val="single"/>
                      <w:lang w:val="en-US" w:eastAsia="zh-CN"/>
                    </w:rPr>
                    <w:t>/</w:t>
                  </w:r>
                </w:p>
              </w:tc>
              <w:tc>
                <w:tcPr>
                  <w:tcW w:w="21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u w:val="none"/>
                      <w:lang w:val="en-US" w:eastAsia="zh-CN"/>
                    </w:rPr>
                  </w:pPr>
                </w:p>
              </w:tc>
              <w:tc>
                <w:tcPr>
                  <w:tcW w:w="880" w:type="pct"/>
                  <w:tcBorders>
                    <w:right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黑体" w:cs="Times New Roman"/>
                      <w:color w:val="auto"/>
                      <w:sz w:val="21"/>
                      <w:szCs w:val="21"/>
                      <w:u w:val="none"/>
                      <w:lang w:eastAsia="zh-CN"/>
                    </w:rPr>
                  </w:pPr>
                  <w:r>
                    <w:rPr>
                      <w:rFonts w:hint="eastAsia" w:ascii="Times New Roman" w:hAnsi="Times New Roman" w:eastAsia="宋体" w:cs="Times New Roman"/>
                      <w:color w:val="auto"/>
                      <w:sz w:val="21"/>
                      <w:szCs w:val="21"/>
                      <w:u w:val="none"/>
                      <w:lang w:val="en-US" w:eastAsia="zh-CN"/>
                    </w:rPr>
                    <w:t>《恶臭污染物排放标准》(GB14554-1993)  表 1（浓度限值1.5mg/m</w:t>
                  </w:r>
                  <w:r>
                    <w:rPr>
                      <w:rFonts w:hint="eastAsia" w:ascii="Times New Roman" w:hAnsi="Times New Roman" w:eastAsia="宋体" w:cs="Times New Roman"/>
                      <w:color w:val="auto"/>
                      <w:sz w:val="21"/>
                      <w:szCs w:val="21"/>
                      <w:u w:val="none"/>
                      <w:vertAlign w:val="superscript"/>
                      <w:lang w:val="en-US" w:eastAsia="zh-CN"/>
                    </w:rPr>
                    <w:t>3</w:t>
                  </w:r>
                  <w:r>
                    <w:rPr>
                      <w:rFonts w:hint="eastAsia" w:ascii="Times New Roman" w:hAnsi="Times New Roman" w:eastAsia="宋体" w:cs="Times New Roman"/>
                      <w:color w:val="auto"/>
                      <w:sz w:val="21"/>
                      <w:szCs w:val="21"/>
                      <w:u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214" w:type="pct"/>
                  <w:tcBorders>
                    <w:left w:val="single" w:color="auto" w:sz="4" w:space="0"/>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飞灰运输、装卸、暂存</w:t>
                  </w:r>
                </w:p>
              </w:tc>
              <w:tc>
                <w:tcPr>
                  <w:tcW w:w="144" w:type="pct"/>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u w:val="none"/>
                      <w:lang w:val="en-US" w:eastAsia="zh-CN"/>
                    </w:rPr>
                    <w:t>飞灰仓库</w:t>
                  </w:r>
                </w:p>
              </w:tc>
              <w:tc>
                <w:tcPr>
                  <w:tcW w:w="214" w:type="pct"/>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运输、装卸、暂存</w:t>
                  </w:r>
                </w:p>
              </w:tc>
              <w:tc>
                <w:tcPr>
                  <w:tcW w:w="154" w:type="pct"/>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颗粒物</w:t>
                  </w:r>
                </w:p>
              </w:tc>
              <w:tc>
                <w:tcPr>
                  <w:tcW w:w="143" w:type="pct"/>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类比法</w:t>
                  </w:r>
                </w:p>
              </w:tc>
              <w:tc>
                <w:tcPr>
                  <w:tcW w:w="302" w:type="pct"/>
                  <w:tcBorders>
                    <w:bottom w:val="single" w:color="auto" w:sz="4" w:space="0"/>
                    <w:tl2br w:val="nil"/>
                    <w:tr2bl w:val="nil"/>
                  </w:tcBorders>
                  <w:noWrap w:val="0"/>
                  <w:vAlign w:val="center"/>
                </w:tcPr>
                <w:p>
                  <w:pPr>
                    <w:jc w:val="center"/>
                    <w:rPr>
                      <w:rFonts w:hint="eastAsia" w:cs="Times New Roman"/>
                      <w:color w:val="auto"/>
                      <w:kern w:val="0"/>
                      <w:sz w:val="21"/>
                      <w:szCs w:val="21"/>
                      <w:highlight w:val="none"/>
                      <w:u w:val="single"/>
                      <w:lang w:val="en-US" w:eastAsia="zh-CN"/>
                    </w:rPr>
                  </w:pPr>
                  <w:r>
                    <w:rPr>
                      <w:rFonts w:hint="eastAsia" w:cs="Times New Roman"/>
                      <w:color w:val="auto"/>
                      <w:kern w:val="0"/>
                      <w:sz w:val="21"/>
                      <w:szCs w:val="21"/>
                      <w:highlight w:val="none"/>
                      <w:u w:val="single"/>
                      <w:lang w:val="en-US" w:eastAsia="zh-CN"/>
                    </w:rPr>
                    <w:t>/</w:t>
                  </w:r>
                </w:p>
              </w:tc>
              <w:tc>
                <w:tcPr>
                  <w:tcW w:w="448" w:type="pct"/>
                  <w:tcBorders>
                    <w:bottom w:val="single" w:color="auto" w:sz="4" w:space="0"/>
                    <w:tl2br w:val="nil"/>
                    <w:tr2bl w:val="nil"/>
                  </w:tcBorders>
                  <w:noWrap w:val="0"/>
                  <w:vAlign w:val="center"/>
                </w:tcPr>
                <w:p>
                  <w:pPr>
                    <w:jc w:val="center"/>
                    <w:rPr>
                      <w:rFonts w:hint="default" w:cs="Times New Roman"/>
                      <w:color w:val="auto"/>
                      <w:kern w:val="0"/>
                      <w:sz w:val="21"/>
                      <w:szCs w:val="21"/>
                      <w:highlight w:val="none"/>
                      <w:u w:val="single"/>
                      <w:lang w:val="en-US" w:eastAsia="zh-CN"/>
                    </w:rPr>
                  </w:pPr>
                  <w:r>
                    <w:rPr>
                      <w:rFonts w:hint="eastAsia" w:ascii="Times New Roman" w:hAnsi="Times New Roman" w:eastAsia="宋体" w:cs="Times New Roman"/>
                      <w:color w:val="auto"/>
                      <w:sz w:val="21"/>
                      <w:szCs w:val="21"/>
                      <w:u w:val="single"/>
                      <w:lang w:val="en-US" w:eastAsia="zh-CN"/>
                    </w:rPr>
                    <w:t>0.30</w:t>
                  </w:r>
                  <w:r>
                    <w:rPr>
                      <w:rFonts w:hint="eastAsia" w:cs="Times New Roman"/>
                      <w:color w:val="auto"/>
                      <w:sz w:val="21"/>
                      <w:szCs w:val="21"/>
                      <w:u w:val="single"/>
                      <w:lang w:val="en-US" w:eastAsia="zh-CN"/>
                    </w:rPr>
                    <w:t>5</w:t>
                  </w:r>
                </w:p>
              </w:tc>
              <w:tc>
                <w:tcPr>
                  <w:tcW w:w="340" w:type="pct"/>
                  <w:tcBorders>
                    <w:bottom w:val="single" w:color="auto" w:sz="4" w:space="0"/>
                    <w:tl2br w:val="nil"/>
                    <w:tr2bl w:val="nil"/>
                  </w:tcBorders>
                  <w:noWrap w:val="0"/>
                  <w:vAlign w:val="center"/>
                </w:tcPr>
                <w:p>
                  <w:pPr>
                    <w:jc w:val="center"/>
                    <w:rPr>
                      <w:rFonts w:hint="eastAsia" w:cs="Times New Roman"/>
                      <w:color w:val="auto"/>
                      <w:kern w:val="0"/>
                      <w:sz w:val="21"/>
                      <w:szCs w:val="21"/>
                      <w:highlight w:val="none"/>
                      <w:u w:val="single"/>
                      <w:lang w:val="en-US" w:eastAsia="zh-CN" w:bidi="ar-SA"/>
                    </w:rPr>
                  </w:pPr>
                  <w:r>
                    <w:rPr>
                      <w:rFonts w:hint="eastAsia" w:cs="Times New Roman"/>
                      <w:color w:val="auto"/>
                      <w:kern w:val="0"/>
                      <w:sz w:val="21"/>
                      <w:szCs w:val="21"/>
                      <w:highlight w:val="none"/>
                      <w:u w:val="single"/>
                      <w:lang w:val="en-US" w:eastAsia="zh-CN"/>
                    </w:rPr>
                    <w:t>/</w:t>
                  </w:r>
                </w:p>
              </w:tc>
              <w:tc>
                <w:tcPr>
                  <w:tcW w:w="189" w:type="pct"/>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21"/>
                      <w:szCs w:val="21"/>
                      <w:u w:val="single"/>
                      <w:lang w:val="en-US" w:eastAsia="zh-CN"/>
                    </w:rPr>
                  </w:pPr>
                  <w:r>
                    <w:rPr>
                      <w:rFonts w:hint="eastAsia" w:cs="Times New Roman"/>
                      <w:color w:val="auto"/>
                      <w:sz w:val="21"/>
                      <w:szCs w:val="21"/>
                      <w:u w:val="single"/>
                      <w:lang w:val="en-US" w:eastAsia="zh-CN"/>
                    </w:rPr>
                    <w:t>无组织</w:t>
                  </w:r>
                </w:p>
              </w:tc>
              <w:tc>
                <w:tcPr>
                  <w:tcW w:w="473" w:type="pct"/>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车间上方安装喷干雾装置</w:t>
                  </w:r>
                </w:p>
              </w:tc>
              <w:tc>
                <w:tcPr>
                  <w:tcW w:w="264" w:type="pct"/>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u w:val="single"/>
                      <w:lang w:val="zh-CN"/>
                    </w:rPr>
                  </w:pPr>
                  <w:r>
                    <w:rPr>
                      <w:rFonts w:ascii="Times New Roman" w:hAnsi="Times New Roman" w:cs="Times New Roman"/>
                      <w:color w:val="auto"/>
                      <w:sz w:val="21"/>
                      <w:szCs w:val="21"/>
                      <w:u w:val="single"/>
                      <w:lang w:val="zh-CN"/>
                    </w:rPr>
                    <w:t>可行</w:t>
                  </w:r>
                </w:p>
              </w:tc>
              <w:tc>
                <w:tcPr>
                  <w:tcW w:w="302" w:type="pct"/>
                  <w:tcBorders>
                    <w:bottom w:val="single" w:color="auto" w:sz="4" w:space="0"/>
                    <w:tl2br w:val="nil"/>
                    <w:tr2bl w:val="nil"/>
                  </w:tcBorders>
                  <w:noWrap w:val="0"/>
                  <w:vAlign w:val="center"/>
                </w:tcPr>
                <w:p>
                  <w:pPr>
                    <w:jc w:val="center"/>
                    <w:rPr>
                      <w:rFonts w:hint="default" w:cs="Times New Roman"/>
                      <w:color w:val="auto"/>
                      <w:kern w:val="0"/>
                      <w:sz w:val="21"/>
                      <w:szCs w:val="21"/>
                      <w:highlight w:val="none"/>
                      <w:u w:val="single"/>
                      <w:lang w:val="en-US" w:eastAsia="zh-CN"/>
                    </w:rPr>
                  </w:pPr>
                  <w:r>
                    <w:rPr>
                      <w:rFonts w:hint="eastAsia" w:cs="Times New Roman"/>
                      <w:color w:val="auto"/>
                      <w:sz w:val="21"/>
                      <w:szCs w:val="21"/>
                      <w:u w:val="single"/>
                      <w:lang w:val="en-US" w:eastAsia="zh-CN"/>
                    </w:rPr>
                    <w:t>0.0305</w:t>
                  </w:r>
                </w:p>
              </w:tc>
              <w:tc>
                <w:tcPr>
                  <w:tcW w:w="340" w:type="pct"/>
                  <w:tcBorders>
                    <w:bottom w:val="single" w:color="auto" w:sz="4" w:space="0"/>
                    <w:tl2br w:val="nil"/>
                    <w:tr2bl w:val="nil"/>
                  </w:tcBorders>
                  <w:noWrap w:val="0"/>
                  <w:vAlign w:val="center"/>
                </w:tcPr>
                <w:p>
                  <w:pPr>
                    <w:jc w:val="center"/>
                    <w:rPr>
                      <w:rFonts w:hint="default" w:cs="Times New Roman"/>
                      <w:color w:val="auto"/>
                      <w:kern w:val="0"/>
                      <w:sz w:val="21"/>
                      <w:szCs w:val="21"/>
                      <w:highlight w:val="none"/>
                      <w:u w:val="single"/>
                      <w:lang w:val="en-US" w:eastAsia="zh-CN"/>
                    </w:rPr>
                  </w:pPr>
                  <w:r>
                    <w:rPr>
                      <w:rFonts w:hint="eastAsia" w:cs="Times New Roman"/>
                      <w:color w:val="auto"/>
                      <w:kern w:val="0"/>
                      <w:sz w:val="21"/>
                      <w:szCs w:val="21"/>
                      <w:highlight w:val="none"/>
                      <w:u w:val="single"/>
                      <w:lang w:val="en-US" w:eastAsia="zh-CN"/>
                    </w:rPr>
                    <w:t>/</w:t>
                  </w:r>
                </w:p>
              </w:tc>
              <w:tc>
                <w:tcPr>
                  <w:tcW w:w="374" w:type="pct"/>
                  <w:tcBorders>
                    <w:bottom w:val="single" w:color="auto" w:sz="4" w:space="0"/>
                    <w:tl2br w:val="nil"/>
                    <w:tr2bl w:val="nil"/>
                  </w:tcBorders>
                  <w:noWrap w:val="0"/>
                  <w:vAlign w:val="center"/>
                </w:tcPr>
                <w:p>
                  <w:pPr>
                    <w:jc w:val="center"/>
                    <w:rPr>
                      <w:rFonts w:hint="default" w:cs="Times New Roman"/>
                      <w:color w:val="auto"/>
                      <w:kern w:val="0"/>
                      <w:sz w:val="21"/>
                      <w:szCs w:val="21"/>
                      <w:highlight w:val="none"/>
                      <w:u w:val="single"/>
                      <w:lang w:val="en-US" w:eastAsia="zh-CN" w:bidi="ar-SA"/>
                    </w:rPr>
                  </w:pPr>
                  <w:r>
                    <w:rPr>
                      <w:rFonts w:hint="eastAsia" w:cs="Times New Roman"/>
                      <w:color w:val="auto"/>
                      <w:kern w:val="0"/>
                      <w:sz w:val="21"/>
                      <w:szCs w:val="21"/>
                      <w:highlight w:val="none"/>
                      <w:u w:val="single"/>
                      <w:lang w:val="en-US" w:eastAsia="zh-CN"/>
                    </w:rPr>
                    <w:t>/</w:t>
                  </w:r>
                </w:p>
              </w:tc>
              <w:tc>
                <w:tcPr>
                  <w:tcW w:w="214" w:type="pct"/>
                  <w:vMerge w:val="continue"/>
                  <w:tcBorders>
                    <w:bottom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u w:val="none"/>
                      <w:lang w:val="en-US" w:eastAsia="zh-CN"/>
                    </w:rPr>
                  </w:pPr>
                </w:p>
              </w:tc>
              <w:tc>
                <w:tcPr>
                  <w:tcW w:w="880" w:type="pct"/>
                  <w:tcBorders>
                    <w:bottom w:val="single" w:color="auto" w:sz="4" w:space="0"/>
                    <w:right w:val="single" w:color="auto" w:sz="4" w:space="0"/>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b w:val="0"/>
                      <w:bCs w:val="0"/>
                      <w:color w:val="auto"/>
                      <w:sz w:val="21"/>
                      <w:szCs w:val="21"/>
                      <w:lang w:eastAsia="zh-CN"/>
                    </w:rPr>
                  </w:pPr>
                  <w:r>
                    <w:rPr>
                      <w:rFonts w:ascii="Times New Roman" w:hAnsi="Times New Roman" w:cs="Times New Roman"/>
                      <w:b w:val="0"/>
                      <w:bCs w:val="0"/>
                      <w:color w:val="auto"/>
                      <w:sz w:val="21"/>
                      <w:szCs w:val="21"/>
                    </w:rPr>
                    <w:t>《大气污染物综合排放标准》（GB16297-1996）</w:t>
                  </w:r>
                  <w:r>
                    <w:rPr>
                      <w:rFonts w:hint="eastAsia" w:ascii="Times New Roman" w:hAnsi="Times New Roman" w:cs="Times New Roman"/>
                      <w:b w:val="0"/>
                      <w:bCs w:val="0"/>
                      <w:color w:val="auto"/>
                      <w:sz w:val="21"/>
                      <w:szCs w:val="21"/>
                      <w:lang w:eastAsia="zh-CN"/>
                    </w:rPr>
                    <w:t>（</w:t>
                  </w:r>
                  <w:r>
                    <w:rPr>
                      <w:rFonts w:ascii="Times New Roman" w:hAnsi="Times New Roman" w:cs="Times New Roman"/>
                      <w:b w:val="0"/>
                      <w:bCs w:val="0"/>
                      <w:color w:val="auto"/>
                      <w:sz w:val="21"/>
                      <w:szCs w:val="21"/>
                    </w:rPr>
                    <w:t>企业边界大气污染物浓度限值</w:t>
                  </w:r>
                  <w:r>
                    <w:rPr>
                      <w:rFonts w:hint="eastAsia" w:ascii="Times New Roman" w:hAnsi="Times New Roman" w:eastAsia="宋体" w:cs="Times New Roman"/>
                      <w:color w:val="auto"/>
                      <w:sz w:val="21"/>
                      <w:szCs w:val="21"/>
                      <w:u w:val="none"/>
                      <w:lang w:val="en-US" w:eastAsia="zh-CN"/>
                    </w:rPr>
                    <w:t>1.5mg/m</w:t>
                  </w:r>
                  <w:r>
                    <w:rPr>
                      <w:rFonts w:hint="eastAsia" w:ascii="Times New Roman" w:hAnsi="Times New Roman" w:eastAsia="宋体" w:cs="Times New Roman"/>
                      <w:color w:val="auto"/>
                      <w:sz w:val="21"/>
                      <w:szCs w:val="21"/>
                      <w:u w:val="none"/>
                      <w:vertAlign w:val="superscript"/>
                      <w:lang w:val="en-US" w:eastAsia="zh-CN"/>
                    </w:rPr>
                    <w:t>3</w:t>
                  </w:r>
                  <w:r>
                    <w:rPr>
                      <w:rFonts w:hint="eastAsia" w:ascii="Times New Roman" w:hAnsi="Times New Roman" w:cs="Times New Roman"/>
                      <w:b w:val="0"/>
                      <w:bCs w:val="0"/>
                      <w:color w:val="auto"/>
                      <w:sz w:val="21"/>
                      <w:szCs w:val="21"/>
                      <w:lang w:eastAsia="zh-CN"/>
                    </w:rPr>
                    <w:t>）</w:t>
                  </w:r>
                </w:p>
              </w:tc>
            </w:tr>
          </w:tbl>
          <w:p>
            <w:pPr>
              <w:pStyle w:val="24"/>
              <w:widowControl/>
              <w:numPr>
                <w:ilvl w:val="0"/>
                <w:numId w:val="0"/>
              </w:numPr>
              <w:spacing w:before="100" w:beforeLines="50" w:beforeAutospacing="0" w:after="100" w:afterLines="50" w:afterAutospacing="0"/>
              <w:jc w:val="both"/>
              <w:outlineLvl w:val="0"/>
              <w:rPr>
                <w:rFonts w:ascii="Times New Roman" w:hAnsi="Times New Roman" w:cs="Times New Roman"/>
                <w:b/>
                <w:bCs/>
                <w:color w:val="auto"/>
                <w:sz w:val="30"/>
                <w:szCs w:val="30"/>
                <w:vertAlign w:val="baseline"/>
              </w:rPr>
            </w:pPr>
          </w:p>
        </w:tc>
      </w:tr>
    </w:tbl>
    <w:p>
      <w:pPr>
        <w:pStyle w:val="24"/>
        <w:widowControl/>
        <w:numPr>
          <w:ilvl w:val="0"/>
          <w:numId w:val="0"/>
        </w:numPr>
        <w:spacing w:before="100" w:beforeLines="50" w:beforeAutospacing="0" w:after="100" w:afterLines="50" w:afterAutospacing="0"/>
        <w:jc w:val="both"/>
        <w:outlineLvl w:val="0"/>
        <w:rPr>
          <w:rFonts w:ascii="Times New Roman" w:hAnsi="Times New Roman" w:cs="Times New Roman"/>
          <w:b/>
          <w:bCs/>
          <w:color w:val="auto"/>
          <w:sz w:val="30"/>
          <w:szCs w:val="30"/>
        </w:rPr>
        <w:sectPr>
          <w:pgSz w:w="16840" w:h="11907" w:orient="landscape"/>
          <w:pgMar w:top="720" w:right="720" w:bottom="720" w:left="720"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8"/>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68"/>
        <w:gridCol w:w="87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38" w:hRule="atLeast"/>
          <w:jc w:val="center"/>
        </w:trPr>
        <w:tc>
          <w:tcPr>
            <w:tcW w:w="254" w:type="pct"/>
            <w:tcMar>
              <w:left w:w="28" w:type="dxa"/>
              <w:right w:w="28" w:type="dxa"/>
            </w:tcMar>
            <w:vAlign w:val="center"/>
          </w:tcPr>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运营</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期环</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境影</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响和</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保护</w:t>
            </w:r>
          </w:p>
          <w:p>
            <w:pPr>
              <w:spacing w:line="400" w:lineRule="exact"/>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措施</w:t>
            </w:r>
          </w:p>
        </w:tc>
        <w:tc>
          <w:tcPr>
            <w:tcW w:w="4745" w:type="pct"/>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ascii="Times New Roman" w:hAnsi="Times New Roman" w:cs="Times New Roman"/>
                <w:b/>
                <w:bCs/>
                <w:color w:val="auto"/>
                <w:kern w:val="0"/>
                <w:sz w:val="24"/>
                <w:szCs w:val="24"/>
              </w:rPr>
            </w:pPr>
            <w:r>
              <w:rPr>
                <w:rFonts w:hint="eastAsia" w:cs="Times New Roman"/>
                <w:b/>
                <w:bCs/>
                <w:color w:val="auto"/>
                <w:sz w:val="24"/>
                <w:szCs w:val="24"/>
                <w:lang w:val="en-US" w:bidi="zh-CN"/>
              </w:rPr>
              <w:t>1</w:t>
            </w:r>
            <w:r>
              <w:rPr>
                <w:rFonts w:hint="eastAsia" w:ascii="Times New Roman" w:hAnsi="Times New Roman" w:cs="Times New Roman"/>
                <w:b/>
                <w:bCs/>
                <w:color w:val="auto"/>
                <w:sz w:val="24"/>
                <w:szCs w:val="24"/>
                <w:lang w:val="en-US" w:bidi="zh-CN"/>
              </w:rPr>
              <w:t xml:space="preserve">. </w:t>
            </w:r>
            <w:r>
              <w:rPr>
                <w:rFonts w:ascii="Times New Roman" w:hAnsi="Times New Roman" w:cs="Times New Roman"/>
                <w:b/>
                <w:bCs/>
                <w:color w:val="auto"/>
                <w:sz w:val="24"/>
                <w:szCs w:val="24"/>
                <w:lang w:bidi="zh-CN"/>
              </w:rPr>
              <w:t>废气</w:t>
            </w:r>
          </w:p>
          <w:p>
            <w:pPr>
              <w:keepNext w:val="0"/>
              <w:keepLines w:val="0"/>
              <w:pageBreakBefore w:val="0"/>
              <w:widowControl w:val="0"/>
              <w:kinsoku/>
              <w:wordWrap/>
              <w:overflowPunct/>
              <w:topLinePunct w:val="0"/>
              <w:autoSpaceDE/>
              <w:autoSpaceDN/>
              <w:bidi w:val="0"/>
              <w:adjustRightInd w:val="0"/>
              <w:snapToGrid w:val="0"/>
              <w:spacing w:line="360" w:lineRule="auto"/>
              <w:ind w:firstLine="502" w:firstLineChars="200"/>
              <w:jc w:val="left"/>
              <w:textAlignment w:val="auto"/>
              <w:rPr>
                <w:rFonts w:hint="default" w:ascii="Times New Roman" w:hAnsi="Times New Roman" w:eastAsia="宋体" w:cs="Times New Roman"/>
                <w:b/>
                <w:bCs/>
                <w:color w:val="auto"/>
                <w:spacing w:val="5"/>
                <w:sz w:val="24"/>
                <w:highlight w:val="none"/>
                <w:lang w:val="en-US" w:eastAsia="zh-CN"/>
              </w:rPr>
            </w:pPr>
            <w:r>
              <w:rPr>
                <w:rFonts w:hint="eastAsia" w:cs="Times New Roman"/>
                <w:b/>
                <w:bCs/>
                <w:color w:val="auto"/>
                <w:spacing w:val="5"/>
                <w:sz w:val="24"/>
                <w:highlight w:val="none"/>
                <w:lang w:val="en-US" w:eastAsia="zh-CN"/>
              </w:rPr>
              <w:t>1.1废气产生及源强分析</w:t>
            </w:r>
          </w:p>
          <w:p>
            <w:pPr>
              <w:keepNext w:val="0"/>
              <w:keepLines w:val="0"/>
              <w:pageBreakBefore w:val="0"/>
              <w:widowControl w:val="0"/>
              <w:kinsoku/>
              <w:wordWrap/>
              <w:overflowPunct/>
              <w:topLinePunct w:val="0"/>
              <w:autoSpaceDE/>
              <w:autoSpaceDN/>
              <w:bidi w:val="0"/>
              <w:adjustRightInd w:val="0"/>
              <w:snapToGrid w:val="0"/>
              <w:spacing w:line="360" w:lineRule="auto"/>
              <w:ind w:firstLine="500" w:firstLineChars="200"/>
              <w:jc w:val="left"/>
              <w:textAlignment w:val="auto"/>
              <w:rPr>
                <w:rFonts w:hint="default" w:ascii="Calibri" w:hAnsi="Calibri" w:eastAsia="宋体" w:cs="Calibri"/>
                <w:color w:val="auto"/>
                <w:kern w:val="2"/>
                <w:sz w:val="24"/>
                <w:szCs w:val="24"/>
                <w:u w:val="none"/>
                <w:lang w:val="en-US" w:eastAsia="zh-CN" w:bidi="ar-SA"/>
              </w:rPr>
            </w:pPr>
            <w:r>
              <w:rPr>
                <w:rFonts w:hint="default" w:ascii="Times New Roman" w:hAnsi="Times New Roman" w:cs="Times New Roman"/>
                <w:color w:val="auto"/>
                <w:spacing w:val="5"/>
                <w:sz w:val="24"/>
                <w:highlight w:val="none"/>
              </w:rPr>
              <w:t>本项目</w:t>
            </w:r>
            <w:r>
              <w:rPr>
                <w:rFonts w:hint="eastAsia" w:cs="Times New Roman"/>
                <w:color w:val="auto"/>
                <w:spacing w:val="5"/>
                <w:sz w:val="24"/>
                <w:highlight w:val="none"/>
                <w:lang w:val="en-US" w:eastAsia="zh-CN"/>
              </w:rPr>
              <w:t>现有工程</w:t>
            </w:r>
            <w:r>
              <w:rPr>
                <w:rFonts w:hint="default" w:ascii="Times New Roman" w:hAnsi="Times New Roman" w:cs="Times New Roman"/>
                <w:color w:val="auto"/>
                <w:spacing w:val="5"/>
                <w:sz w:val="24"/>
                <w:highlight w:val="none"/>
              </w:rPr>
              <w:t>产生的</w:t>
            </w:r>
            <w:r>
              <w:rPr>
                <w:rFonts w:hint="eastAsia" w:ascii="Times New Roman" w:hAnsi="Times New Roman" w:cs="Times New Roman"/>
                <w:color w:val="auto"/>
                <w:spacing w:val="5"/>
                <w:sz w:val="24"/>
                <w:highlight w:val="none"/>
                <w:lang w:val="en-US" w:eastAsia="zh-CN"/>
              </w:rPr>
              <w:t>危险废物</w:t>
            </w:r>
            <w:r>
              <w:rPr>
                <w:rFonts w:hint="eastAsia" w:cs="Times New Roman"/>
                <w:color w:val="auto"/>
                <w:spacing w:val="5"/>
                <w:sz w:val="24"/>
                <w:highlight w:val="none"/>
                <w:lang w:val="en-US" w:eastAsia="zh-CN"/>
              </w:rPr>
              <w:t>飞灰将由本项目拟建</w:t>
            </w:r>
            <w:r>
              <w:rPr>
                <w:rFonts w:hint="eastAsia" w:ascii="Times New Roman" w:hAnsi="Times New Roman" w:cs="Times New Roman"/>
                <w:color w:val="auto"/>
                <w:spacing w:val="5"/>
                <w:sz w:val="24"/>
                <w:highlight w:val="none"/>
                <w:lang w:val="en-US" w:eastAsia="zh-CN"/>
              </w:rPr>
              <w:t>危废间</w:t>
            </w:r>
            <w:r>
              <w:rPr>
                <w:rFonts w:hint="eastAsia" w:cs="Times New Roman"/>
                <w:color w:val="auto"/>
                <w:spacing w:val="5"/>
                <w:sz w:val="24"/>
                <w:highlight w:val="none"/>
                <w:lang w:val="en-US" w:eastAsia="zh-CN"/>
              </w:rPr>
              <w:t>（飞灰暂存间），</w:t>
            </w:r>
            <w:r>
              <w:rPr>
                <w:rFonts w:hint="eastAsia" w:ascii="宋体" w:hAnsi="宋体" w:eastAsia="宋体" w:cs="宋体"/>
                <w:color w:val="auto"/>
                <w:sz w:val="24"/>
                <w:szCs w:val="24"/>
                <w:u w:val="none"/>
                <w:lang w:val="en-US" w:eastAsia="zh-CN"/>
              </w:rPr>
              <w:t>飞灰是</w:t>
            </w:r>
            <w:r>
              <w:rPr>
                <w:rFonts w:hint="eastAsia" w:ascii="宋体" w:hAnsi="宋体" w:cs="宋体"/>
                <w:color w:val="auto"/>
                <w:sz w:val="24"/>
                <w:szCs w:val="24"/>
                <w:u w:val="none"/>
                <w:lang w:val="en-US" w:eastAsia="zh-CN"/>
              </w:rPr>
              <w:t>本项目</w:t>
            </w:r>
            <w:r>
              <w:rPr>
                <w:rFonts w:hint="eastAsia" w:ascii="宋体" w:hAnsi="宋体" w:eastAsia="宋体" w:cs="宋体"/>
                <w:color w:val="auto"/>
                <w:sz w:val="24"/>
                <w:szCs w:val="24"/>
                <w:u w:val="none"/>
                <w:lang w:val="en-US" w:eastAsia="zh-CN"/>
              </w:rPr>
              <w:t>现有工程</w:t>
            </w:r>
            <w:r>
              <w:rPr>
                <w:rFonts w:ascii="宋体" w:hAnsi="宋体" w:eastAsia="宋体" w:cs="宋体"/>
                <w:color w:val="auto"/>
                <w:sz w:val="24"/>
                <w:szCs w:val="24"/>
                <w:u w:val="none"/>
                <w:lang w:val="en-US"/>
              </w:rPr>
              <w:t>对焚烧炉所产生的烟气进行处理，布袋除尘器所收集的中和反应物、某些未完全反应的碱剂及活性炭形成飞灰</w:t>
            </w:r>
            <w:r>
              <w:rPr>
                <w:rFonts w:hint="eastAsia" w:ascii="宋体" w:hAnsi="宋体" w:eastAsia="宋体" w:cs="宋体"/>
                <w:color w:val="auto"/>
                <w:sz w:val="24"/>
                <w:szCs w:val="24"/>
                <w:u w:val="none"/>
                <w:lang w:val="en-US" w:eastAsia="zh-CN"/>
              </w:rPr>
              <w:t>，</w:t>
            </w:r>
            <w:r>
              <w:rPr>
                <w:rFonts w:hint="eastAsia" w:ascii="宋体" w:hAnsi="宋体" w:cs="宋体"/>
                <w:color w:val="auto"/>
                <w:sz w:val="24"/>
                <w:szCs w:val="24"/>
                <w:u w:val="none"/>
                <w:lang w:val="en-US" w:eastAsia="zh-CN"/>
              </w:rPr>
              <w:t>由于脱硝剂使用，导致飞灰中混有氨气，</w:t>
            </w:r>
            <w:r>
              <w:rPr>
                <w:rFonts w:hint="eastAsia" w:ascii="宋体" w:hAnsi="宋体" w:eastAsia="宋体" w:cs="宋体"/>
                <w:color w:val="auto"/>
                <w:sz w:val="24"/>
                <w:szCs w:val="24"/>
                <w:u w:val="none"/>
                <w:lang w:val="en-US" w:eastAsia="zh-CN"/>
              </w:rPr>
              <w:t>因此在飞灰产生后送往本项目扩建飞灰库暂存过程中涉及运输过程粉尘和</w:t>
            </w:r>
            <w:r>
              <w:rPr>
                <w:rFonts w:hint="eastAsia" w:ascii="Times New Roman" w:hAnsi="宋体" w:eastAsia="宋体" w:cs="Times New Roman"/>
                <w:color w:val="auto"/>
                <w:kern w:val="2"/>
                <w:sz w:val="24"/>
                <w:szCs w:val="24"/>
                <w:u w:val="none"/>
                <w:lang w:val="en-US" w:eastAsia="zh-CN" w:bidi="ar-SA"/>
              </w:rPr>
              <w:t>装卸、暂存粉尘</w:t>
            </w:r>
            <w:r>
              <w:rPr>
                <w:rFonts w:hint="eastAsia" w:hAnsi="宋体" w:cs="Times New Roman"/>
                <w:color w:val="auto"/>
                <w:kern w:val="2"/>
                <w:sz w:val="24"/>
                <w:szCs w:val="24"/>
                <w:u w:val="none"/>
                <w:lang w:val="en-US" w:eastAsia="zh-CN" w:bidi="ar-SA"/>
              </w:rPr>
              <w:t>及暂存过程产生的氨气</w:t>
            </w:r>
            <w:r>
              <w:rPr>
                <w:rFonts w:hint="eastAsia" w:ascii="Times New Roman" w:hAnsi="宋体" w:eastAsia="宋体" w:cs="Times New Roman"/>
                <w:color w:val="auto"/>
                <w:kern w:val="2"/>
                <w:sz w:val="24"/>
                <w:szCs w:val="24"/>
                <w:u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Calibri" w:hAnsi="Calibri" w:eastAsia="宋体" w:cs="Calibri"/>
                <w:b/>
                <w:bCs/>
                <w:color w:val="auto"/>
                <w:kern w:val="2"/>
                <w:sz w:val="24"/>
                <w:szCs w:val="24"/>
                <w:u w:val="none"/>
                <w:lang w:val="en-US" w:eastAsia="zh-CN" w:bidi="ar-SA"/>
              </w:rPr>
            </w:pPr>
            <w:r>
              <w:rPr>
                <w:rFonts w:hint="default" w:ascii="Calibri" w:hAnsi="Calibri" w:eastAsia="宋体" w:cs="Calibri"/>
                <w:b/>
                <w:bCs/>
                <w:color w:val="auto"/>
                <w:kern w:val="2"/>
                <w:sz w:val="24"/>
                <w:szCs w:val="24"/>
                <w:u w:val="none"/>
                <w:lang w:val="en-US" w:eastAsia="zh-CN" w:bidi="ar-SA"/>
              </w:rPr>
              <w:t>①</w:t>
            </w:r>
            <w:r>
              <w:rPr>
                <w:rFonts w:hint="eastAsia" w:ascii="Calibri" w:hAnsi="Calibri" w:cs="Calibri"/>
                <w:b/>
                <w:bCs/>
                <w:color w:val="auto"/>
                <w:kern w:val="2"/>
                <w:sz w:val="24"/>
                <w:szCs w:val="24"/>
                <w:u w:val="none"/>
                <w:lang w:val="en-US" w:eastAsia="zh-CN" w:bidi="ar-SA"/>
              </w:rPr>
              <w:t>暂存过程氨气</w:t>
            </w:r>
          </w:p>
          <w:p>
            <w:pPr>
              <w:pStyle w:val="107"/>
              <w:ind w:firstLine="482"/>
              <w:rPr>
                <w:rFonts w:hint="default" w:ascii="宋体" w:hAnsi="宋体" w:eastAsia="宋体" w:cs="宋体"/>
                <w:color w:val="auto"/>
                <w:sz w:val="24"/>
                <w:szCs w:val="24"/>
                <w:u w:val="none"/>
                <w:lang w:val="en-US" w:eastAsia="zh-CN"/>
              </w:rPr>
            </w:pPr>
            <w:r>
              <w:rPr>
                <w:rFonts w:hint="default" w:ascii="宋体" w:hAnsi="宋体" w:eastAsia="宋体" w:cs="宋体"/>
                <w:color w:val="auto"/>
                <w:sz w:val="24"/>
                <w:szCs w:val="24"/>
                <w:u w:val="none"/>
                <w:lang w:val="en-US" w:eastAsia="zh-CN"/>
              </w:rPr>
              <w:t>根据《鲁山首创环保能源有限公司鲁山县生活垃圾焚烧发电项目竣工环境保护验收监测报告》焚烧炉设置一套</w:t>
            </w:r>
            <w:r>
              <w:rPr>
                <w:rFonts w:hint="default"/>
                <w:b w:val="0"/>
                <w:bCs/>
                <w:color w:val="auto"/>
                <w:u w:val="none"/>
                <w:lang w:val="en-US" w:eastAsia="zh-CN"/>
              </w:rPr>
              <w:t>SNCR</w:t>
            </w:r>
            <w:r>
              <w:rPr>
                <w:rFonts w:hint="default" w:ascii="宋体" w:hAnsi="宋体" w:eastAsia="宋体" w:cs="宋体"/>
                <w:color w:val="auto"/>
                <w:sz w:val="24"/>
                <w:szCs w:val="24"/>
                <w:u w:val="none"/>
                <w:lang w:val="en-US" w:eastAsia="zh-CN"/>
              </w:rPr>
              <w:t>（选择性非催化还原法）</w:t>
            </w:r>
            <w:r>
              <w:rPr>
                <w:rFonts w:hint="eastAsia" w:ascii="宋体" w:hAnsi="宋体" w:cs="宋体"/>
                <w:color w:val="auto"/>
                <w:sz w:val="24"/>
                <w:szCs w:val="24"/>
                <w:u w:val="none"/>
                <w:lang w:val="en-US" w:eastAsia="zh-CN"/>
              </w:rPr>
              <w:t>炉内</w:t>
            </w:r>
            <w:r>
              <w:rPr>
                <w:rFonts w:hint="default" w:ascii="宋体" w:hAnsi="宋体" w:eastAsia="宋体" w:cs="宋体"/>
                <w:color w:val="auto"/>
                <w:sz w:val="24"/>
                <w:szCs w:val="24"/>
                <w:u w:val="none"/>
                <w:lang w:val="en-US" w:eastAsia="zh-CN"/>
              </w:rPr>
              <w:t>脱硝装置，通过在锅炉第一烟道喷射尿素进行化学反应去除氮氧化物，将</w:t>
            </w:r>
            <w:r>
              <w:rPr>
                <w:rFonts w:hint="default"/>
                <w:b w:val="0"/>
                <w:bCs/>
                <w:color w:val="auto"/>
                <w:u w:val="none"/>
                <w:lang w:val="en-US" w:eastAsia="zh-CN"/>
              </w:rPr>
              <w:t xml:space="preserve"> NOx</w:t>
            </w:r>
            <w:r>
              <w:rPr>
                <w:rFonts w:hint="default" w:ascii="宋体" w:hAnsi="宋体" w:eastAsia="宋体" w:cs="宋体"/>
                <w:color w:val="auto"/>
                <w:sz w:val="24"/>
                <w:szCs w:val="24"/>
                <w:u w:val="none"/>
                <w:lang w:val="en-US" w:eastAsia="zh-CN"/>
              </w:rPr>
              <w:t xml:space="preserve"> 还原成</w:t>
            </w:r>
            <w:r>
              <w:rPr>
                <w:rFonts w:hint="default"/>
                <w:b w:val="0"/>
                <w:bCs/>
                <w:color w:val="auto"/>
                <w:u w:val="none"/>
                <w:lang w:val="en-US" w:eastAsia="zh-CN"/>
              </w:rPr>
              <w:t>N</w:t>
            </w:r>
            <w:r>
              <w:rPr>
                <w:rFonts w:hint="default"/>
                <w:b w:val="0"/>
                <w:bCs/>
                <w:color w:val="auto"/>
                <w:u w:val="none"/>
                <w:vertAlign w:val="subscript"/>
                <w:lang w:val="en-US" w:eastAsia="zh-CN"/>
              </w:rPr>
              <w:t>2</w:t>
            </w:r>
            <w:r>
              <w:rPr>
                <w:rFonts w:hint="default" w:ascii="宋体" w:hAnsi="宋体" w:eastAsia="宋体" w:cs="宋体"/>
                <w:color w:val="auto"/>
                <w:sz w:val="24"/>
                <w:szCs w:val="24"/>
                <w:u w:val="none"/>
                <w:lang w:val="en-US" w:eastAsia="zh-CN"/>
              </w:rPr>
              <w:t>。脱硝的化学反应式如下：</w:t>
            </w:r>
          </w:p>
          <w:p>
            <w:pPr>
              <w:pStyle w:val="107"/>
              <w:ind w:left="0" w:leftChars="0" w:firstLine="240" w:firstLineChars="100"/>
              <w:rPr>
                <w:b w:val="0"/>
                <w:bCs/>
                <w:color w:val="auto"/>
                <w:u w:val="none"/>
              </w:rPr>
            </w:pPr>
            <w:r>
              <w:rPr>
                <w:b w:val="0"/>
                <w:bCs/>
                <w:color w:val="auto"/>
                <w:u w:val="none"/>
              </w:rPr>
              <w:t>（NH</w:t>
            </w:r>
            <w:r>
              <w:rPr>
                <w:b w:val="0"/>
                <w:bCs/>
                <w:color w:val="auto"/>
                <w:u w:val="none"/>
                <w:vertAlign w:val="subscript"/>
              </w:rPr>
              <w:t>2</w:t>
            </w:r>
            <w:r>
              <w:rPr>
                <w:b w:val="0"/>
                <w:bCs/>
                <w:color w:val="auto"/>
                <w:u w:val="none"/>
              </w:rPr>
              <w:t xml:space="preserve"> ）</w:t>
            </w:r>
            <w:r>
              <w:rPr>
                <w:b w:val="0"/>
                <w:bCs/>
                <w:color w:val="auto"/>
                <w:u w:val="none"/>
                <w:vertAlign w:val="subscript"/>
              </w:rPr>
              <w:t>2</w:t>
            </w:r>
            <w:r>
              <w:rPr>
                <w:b w:val="0"/>
                <w:bCs/>
                <w:color w:val="auto"/>
                <w:u w:val="none"/>
              </w:rPr>
              <w:t>CO→2NH</w:t>
            </w:r>
            <w:r>
              <w:rPr>
                <w:b w:val="0"/>
                <w:bCs/>
                <w:color w:val="auto"/>
                <w:u w:val="none"/>
                <w:vertAlign w:val="subscript"/>
              </w:rPr>
              <w:t>2</w:t>
            </w:r>
            <w:r>
              <w:rPr>
                <w:b w:val="0"/>
                <w:bCs/>
                <w:color w:val="auto"/>
                <w:u w:val="none"/>
              </w:rPr>
              <w:t xml:space="preserve"> + CO</w:t>
            </w:r>
          </w:p>
          <w:p>
            <w:pPr>
              <w:pStyle w:val="107"/>
              <w:ind w:firstLine="482"/>
              <w:rPr>
                <w:b w:val="0"/>
                <w:bCs/>
                <w:color w:val="auto"/>
                <w:u w:val="none"/>
              </w:rPr>
            </w:pPr>
            <w:r>
              <w:rPr>
                <w:b w:val="0"/>
                <w:bCs/>
                <w:color w:val="auto"/>
                <w:u w:val="none"/>
              </w:rPr>
              <w:t>NH</w:t>
            </w:r>
            <w:r>
              <w:rPr>
                <w:b w:val="0"/>
                <w:bCs/>
                <w:color w:val="auto"/>
                <w:u w:val="none"/>
                <w:vertAlign w:val="subscript"/>
              </w:rPr>
              <w:t>2</w:t>
            </w:r>
            <w:r>
              <w:rPr>
                <w:b w:val="0"/>
                <w:bCs/>
                <w:color w:val="auto"/>
                <w:u w:val="none"/>
              </w:rPr>
              <w:t xml:space="preserve"> + NO→N</w:t>
            </w:r>
            <w:r>
              <w:rPr>
                <w:b w:val="0"/>
                <w:bCs/>
                <w:color w:val="auto"/>
                <w:u w:val="none"/>
                <w:vertAlign w:val="subscript"/>
              </w:rPr>
              <w:t>2</w:t>
            </w:r>
            <w:r>
              <w:rPr>
                <w:b w:val="0"/>
                <w:bCs/>
                <w:color w:val="auto"/>
                <w:u w:val="none"/>
              </w:rPr>
              <w:t xml:space="preserve"> + H</w:t>
            </w:r>
            <w:r>
              <w:rPr>
                <w:b w:val="0"/>
                <w:bCs/>
                <w:color w:val="auto"/>
                <w:u w:val="none"/>
                <w:vertAlign w:val="subscript"/>
              </w:rPr>
              <w:t>2</w:t>
            </w:r>
            <w:r>
              <w:rPr>
                <w:b w:val="0"/>
                <w:bCs/>
                <w:color w:val="auto"/>
                <w:u w:val="none"/>
              </w:rPr>
              <w:t>O</w:t>
            </w:r>
          </w:p>
          <w:p>
            <w:pPr>
              <w:pStyle w:val="107"/>
              <w:ind w:firstLine="482"/>
              <w:rPr>
                <w:b w:val="0"/>
                <w:bCs/>
                <w:color w:val="auto"/>
                <w:u w:val="none"/>
                <w:vertAlign w:val="subscript"/>
              </w:rPr>
            </w:pPr>
            <w:r>
              <w:rPr>
                <w:b w:val="0"/>
                <w:bCs/>
                <w:color w:val="auto"/>
                <w:u w:val="none"/>
              </w:rPr>
              <w:t>CO + NO→N</w:t>
            </w:r>
            <w:r>
              <w:rPr>
                <w:b w:val="0"/>
                <w:bCs/>
                <w:color w:val="auto"/>
                <w:u w:val="none"/>
                <w:vertAlign w:val="subscript"/>
              </w:rPr>
              <w:t>2</w:t>
            </w:r>
            <w:r>
              <w:rPr>
                <w:b w:val="0"/>
                <w:bCs/>
                <w:color w:val="auto"/>
                <w:u w:val="none"/>
              </w:rPr>
              <w:t xml:space="preserve"> + CO</w:t>
            </w:r>
            <w:r>
              <w:rPr>
                <w:b w:val="0"/>
                <w:bCs/>
                <w:color w:val="auto"/>
                <w:u w:val="none"/>
                <w:vertAlign w:val="subscript"/>
              </w:rPr>
              <w:t>2</w:t>
            </w:r>
          </w:p>
          <w:p>
            <w:pPr>
              <w:pStyle w:val="107"/>
              <w:ind w:firstLine="482"/>
              <w:rPr>
                <w:rFonts w:hint="default" w:hAnsi="宋体" w:cs="Times New Roman"/>
                <w:color w:val="auto"/>
                <w:kern w:val="2"/>
                <w:sz w:val="24"/>
                <w:szCs w:val="24"/>
                <w:u w:val="none"/>
                <w:lang w:val="en-US" w:eastAsia="zh-CN" w:bidi="ar-SA"/>
              </w:rPr>
            </w:pPr>
            <w:r>
              <w:rPr>
                <w:rFonts w:hint="eastAsia" w:ascii="Times New Roman" w:hAnsi="宋体" w:eastAsia="宋体" w:cs="Times New Roman"/>
                <w:color w:val="auto"/>
                <w:kern w:val="2"/>
                <w:sz w:val="24"/>
                <w:szCs w:val="24"/>
                <w:highlight w:val="none"/>
                <w:u w:val="none"/>
                <w:lang w:val="en-US" w:eastAsia="zh-CN" w:bidi="ar-SA"/>
              </w:rPr>
              <w:t>根据实际运行情况</w:t>
            </w:r>
            <w:r>
              <w:rPr>
                <w:rFonts w:hint="eastAsia" w:ascii="Times New Roman" w:hAnsi="宋体" w:eastAsia="宋体" w:cs="Times New Roman"/>
                <w:color w:val="auto"/>
                <w:kern w:val="2"/>
                <w:sz w:val="24"/>
                <w:szCs w:val="24"/>
                <w:u w:val="none"/>
                <w:lang w:val="en-US" w:eastAsia="zh-CN" w:bidi="ar-SA"/>
              </w:rPr>
              <w:t>，类比现有飞灰仓库监测数据</w:t>
            </w:r>
            <w:r>
              <w:rPr>
                <w:rFonts w:hint="eastAsia" w:hAnsi="宋体" w:cs="Times New Roman"/>
                <w:color w:val="auto"/>
                <w:kern w:val="2"/>
                <w:sz w:val="24"/>
                <w:szCs w:val="24"/>
                <w:u w:val="none"/>
                <w:lang w:val="en-US" w:eastAsia="zh-CN" w:bidi="ar-SA"/>
              </w:rPr>
              <w:t>（现有飞灰库内氨气无组织检测浓度为0.011-0.016mg/m</w:t>
            </w:r>
            <w:r>
              <w:rPr>
                <w:rFonts w:hint="eastAsia" w:hAnsi="宋体" w:cs="Times New Roman"/>
                <w:color w:val="auto"/>
                <w:kern w:val="2"/>
                <w:sz w:val="24"/>
                <w:szCs w:val="24"/>
                <w:u w:val="none"/>
                <w:vertAlign w:val="superscript"/>
                <w:lang w:val="en-US" w:eastAsia="zh-CN" w:bidi="ar-SA"/>
              </w:rPr>
              <w:t>3</w:t>
            </w:r>
            <w:r>
              <w:rPr>
                <w:rFonts w:hint="eastAsia" w:hAnsi="宋体" w:cs="Times New Roman"/>
                <w:color w:val="auto"/>
                <w:kern w:val="2"/>
                <w:sz w:val="24"/>
                <w:szCs w:val="24"/>
                <w:u w:val="none"/>
                <w:lang w:val="en-US" w:eastAsia="zh-CN" w:bidi="ar-SA"/>
              </w:rPr>
              <w:t>）</w:t>
            </w:r>
            <w:r>
              <w:rPr>
                <w:rFonts w:hint="eastAsia" w:ascii="Times New Roman" w:hAnsi="宋体" w:eastAsia="宋体" w:cs="Times New Roman"/>
                <w:color w:val="auto"/>
                <w:kern w:val="2"/>
                <w:sz w:val="24"/>
                <w:szCs w:val="24"/>
                <w:u w:val="none"/>
                <w:lang w:val="en-US" w:eastAsia="zh-CN" w:bidi="ar-SA"/>
              </w:rPr>
              <w:t>，</w:t>
            </w:r>
            <w:r>
              <w:rPr>
                <w:rFonts w:hint="eastAsia" w:hAnsi="宋体" w:cs="Times New Roman"/>
                <w:color w:val="auto"/>
                <w:kern w:val="2"/>
                <w:sz w:val="24"/>
                <w:szCs w:val="24"/>
                <w:u w:val="none"/>
                <w:lang w:val="en-US" w:eastAsia="zh-CN" w:bidi="ar-SA"/>
              </w:rPr>
              <w:t>见附件10，由于库内氨气浓度与飞灰暂存量及暂存时间有关，本次对飞灰仓库内氨气进行检测时，仓内储存飞灰约1000余吨，但该仓库容积较小，因此浓度或偏高，但本扩建仓库容积较大，届时储存量也增大，因此浓度和现有库内浓度可能差别不大，根据本次对现有仓库内氨气检测数据，</w:t>
            </w:r>
            <w:r>
              <w:rPr>
                <w:rFonts w:hint="eastAsia" w:ascii="Times New Roman" w:hAnsi="宋体" w:eastAsia="宋体" w:cs="Times New Roman"/>
                <w:color w:val="auto"/>
                <w:kern w:val="2"/>
                <w:sz w:val="24"/>
                <w:szCs w:val="24"/>
                <w:u w:val="none"/>
                <w:lang w:val="en-US" w:eastAsia="zh-CN" w:bidi="ar-SA"/>
              </w:rPr>
              <w:t>仓库内浓度较低，氨逸散量较少，</w:t>
            </w:r>
            <w:r>
              <w:rPr>
                <w:rFonts w:hint="eastAsia" w:hAnsi="宋体" w:cs="Times New Roman"/>
                <w:color w:val="auto"/>
                <w:kern w:val="2"/>
                <w:sz w:val="24"/>
                <w:szCs w:val="24"/>
                <w:u w:val="single"/>
                <w:lang w:val="en-US" w:eastAsia="zh-CN" w:bidi="ar-SA"/>
              </w:rPr>
              <w:t>根据现有飞灰暂存库内废气检测结果，本次评以最不利浓度进行考虑，氨气浓度以最大检测值0.016mg/m</w:t>
            </w:r>
            <w:r>
              <w:rPr>
                <w:rFonts w:hint="eastAsia" w:hAnsi="宋体" w:cs="Times New Roman"/>
                <w:color w:val="auto"/>
                <w:kern w:val="2"/>
                <w:sz w:val="24"/>
                <w:szCs w:val="24"/>
                <w:u w:val="single"/>
                <w:vertAlign w:val="superscript"/>
                <w:lang w:val="en-US" w:eastAsia="zh-CN" w:bidi="ar-SA"/>
              </w:rPr>
              <w:t>3</w:t>
            </w:r>
            <w:r>
              <w:rPr>
                <w:rFonts w:hint="eastAsia" w:hAnsi="宋体" w:cs="Times New Roman"/>
                <w:color w:val="auto"/>
                <w:kern w:val="2"/>
                <w:sz w:val="24"/>
                <w:szCs w:val="24"/>
                <w:u w:val="single"/>
                <w:lang w:val="en-US" w:eastAsia="zh-CN" w:bidi="ar-SA"/>
              </w:rPr>
              <w:t>，进行计算，计算结果见表34及表36。</w:t>
            </w:r>
          </w:p>
          <w:p>
            <w:pPr>
              <w:pStyle w:val="107"/>
              <w:ind w:firstLine="482"/>
              <w:rPr>
                <w:rFonts w:hint="eastAsia" w:ascii="Times New Roman" w:hAnsi="宋体" w:eastAsia="宋体" w:cs="Times New Roman"/>
                <w:color w:val="auto"/>
                <w:kern w:val="2"/>
                <w:sz w:val="24"/>
                <w:szCs w:val="24"/>
                <w:u w:val="none"/>
                <w:lang w:val="en-US" w:eastAsia="zh-CN" w:bidi="ar-SA"/>
              </w:rPr>
            </w:pPr>
            <w:r>
              <w:rPr>
                <w:rFonts w:hint="eastAsia" w:ascii="Times New Roman" w:hAnsi="宋体" w:eastAsia="宋体" w:cs="Times New Roman"/>
                <w:color w:val="auto"/>
                <w:kern w:val="2"/>
                <w:sz w:val="24"/>
                <w:szCs w:val="24"/>
                <w:u w:val="none"/>
                <w:lang w:val="en-US" w:eastAsia="zh-CN" w:bidi="ar-SA"/>
              </w:rPr>
              <w:t>根据《危险废物贮存污染控制标准》(GB18597-20</w:t>
            </w:r>
            <w:r>
              <w:rPr>
                <w:rFonts w:hint="eastAsia" w:hAnsi="宋体" w:cs="Times New Roman"/>
                <w:color w:val="auto"/>
                <w:kern w:val="2"/>
                <w:sz w:val="24"/>
                <w:szCs w:val="24"/>
                <w:u w:val="none"/>
                <w:lang w:val="en-US" w:eastAsia="zh-CN" w:bidi="ar-SA"/>
              </w:rPr>
              <w:t>23</w:t>
            </w:r>
            <w:r>
              <w:rPr>
                <w:rFonts w:hint="eastAsia" w:ascii="Times New Roman" w:hAnsi="宋体" w:eastAsia="宋体" w:cs="Times New Roman"/>
                <w:color w:val="auto"/>
                <w:kern w:val="2"/>
                <w:sz w:val="24"/>
                <w:szCs w:val="24"/>
                <w:u w:val="none"/>
                <w:lang w:val="en-US" w:eastAsia="zh-CN" w:bidi="ar-SA"/>
              </w:rPr>
              <w:t>)</w:t>
            </w:r>
            <w:r>
              <w:rPr>
                <w:rFonts w:hint="eastAsia" w:hAnsi="宋体" w:cs="Times New Roman"/>
                <w:color w:val="auto"/>
                <w:kern w:val="2"/>
                <w:sz w:val="24"/>
                <w:szCs w:val="24"/>
                <w:u w:val="none"/>
                <w:lang w:val="en-US" w:eastAsia="zh-CN" w:bidi="ar-SA"/>
              </w:rPr>
              <w:t>中</w:t>
            </w:r>
            <w:r>
              <w:rPr>
                <w:rFonts w:hint="eastAsia" w:ascii="Times New Roman" w:hAnsi="宋体" w:eastAsia="宋体" w:cs="Times New Roman"/>
                <w:color w:val="auto"/>
                <w:kern w:val="2"/>
                <w:sz w:val="24"/>
                <w:szCs w:val="24"/>
                <w:u w:val="none"/>
                <w:lang w:val="en-US" w:eastAsia="zh-CN" w:bidi="ar-SA"/>
              </w:rPr>
              <w:t>6.2.3</w:t>
            </w:r>
            <w:r>
              <w:rPr>
                <w:rFonts w:hint="eastAsia" w:hAnsi="宋体" w:cs="Times New Roman"/>
                <w:color w:val="auto"/>
                <w:kern w:val="2"/>
                <w:sz w:val="24"/>
                <w:szCs w:val="24"/>
                <w:u w:val="none"/>
                <w:lang w:val="en-US" w:eastAsia="zh-CN" w:bidi="ar-SA"/>
              </w:rPr>
              <w:t>规定：</w:t>
            </w:r>
            <w:r>
              <w:rPr>
                <w:rFonts w:hint="eastAsia" w:ascii="Times New Roman" w:hAnsi="宋体" w:eastAsia="宋体" w:cs="Times New Roman"/>
                <w:color w:val="auto"/>
                <w:kern w:val="2"/>
                <w:sz w:val="24"/>
                <w:szCs w:val="24"/>
                <w:u w:val="none"/>
                <w:lang w:val="en-US" w:eastAsia="zh-CN" w:bidi="ar-SA"/>
              </w:rPr>
              <w:t>贮存易产生粉尘、VOCs、酸雾、有毒有害大气污染物和刺激性气味气体的危险废物贮存库，应设置气体收集装置和气体净化设施；气体净化设施的排气筒高度应符合《</w:t>
            </w:r>
            <w:r>
              <w:rPr>
                <w:rFonts w:hint="eastAsia" w:hAnsi="宋体" w:cs="Times New Roman"/>
                <w:color w:val="auto"/>
                <w:kern w:val="2"/>
                <w:sz w:val="24"/>
                <w:szCs w:val="24"/>
                <w:u w:val="none"/>
                <w:lang w:val="en-US" w:eastAsia="zh-CN" w:bidi="ar-SA"/>
              </w:rPr>
              <w:t>大气污染物综合排放标准</w:t>
            </w:r>
            <w:r>
              <w:rPr>
                <w:rFonts w:hint="eastAsia" w:ascii="Times New Roman" w:hAnsi="宋体" w:eastAsia="宋体" w:cs="Times New Roman"/>
                <w:color w:val="auto"/>
                <w:kern w:val="2"/>
                <w:sz w:val="24"/>
                <w:szCs w:val="24"/>
                <w:u w:val="none"/>
                <w:lang w:val="en-US" w:eastAsia="zh-CN" w:bidi="ar-SA"/>
              </w:rPr>
              <w:t>》</w:t>
            </w:r>
            <w:r>
              <w:rPr>
                <w:rFonts w:hint="eastAsia" w:ascii="Times New Roman" w:hAnsi="宋体" w:eastAsia="宋体" w:cs="Times New Roman"/>
                <w:color w:val="auto"/>
                <w:kern w:val="2"/>
                <w:sz w:val="24"/>
                <w:szCs w:val="24"/>
                <w:highlight w:val="none"/>
                <w:u w:val="none"/>
                <w:lang w:val="en-US" w:eastAsia="zh-CN" w:bidi="ar-SA"/>
              </w:rPr>
              <w:t>GB 16297</w:t>
            </w:r>
            <w:r>
              <w:rPr>
                <w:rFonts w:hint="eastAsia" w:hAnsi="宋体" w:cs="Times New Roman"/>
                <w:color w:val="auto"/>
                <w:kern w:val="2"/>
                <w:sz w:val="24"/>
                <w:szCs w:val="24"/>
                <w:highlight w:val="none"/>
                <w:u w:val="none"/>
                <w:lang w:val="en-US" w:eastAsia="zh-CN" w:bidi="ar-SA"/>
              </w:rPr>
              <w:t>-1996</w:t>
            </w:r>
            <w:r>
              <w:rPr>
                <w:rFonts w:hint="eastAsia" w:ascii="Times New Roman" w:hAnsi="宋体" w:eastAsia="宋体" w:cs="Times New Roman"/>
                <w:color w:val="auto"/>
                <w:kern w:val="2"/>
                <w:sz w:val="24"/>
                <w:szCs w:val="24"/>
                <w:highlight w:val="none"/>
                <w:u w:val="none"/>
                <w:lang w:val="en-US" w:eastAsia="zh-CN" w:bidi="ar-SA"/>
              </w:rPr>
              <w:t xml:space="preserve"> </w:t>
            </w:r>
            <w:r>
              <w:rPr>
                <w:rFonts w:hint="eastAsia" w:ascii="Times New Roman" w:hAnsi="宋体" w:eastAsia="宋体" w:cs="Times New Roman"/>
                <w:color w:val="auto"/>
                <w:kern w:val="2"/>
                <w:sz w:val="24"/>
                <w:szCs w:val="24"/>
                <w:u w:val="none"/>
                <w:lang w:val="en-US" w:eastAsia="zh-CN" w:bidi="ar-SA"/>
              </w:rPr>
              <w:t>要求。</w:t>
            </w:r>
          </w:p>
          <w:p>
            <w:pPr>
              <w:pStyle w:val="107"/>
              <w:ind w:firstLine="482"/>
              <w:rPr>
                <w:rFonts w:hint="eastAsia" w:ascii="Times New Roman" w:hAnsi="宋体" w:eastAsia="宋体" w:cs="Times New Roman"/>
                <w:color w:val="auto"/>
                <w:kern w:val="2"/>
                <w:sz w:val="24"/>
                <w:szCs w:val="24"/>
                <w:u w:val="none"/>
                <w:lang w:val="en-US" w:eastAsia="zh-CN" w:bidi="ar-SA"/>
              </w:rPr>
            </w:pPr>
            <w:r>
              <w:rPr>
                <w:rFonts w:hint="eastAsia" w:hAnsi="宋体" w:cs="Times New Roman"/>
                <w:color w:val="auto"/>
                <w:kern w:val="2"/>
                <w:sz w:val="24"/>
                <w:szCs w:val="24"/>
                <w:u w:val="none"/>
                <w:lang w:val="en-US" w:eastAsia="zh-CN" w:bidi="ar-SA"/>
              </w:rPr>
              <w:t>本项目飞灰暂存过程由于氨气逸散，所以存在</w:t>
            </w:r>
            <w:r>
              <w:rPr>
                <w:rFonts w:hint="eastAsia" w:ascii="Times New Roman" w:hAnsi="宋体" w:eastAsia="宋体" w:cs="Times New Roman"/>
                <w:color w:val="auto"/>
                <w:kern w:val="2"/>
                <w:sz w:val="24"/>
                <w:szCs w:val="24"/>
                <w:u w:val="none"/>
                <w:lang w:val="en-US" w:eastAsia="zh-CN" w:bidi="ar-SA"/>
              </w:rPr>
              <w:t>刺激性气味气体</w:t>
            </w:r>
            <w:r>
              <w:rPr>
                <w:rFonts w:hint="eastAsia" w:hAnsi="宋体" w:cs="Times New Roman"/>
                <w:color w:val="auto"/>
                <w:kern w:val="2"/>
                <w:sz w:val="24"/>
                <w:szCs w:val="24"/>
                <w:u w:val="none"/>
                <w:lang w:val="en-US" w:eastAsia="zh-CN" w:bidi="ar-SA"/>
              </w:rPr>
              <w:t>，</w:t>
            </w:r>
            <w:r>
              <w:rPr>
                <w:rFonts w:hint="eastAsia" w:ascii="Times New Roman" w:hAnsi="宋体" w:eastAsia="宋体" w:cs="Times New Roman"/>
                <w:color w:val="auto"/>
                <w:kern w:val="2"/>
                <w:sz w:val="24"/>
                <w:szCs w:val="24"/>
                <w:u w:val="none"/>
                <w:lang w:val="en-US" w:eastAsia="zh-CN" w:bidi="ar-SA"/>
              </w:rPr>
              <w:t>因此，本项目拟在暂存仓库内设置抽风装置，并在</w:t>
            </w:r>
            <w:r>
              <w:rPr>
                <w:rFonts w:hint="eastAsia" w:hAnsi="宋体" w:cs="Times New Roman"/>
                <w:color w:val="auto"/>
                <w:kern w:val="2"/>
                <w:sz w:val="24"/>
                <w:szCs w:val="24"/>
                <w:u w:val="none"/>
                <w:lang w:val="en-US" w:eastAsia="zh-CN" w:bidi="ar-SA"/>
              </w:rPr>
              <w:t>飞灰</w:t>
            </w:r>
            <w:r>
              <w:rPr>
                <w:rFonts w:hint="eastAsia" w:ascii="Times New Roman" w:hAnsi="宋体" w:eastAsia="宋体" w:cs="Times New Roman"/>
                <w:color w:val="auto"/>
                <w:kern w:val="2"/>
                <w:sz w:val="24"/>
                <w:szCs w:val="24"/>
                <w:u w:val="none"/>
                <w:lang w:val="en-US" w:eastAsia="zh-CN" w:bidi="ar-SA"/>
              </w:rPr>
              <w:t>库</w:t>
            </w:r>
            <w:r>
              <w:rPr>
                <w:rFonts w:hint="eastAsia" w:hAnsi="宋体" w:cs="Times New Roman"/>
                <w:color w:val="auto"/>
                <w:kern w:val="2"/>
                <w:sz w:val="24"/>
                <w:szCs w:val="24"/>
                <w:u w:val="none"/>
                <w:lang w:val="en-US" w:eastAsia="zh-CN" w:bidi="ar-SA"/>
              </w:rPr>
              <w:t>中部</w:t>
            </w:r>
            <w:r>
              <w:rPr>
                <w:rFonts w:hint="eastAsia" w:ascii="Times New Roman" w:hAnsi="宋体" w:eastAsia="宋体" w:cs="Times New Roman"/>
                <w:color w:val="auto"/>
                <w:kern w:val="2"/>
                <w:sz w:val="24"/>
                <w:szCs w:val="24"/>
                <w:u w:val="none"/>
                <w:lang w:val="en-US" w:eastAsia="zh-CN" w:bidi="ar-SA"/>
              </w:rPr>
              <w:t>建设一套水洗喷淋系统，抽风</w:t>
            </w:r>
            <w:r>
              <w:rPr>
                <w:rFonts w:hint="eastAsia" w:hAnsi="宋体" w:cs="Times New Roman"/>
                <w:color w:val="auto"/>
                <w:kern w:val="2"/>
                <w:sz w:val="24"/>
                <w:szCs w:val="24"/>
                <w:u w:val="none"/>
                <w:lang w:val="en-US" w:eastAsia="zh-CN" w:bidi="ar-SA"/>
              </w:rPr>
              <w:t>（库内保持负压状态）</w:t>
            </w:r>
            <w:r>
              <w:rPr>
                <w:rFonts w:hint="eastAsia" w:ascii="Times New Roman" w:hAnsi="宋体" w:eastAsia="宋体" w:cs="Times New Roman"/>
                <w:color w:val="auto"/>
                <w:kern w:val="2"/>
                <w:sz w:val="24"/>
                <w:szCs w:val="24"/>
                <w:u w:val="none"/>
                <w:lang w:val="en-US" w:eastAsia="zh-CN" w:bidi="ar-SA"/>
              </w:rPr>
              <w:t>至</w:t>
            </w:r>
            <w:r>
              <w:rPr>
                <w:rFonts w:hint="eastAsia" w:hAnsi="宋体" w:cs="Times New Roman"/>
                <w:color w:val="auto"/>
                <w:kern w:val="2"/>
                <w:sz w:val="24"/>
                <w:szCs w:val="24"/>
                <w:u w:val="none"/>
                <w:lang w:val="en-US" w:eastAsia="zh-CN" w:bidi="ar-SA"/>
              </w:rPr>
              <w:t>水</w:t>
            </w:r>
            <w:r>
              <w:rPr>
                <w:rFonts w:hint="eastAsia" w:ascii="Times New Roman" w:hAnsi="宋体" w:eastAsia="宋体" w:cs="Times New Roman"/>
                <w:color w:val="auto"/>
                <w:kern w:val="2"/>
                <w:sz w:val="24"/>
                <w:szCs w:val="24"/>
                <w:u w:val="none"/>
                <w:lang w:val="en-US" w:eastAsia="zh-CN" w:bidi="ar-SA"/>
              </w:rPr>
              <w:t>喷淋系统，去除氨后通过15m高排气简排放。暂存仓内除抽吸的气体经处理排放外，其他以无组织的形式排放。</w:t>
            </w:r>
          </w:p>
          <w:p>
            <w:pPr>
              <w:pStyle w:val="107"/>
              <w:ind w:firstLine="482"/>
              <w:rPr>
                <w:rFonts w:hint="default" w:ascii="Times New Roman" w:hAnsi="宋体" w:eastAsia="宋体" w:cs="Times New Roman"/>
                <w:color w:val="auto"/>
                <w:kern w:val="2"/>
                <w:sz w:val="24"/>
                <w:szCs w:val="24"/>
                <w:u w:val="none"/>
                <w:lang w:val="en-US" w:eastAsia="zh-CN" w:bidi="ar-SA"/>
              </w:rPr>
            </w:pPr>
            <w:r>
              <w:rPr>
                <w:rFonts w:hint="eastAsia" w:ascii="Times New Roman" w:hAnsi="宋体" w:eastAsia="宋体" w:cs="Times New Roman"/>
                <w:color w:val="auto"/>
                <w:kern w:val="2"/>
                <w:sz w:val="24"/>
                <w:szCs w:val="24"/>
                <w:u w:val="none"/>
                <w:lang w:val="en-US" w:eastAsia="zh-CN" w:bidi="ar-SA"/>
              </w:rPr>
              <w:t>参照《排污许可证申请与核发技术规范 无机化学工业》(HJ1035-2019)吸收法属于废气中氨去除的可行技术，本项目采用水吸收废气中的氨，属于可行技术。类比同类项目，水喷淋对于氨的去除效率可达 80%~90%</w:t>
            </w:r>
            <w:r>
              <w:rPr>
                <w:rFonts w:hint="eastAsia" w:hAnsi="宋体" w:cs="Times New Roman"/>
                <w:color w:val="auto"/>
                <w:kern w:val="2"/>
                <w:sz w:val="24"/>
                <w:szCs w:val="24"/>
                <w:u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Calibri" w:hAnsi="Calibri" w:eastAsia="宋体" w:cs="Calibri"/>
                <w:b/>
                <w:bCs/>
                <w:color w:val="auto"/>
                <w:kern w:val="2"/>
                <w:sz w:val="24"/>
                <w:szCs w:val="24"/>
                <w:u w:val="none"/>
                <w:lang w:val="en-US" w:eastAsia="zh-CN" w:bidi="ar-SA"/>
              </w:rPr>
            </w:pPr>
            <w:r>
              <w:rPr>
                <w:rFonts w:hint="default" w:ascii="Calibri" w:hAnsi="Calibri" w:eastAsia="宋体" w:cs="Calibri"/>
                <w:b/>
                <w:bCs/>
                <w:color w:val="auto"/>
                <w:kern w:val="2"/>
                <w:sz w:val="24"/>
                <w:szCs w:val="24"/>
                <w:u w:val="none"/>
                <w:lang w:val="en-US" w:eastAsia="zh-CN" w:bidi="ar-SA"/>
              </w:rPr>
              <w:t>②</w:t>
            </w:r>
            <w:r>
              <w:rPr>
                <w:rFonts w:hint="eastAsia" w:ascii="Calibri" w:hAnsi="Calibri" w:eastAsia="宋体" w:cs="Calibri"/>
                <w:b/>
                <w:bCs/>
                <w:color w:val="auto"/>
                <w:kern w:val="2"/>
                <w:sz w:val="24"/>
                <w:szCs w:val="24"/>
                <w:u w:val="none"/>
                <w:lang w:val="en-US" w:eastAsia="zh-CN" w:bidi="ar-SA"/>
              </w:rPr>
              <w:t>运输过程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宋体" w:eastAsia="宋体" w:cs="Times New Roman"/>
                <w:color w:val="auto"/>
                <w:kern w:val="2"/>
                <w:sz w:val="24"/>
                <w:szCs w:val="24"/>
                <w:u w:val="none"/>
                <w:lang w:val="en-US" w:eastAsia="zh-CN" w:bidi="ar-SA"/>
              </w:rPr>
            </w:pPr>
            <w:r>
              <w:rPr>
                <w:rFonts w:hint="eastAsia" w:ascii="Times New Roman" w:hAnsi="宋体" w:eastAsia="宋体" w:cs="Times New Roman"/>
                <w:color w:val="auto"/>
                <w:kern w:val="2"/>
                <w:sz w:val="24"/>
                <w:szCs w:val="24"/>
                <w:u w:val="none"/>
                <w:lang w:val="en-US" w:eastAsia="zh-CN" w:bidi="ar-SA"/>
              </w:rPr>
              <w:t>飞灰采用厂内水泥＋整合剂固化方式稳定化处理后，由</w:t>
            </w:r>
            <w:r>
              <w:rPr>
                <w:rFonts w:hint="eastAsia" w:hAnsi="宋体" w:cs="Times New Roman"/>
                <w:color w:val="auto"/>
                <w:kern w:val="2"/>
                <w:sz w:val="24"/>
                <w:szCs w:val="24"/>
                <w:highlight w:val="none"/>
                <w:u w:val="none"/>
                <w:lang w:val="en-US" w:eastAsia="zh-CN" w:bidi="ar-SA"/>
              </w:rPr>
              <w:t>板车</w:t>
            </w:r>
            <w:r>
              <w:rPr>
                <w:rFonts w:hint="eastAsia" w:ascii="Times New Roman" w:hAnsi="宋体" w:eastAsia="宋体" w:cs="Times New Roman"/>
                <w:color w:val="auto"/>
                <w:kern w:val="2"/>
                <w:sz w:val="24"/>
                <w:szCs w:val="24"/>
                <w:highlight w:val="none"/>
                <w:u w:val="none"/>
                <w:lang w:val="en-US" w:eastAsia="zh-CN" w:bidi="ar-SA"/>
              </w:rPr>
              <w:t>运输</w:t>
            </w:r>
            <w:r>
              <w:rPr>
                <w:rFonts w:hint="eastAsia" w:ascii="Times New Roman" w:hAnsi="宋体" w:eastAsia="宋体" w:cs="Times New Roman"/>
                <w:color w:val="auto"/>
                <w:kern w:val="2"/>
                <w:sz w:val="24"/>
                <w:szCs w:val="24"/>
                <w:u w:val="none"/>
                <w:lang w:val="en-US" w:eastAsia="zh-CN" w:bidi="ar-SA"/>
              </w:rPr>
              <w:t>至本项目扩建的飞灰库中，运输过程中车内飞灰进行袋装后密闭。</w:t>
            </w:r>
          </w:p>
          <w:p>
            <w:pPr>
              <w:pStyle w:val="13"/>
              <w:numPr>
                <w:ilvl w:val="0"/>
                <w:numId w:val="0"/>
              </w:numPr>
              <w:tabs>
                <w:tab w:val="left" w:pos="2341"/>
                <w:tab w:val="left" w:pos="6902"/>
              </w:tabs>
              <w:spacing w:after="0"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车辆动力起尘</w:t>
            </w:r>
            <w:r>
              <w:rPr>
                <w:rFonts w:hint="eastAsia" w:cs="Times New Roman"/>
                <w:color w:val="auto"/>
                <w:sz w:val="24"/>
                <w:szCs w:val="24"/>
                <w:lang w:eastAsia="zh-CN"/>
              </w:rPr>
              <w:t>：</w:t>
            </w:r>
            <w:r>
              <w:rPr>
                <w:rFonts w:hint="default" w:ascii="Times New Roman" w:hAnsi="Times New Roman" w:cs="Times New Roman"/>
                <w:color w:val="auto"/>
                <w:sz w:val="24"/>
                <w:szCs w:val="24"/>
              </w:rPr>
              <w:t>本项目</w:t>
            </w:r>
            <w:r>
              <w:rPr>
                <w:rFonts w:hint="eastAsia" w:cs="Times New Roman"/>
                <w:color w:val="auto"/>
                <w:sz w:val="24"/>
                <w:szCs w:val="24"/>
                <w:lang w:val="en-US" w:eastAsia="zh-CN"/>
              </w:rPr>
              <w:t>飞灰经</w:t>
            </w:r>
            <w:r>
              <w:rPr>
                <w:rFonts w:hint="default" w:ascii="Times New Roman" w:hAnsi="Times New Roman" w:cs="Times New Roman"/>
                <w:color w:val="auto"/>
                <w:sz w:val="24"/>
                <w:szCs w:val="24"/>
              </w:rPr>
              <w:t>汽车运输时产生的扬尘对道路两侧一定范围内会造成污染。扬尘量的大小与车流量、道路状况、气候条件、汽车行驶速度等均有关系。根据汽车道路扬尘扩散规律，在大气干燥和地面风速低于4m/s条件下，汽车行驶时引起的路面扬尘量与汽车速度成正比，与汽车质量成正比，与道路表面扬尘量成正比，其汽车扬尘量预测经验公式为：</w:t>
            </w:r>
          </w:p>
          <w:p>
            <w:pPr>
              <w:spacing w:line="360" w:lineRule="auto"/>
              <w:ind w:firstLine="480" w:firstLineChars="20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114300" distR="114300">
                  <wp:extent cx="2649855" cy="551815"/>
                  <wp:effectExtent l="0" t="0" r="17145" b="635"/>
                  <wp:docPr id="1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
                          <pic:cNvPicPr>
                            <a:picLocks noChangeAspect="1"/>
                          </pic:cNvPicPr>
                        </pic:nvPicPr>
                        <pic:blipFill>
                          <a:blip r:embed="rId24"/>
                          <a:stretch>
                            <a:fillRect/>
                          </a:stretch>
                        </pic:blipFill>
                        <pic:spPr>
                          <a:xfrm>
                            <a:off x="0" y="0"/>
                            <a:ext cx="2649855" cy="551815"/>
                          </a:xfrm>
                          <a:prstGeom prst="rect">
                            <a:avLst/>
                          </a:prstGeom>
                          <a:noFill/>
                          <a:ln>
                            <a:noFill/>
                          </a:ln>
                        </pic:spPr>
                      </pic:pic>
                    </a:graphicData>
                  </a:graphic>
                </wp:inline>
              </w:drawing>
            </w:r>
          </w:p>
          <w:p>
            <w:pPr>
              <w:spacing w:line="360" w:lineRule="auto"/>
              <w:ind w:firstLine="465"/>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式中：Qp——汽车行驶时的扬尘，kg/km▪辆；</w:t>
            </w:r>
          </w:p>
          <w:p>
            <w:pPr>
              <w:spacing w:line="360" w:lineRule="auto"/>
              <w:ind w:firstLine="465"/>
              <w:rPr>
                <w:rFonts w:hint="default" w:ascii="Times New Roman" w:hAnsi="Times New Roman" w:cs="Times New Roman"/>
                <w:color w:val="auto"/>
                <w:sz w:val="24"/>
                <w:szCs w:val="24"/>
              </w:rPr>
            </w:pPr>
            <w:r>
              <w:rPr>
                <w:rFonts w:hint="default" w:ascii="Times New Roman" w:hAnsi="Times New Roman" w:cs="Times New Roman"/>
                <w:color w:val="auto"/>
                <w:sz w:val="24"/>
                <w:szCs w:val="24"/>
              </w:rPr>
              <w:t>Qp´——运输途中起尘量，kg/a；</w:t>
            </w:r>
          </w:p>
          <w:p>
            <w:pPr>
              <w:spacing w:line="360" w:lineRule="auto"/>
              <w:ind w:firstLine="465"/>
              <w:rPr>
                <w:rFonts w:hint="default" w:ascii="Times New Roman" w:hAnsi="Times New Roman" w:cs="Times New Roman"/>
                <w:color w:val="auto"/>
                <w:sz w:val="24"/>
                <w:szCs w:val="24"/>
              </w:rPr>
            </w:pPr>
            <w:r>
              <w:rPr>
                <w:rFonts w:hint="default" w:ascii="Times New Roman" w:hAnsi="Times New Roman" w:cs="Times New Roman"/>
                <w:color w:val="auto"/>
                <w:sz w:val="24"/>
                <w:szCs w:val="24"/>
              </w:rPr>
              <w:t>V——汽车速度，按10km/h 计；</w:t>
            </w:r>
          </w:p>
          <w:p>
            <w:pPr>
              <w:spacing w:line="360" w:lineRule="auto"/>
              <w:ind w:firstLine="465"/>
              <w:rPr>
                <w:rFonts w:hint="default" w:ascii="Times New Roman" w:hAnsi="Times New Roman" w:cs="Times New Roman"/>
                <w:color w:val="auto"/>
                <w:sz w:val="24"/>
                <w:szCs w:val="24"/>
              </w:rPr>
            </w:pPr>
            <w:r>
              <w:rPr>
                <w:rFonts w:hint="default" w:ascii="Times New Roman" w:hAnsi="Times New Roman" w:cs="Times New Roman"/>
                <w:color w:val="auto"/>
                <w:sz w:val="24"/>
                <w:szCs w:val="24"/>
              </w:rPr>
              <w:t>M——汽车载重量，按30 t计算；</w:t>
            </w:r>
          </w:p>
          <w:p>
            <w:pPr>
              <w:spacing w:line="360" w:lineRule="auto"/>
              <w:ind w:firstLine="465"/>
              <w:rPr>
                <w:rFonts w:hint="default" w:ascii="Times New Roman" w:hAnsi="Times New Roman" w:cs="Times New Roman"/>
                <w:color w:val="auto"/>
                <w:sz w:val="24"/>
                <w:szCs w:val="24"/>
              </w:rPr>
            </w:pPr>
            <w:r>
              <w:rPr>
                <w:rFonts w:hint="default" w:ascii="Times New Roman" w:hAnsi="Times New Roman" w:cs="Times New Roman"/>
                <w:color w:val="auto"/>
                <w:sz w:val="24"/>
                <w:szCs w:val="24"/>
              </w:rPr>
              <w:t>P——道路表面粉尘量，按0.1kg/m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 xml:space="preserve"> 计算；</w:t>
            </w:r>
          </w:p>
          <w:p>
            <w:pPr>
              <w:spacing w:line="360" w:lineRule="auto"/>
              <w:ind w:firstLine="465"/>
              <w:rPr>
                <w:rFonts w:hint="default" w:ascii="Times New Roman" w:hAnsi="Times New Roman" w:cs="Times New Roman"/>
                <w:color w:val="auto"/>
                <w:sz w:val="24"/>
                <w:szCs w:val="24"/>
              </w:rPr>
            </w:pPr>
            <w:r>
              <w:rPr>
                <w:rFonts w:hint="default" w:ascii="Times New Roman" w:hAnsi="Times New Roman" w:cs="Times New Roman"/>
                <w:color w:val="auto"/>
                <w:sz w:val="24"/>
                <w:szCs w:val="24"/>
              </w:rPr>
              <w:t>L——运输距离，按0.1km 计算；</w:t>
            </w:r>
          </w:p>
          <w:p>
            <w:pPr>
              <w:spacing w:line="360" w:lineRule="auto"/>
              <w:ind w:firstLine="465"/>
              <w:rPr>
                <w:rFonts w:hint="default" w:ascii="Times New Roman" w:hAnsi="Times New Roman" w:cs="Times New Roman"/>
                <w:color w:val="auto"/>
                <w:sz w:val="24"/>
                <w:szCs w:val="24"/>
              </w:rPr>
            </w:pPr>
            <w:r>
              <w:rPr>
                <w:rFonts w:hint="default" w:ascii="Times New Roman" w:hAnsi="Times New Roman" w:cs="Times New Roman"/>
                <w:color w:val="auto"/>
                <w:sz w:val="24"/>
                <w:szCs w:val="24"/>
              </w:rPr>
              <w:t>Q——运输量，按</w:t>
            </w:r>
            <w:r>
              <w:rPr>
                <w:rFonts w:hint="eastAsia" w:ascii="Times New Roman" w:hAnsi="Times New Roman" w:eastAsia="宋体" w:cs="Times New Roman"/>
                <w:color w:val="auto"/>
                <w:sz w:val="24"/>
                <w:szCs w:val="24"/>
                <w:lang w:val="en-US" w:eastAsia="zh-CN"/>
              </w:rPr>
              <w:t>30</w:t>
            </w:r>
            <w:r>
              <w:rPr>
                <w:rFonts w:hint="default" w:ascii="Times New Roman" w:hAnsi="Times New Roman" w:cs="Times New Roman"/>
                <w:color w:val="auto"/>
                <w:sz w:val="24"/>
                <w:szCs w:val="24"/>
              </w:rPr>
              <w:t>万t/a 计算。</w:t>
            </w:r>
          </w:p>
          <w:p>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本项目建成后，厂区道路和裸露场地将全部硬化或绿化，运输道路两侧设置洒水喷头，加强厂区道路地面和门前道路洒水，做到车辆行驶无可见扬尘，基于这种情况，对道路路况以0.1kg/m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 xml:space="preserve"> 计，</w:t>
            </w:r>
            <w:r>
              <w:rPr>
                <w:rFonts w:hint="eastAsia" w:ascii="Times New Roman" w:hAnsi="Times New Roman" w:cs="Times New Roman"/>
                <w:color w:val="auto"/>
                <w:sz w:val="24"/>
                <w:szCs w:val="24"/>
                <w:lang w:val="en-US" w:eastAsia="zh-CN"/>
              </w:rPr>
              <w:t>本项目运输距离大约为1公里，计算得知，</w:t>
            </w:r>
            <w:r>
              <w:rPr>
                <w:rFonts w:hint="default" w:ascii="Times New Roman" w:hAnsi="Times New Roman" w:cs="Times New Roman"/>
                <w:color w:val="auto"/>
                <w:sz w:val="24"/>
                <w:szCs w:val="24"/>
              </w:rPr>
              <w:t>项目汽车动力起尘量</w:t>
            </w:r>
            <w:r>
              <w:rPr>
                <w:rFonts w:hint="eastAsia" w:ascii="Times New Roman" w:hAnsi="Times New Roman" w:cs="Times New Roman"/>
                <w:color w:val="auto"/>
                <w:sz w:val="24"/>
                <w:szCs w:val="24"/>
                <w:lang w:val="en-US" w:eastAsia="zh-CN"/>
              </w:rPr>
              <w:t>约</w:t>
            </w:r>
            <w:r>
              <w:rPr>
                <w:rFonts w:hint="default" w:ascii="Times New Roman" w:hAnsi="Times New Roman" w:cs="Times New Roman"/>
                <w:color w:val="auto"/>
                <w:sz w:val="24"/>
                <w:szCs w:val="24"/>
              </w:rPr>
              <w:t>为</w:t>
            </w:r>
            <w:r>
              <w:rPr>
                <w:rFonts w:hint="eastAsia" w:ascii="Times New Roman" w:hAnsi="Times New Roman" w:eastAsia="宋体" w:cs="Times New Roman"/>
                <w:color w:val="auto"/>
                <w:sz w:val="24"/>
                <w:szCs w:val="24"/>
                <w:lang w:val="en-US" w:eastAsia="zh-CN"/>
              </w:rPr>
              <w:t>0.17</w:t>
            </w:r>
            <w:r>
              <w:rPr>
                <w:rFonts w:hint="default" w:ascii="Times New Roman" w:hAnsi="Times New Roman" w:cs="Times New Roman"/>
                <w:color w:val="auto"/>
                <w:sz w:val="24"/>
                <w:szCs w:val="24"/>
              </w:rPr>
              <w:t>t/a。</w:t>
            </w:r>
          </w:p>
          <w:p>
            <w:pPr>
              <w:pStyle w:val="13"/>
              <w:spacing w:after="0" w:line="360" w:lineRule="auto"/>
              <w:ind w:firstLine="480" w:firstLineChars="200"/>
              <w:rPr>
                <w:rFonts w:hint="default" w:ascii="Calibri" w:hAnsi="Calibri" w:eastAsia="宋体" w:cs="Calibri"/>
                <w:color w:val="auto"/>
                <w:kern w:val="2"/>
                <w:sz w:val="24"/>
                <w:szCs w:val="24"/>
                <w:u w:val="none"/>
                <w:lang w:val="en-US" w:eastAsia="zh-CN" w:bidi="ar-SA"/>
              </w:rPr>
            </w:pPr>
            <w:r>
              <w:rPr>
                <w:rFonts w:hint="default" w:ascii="Times New Roman" w:hAnsi="Times New Roman" w:cs="Times New Roman"/>
                <w:color w:val="auto"/>
                <w:sz w:val="24"/>
                <w:szCs w:val="24"/>
              </w:rPr>
              <w:t xml:space="preserve">为降低厂区道路运输扬尘的产生，本环评要求建设单位应对厂区道路进行硬化，四周种植灌木和草坪，加强厂区内环境绿化，并定期对路面进行洒水降尘。采取以上措施的情况下，扬尘治理效率可达 </w:t>
            </w:r>
            <w:r>
              <w:rPr>
                <w:rFonts w:hint="default" w:ascii="Times New Roman" w:hAnsi="Times New Roman" w:eastAsia="Times New Roman" w:cs="Times New Roman"/>
                <w:color w:val="auto"/>
                <w:sz w:val="24"/>
                <w:szCs w:val="24"/>
              </w:rPr>
              <w:t>95%</w:t>
            </w:r>
            <w:r>
              <w:rPr>
                <w:rFonts w:hint="default" w:ascii="Times New Roman" w:hAnsi="Times New Roman" w:cs="Times New Roman"/>
                <w:color w:val="auto"/>
                <w:sz w:val="24"/>
                <w:szCs w:val="24"/>
              </w:rPr>
              <w:t>以上，则车辆运输扬尘排放量为 0.</w:t>
            </w:r>
            <w:r>
              <w:rPr>
                <w:rFonts w:hint="eastAsia" w:ascii="Times New Roman" w:hAnsi="Times New Roman" w:cs="Times New Roman"/>
                <w:color w:val="auto"/>
                <w:sz w:val="24"/>
                <w:szCs w:val="24"/>
                <w:lang w:val="en-US" w:eastAsia="zh-CN"/>
              </w:rPr>
              <w:t>0085</w:t>
            </w:r>
            <w:r>
              <w:rPr>
                <w:rFonts w:hint="default" w:ascii="Times New Roman" w:hAnsi="Times New Roman" w:eastAsia="Times New Roman" w:cs="Times New Roman"/>
                <w:color w:val="auto"/>
                <w:sz w:val="24"/>
                <w:szCs w:val="24"/>
              </w:rPr>
              <w:t>t/a</w:t>
            </w:r>
            <w:r>
              <w:rPr>
                <w:rFonts w:hint="default" w:ascii="Times New Roman" w:hAnsi="Times New Roman"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宋体" w:eastAsia="宋体" w:cs="Times New Roman"/>
                <w:color w:val="auto"/>
                <w:kern w:val="2"/>
                <w:sz w:val="24"/>
                <w:szCs w:val="24"/>
                <w:u w:val="none"/>
                <w:lang w:val="en-US" w:eastAsia="zh-CN" w:bidi="ar-SA"/>
              </w:rPr>
            </w:pPr>
            <w:r>
              <w:rPr>
                <w:rFonts w:hint="default" w:ascii="Calibri" w:hAnsi="Calibri" w:eastAsia="宋体" w:cs="Calibri"/>
                <w:color w:val="auto"/>
                <w:kern w:val="2"/>
                <w:sz w:val="24"/>
                <w:szCs w:val="24"/>
                <w:u w:val="none"/>
                <w:lang w:val="en-US" w:eastAsia="zh-CN" w:bidi="ar-SA"/>
              </w:rPr>
              <w:t>③</w:t>
            </w:r>
            <w:r>
              <w:rPr>
                <w:rFonts w:hint="eastAsia" w:ascii="Calibri" w:hAnsi="Calibri" w:eastAsia="宋体" w:cs="Calibri"/>
                <w:b/>
                <w:bCs/>
                <w:color w:val="auto"/>
                <w:kern w:val="2"/>
                <w:sz w:val="24"/>
                <w:szCs w:val="24"/>
                <w:u w:val="none"/>
                <w:lang w:val="en-US" w:eastAsia="zh-CN" w:bidi="ar-SA"/>
              </w:rPr>
              <w:t>装卸、暂存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u w:val="none"/>
                <w:lang w:val="en-US" w:eastAsia="zh-CN" w:bidi="ar-SA"/>
              </w:rPr>
              <w:t>本项目为飞灰暂存项目，飞灰装卸过程会产生少量粉尘，装卸工序在密闭飞灰库内完成，且飞灰为袋装，装卸过程粉尘产生量较小，</w:t>
            </w:r>
            <w:r>
              <w:rPr>
                <w:rFonts w:hint="eastAsia" w:ascii="Times New Roman" w:hAnsi="Times New Roman" w:eastAsia="宋体" w:cs="Times New Roman"/>
                <w:color w:val="auto"/>
                <w:kern w:val="2"/>
                <w:sz w:val="24"/>
                <w:szCs w:val="24"/>
                <w:highlight w:val="none"/>
                <w:u w:val="none"/>
                <w:lang w:val="en-US" w:eastAsia="zh-CN" w:bidi="ar-SA"/>
              </w:rPr>
              <w:t>根据</w:t>
            </w:r>
            <w:r>
              <w:rPr>
                <w:rFonts w:hint="eastAsia" w:cs="Times New Roman"/>
                <w:color w:val="auto"/>
                <w:kern w:val="2"/>
                <w:sz w:val="24"/>
                <w:szCs w:val="24"/>
                <w:highlight w:val="none"/>
                <w:u w:val="none"/>
                <w:lang w:val="en-US" w:eastAsia="zh-CN" w:bidi="ar-SA"/>
              </w:rPr>
              <w:t>现有飞灰库内颗粒物浓度检测结果，</w:t>
            </w:r>
            <w:r>
              <w:rPr>
                <w:rFonts w:hint="eastAsia" w:hAnsi="宋体" w:cs="Times New Roman"/>
                <w:color w:val="auto"/>
                <w:kern w:val="2"/>
                <w:sz w:val="24"/>
                <w:szCs w:val="24"/>
                <w:u w:val="none"/>
                <w:lang w:val="en-US" w:eastAsia="zh-CN" w:bidi="ar-SA"/>
              </w:rPr>
              <w:t>现有飞灰库内颗粒物无组织检测浓度为0.287-0.305mg/m</w:t>
            </w:r>
            <w:r>
              <w:rPr>
                <w:rFonts w:hint="eastAsia" w:hAnsi="宋体" w:cs="Times New Roman"/>
                <w:color w:val="auto"/>
                <w:kern w:val="2"/>
                <w:sz w:val="24"/>
                <w:szCs w:val="24"/>
                <w:u w:val="none"/>
                <w:vertAlign w:val="superscript"/>
                <w:lang w:val="en-US" w:eastAsia="zh-CN" w:bidi="ar-SA"/>
              </w:rPr>
              <w:t>3</w:t>
            </w:r>
            <w:r>
              <w:rPr>
                <w:rFonts w:hint="eastAsia" w:ascii="Times New Roman" w:hAnsi="Times New Roman" w:eastAsia="宋体" w:cs="Times New Roman"/>
                <w:color w:val="auto"/>
                <w:kern w:val="2"/>
                <w:sz w:val="24"/>
                <w:szCs w:val="24"/>
                <w:highlight w:val="none"/>
                <w:u w:val="none"/>
                <w:lang w:val="en-US" w:eastAsia="zh-CN" w:bidi="ar-SA"/>
              </w:rPr>
              <w:t>，由于产生</w:t>
            </w:r>
            <w:r>
              <w:rPr>
                <w:rFonts w:hint="eastAsia" w:cs="Times New Roman"/>
                <w:color w:val="auto"/>
                <w:kern w:val="2"/>
                <w:sz w:val="24"/>
                <w:szCs w:val="24"/>
                <w:highlight w:val="none"/>
                <w:u w:val="none"/>
                <w:lang w:val="en-US" w:eastAsia="zh-CN" w:bidi="ar-SA"/>
              </w:rPr>
              <w:t>浓度</w:t>
            </w:r>
            <w:r>
              <w:rPr>
                <w:rFonts w:hint="eastAsia" w:ascii="Times New Roman" w:hAnsi="Times New Roman" w:eastAsia="宋体" w:cs="Times New Roman"/>
                <w:color w:val="auto"/>
                <w:kern w:val="2"/>
                <w:sz w:val="24"/>
                <w:szCs w:val="24"/>
                <w:highlight w:val="none"/>
                <w:u w:val="none"/>
                <w:lang w:val="en-US" w:eastAsia="zh-CN" w:bidi="ar-SA"/>
              </w:rPr>
              <w:t>较</w:t>
            </w:r>
            <w:r>
              <w:rPr>
                <w:rFonts w:hint="eastAsia" w:cs="Times New Roman"/>
                <w:color w:val="auto"/>
                <w:kern w:val="2"/>
                <w:sz w:val="24"/>
                <w:szCs w:val="24"/>
                <w:highlight w:val="none"/>
                <w:u w:val="none"/>
                <w:lang w:val="en-US" w:eastAsia="zh-CN" w:bidi="ar-SA"/>
              </w:rPr>
              <w:t>低</w:t>
            </w:r>
            <w:r>
              <w:rPr>
                <w:rFonts w:hint="eastAsia" w:ascii="Times New Roman" w:hAnsi="Times New Roman" w:eastAsia="宋体" w:cs="Times New Roman"/>
                <w:color w:val="auto"/>
                <w:kern w:val="2"/>
                <w:sz w:val="24"/>
                <w:szCs w:val="24"/>
                <w:highlight w:val="none"/>
                <w:u w:val="none"/>
                <w:lang w:val="en-US" w:eastAsia="zh-CN" w:bidi="ar-SA"/>
              </w:rPr>
              <w:t>，</w:t>
            </w:r>
            <w:r>
              <w:rPr>
                <w:rFonts w:hint="eastAsia" w:cs="Times New Roman"/>
                <w:color w:val="auto"/>
                <w:kern w:val="2"/>
                <w:sz w:val="24"/>
                <w:szCs w:val="24"/>
                <w:highlight w:val="none"/>
                <w:u w:val="none"/>
                <w:lang w:val="en-US" w:eastAsia="zh-CN" w:bidi="ar-SA"/>
              </w:rPr>
              <w:t>且为无组织排放，</w:t>
            </w:r>
            <w:r>
              <w:rPr>
                <w:rFonts w:hint="eastAsia" w:ascii="Times New Roman" w:hAnsi="Times New Roman" w:eastAsia="宋体" w:cs="Times New Roman"/>
                <w:color w:val="auto"/>
                <w:kern w:val="2"/>
                <w:sz w:val="24"/>
                <w:szCs w:val="24"/>
                <w:highlight w:val="none"/>
                <w:u w:val="none"/>
                <w:lang w:val="en-US" w:eastAsia="zh-CN" w:bidi="ar-SA"/>
              </w:rPr>
              <w:t>本环评要求企业在飞灰库上方安装喷干雾装置，在装卸、暂存过程中适量抑尘，抑尘效率约为90</w:t>
            </w:r>
            <w:r>
              <w:rPr>
                <w:rFonts w:hint="eastAsia" w:ascii="宋体" w:hAnsi="宋体" w:eastAsia="宋体" w:cs="宋体"/>
                <w:color w:val="auto"/>
                <w:kern w:val="2"/>
                <w:sz w:val="24"/>
                <w:szCs w:val="24"/>
                <w:highlight w:val="none"/>
                <w:u w:val="none"/>
                <w:lang w:val="en-US" w:eastAsia="zh-CN" w:bidi="ar-SA"/>
              </w:rPr>
              <w:t>％</w:t>
            </w:r>
            <w:r>
              <w:rPr>
                <w:rFonts w:hint="eastAsia" w:ascii="Times New Roman" w:hAnsi="Times New Roman" w:eastAsia="宋体" w:cs="Times New Roman"/>
                <w:color w:val="auto"/>
                <w:kern w:val="2"/>
                <w:sz w:val="24"/>
                <w:szCs w:val="24"/>
                <w:highlight w:val="none"/>
                <w:u w:val="none"/>
                <w:lang w:val="en-US" w:eastAsia="zh-CN" w:bidi="ar-SA"/>
              </w:rPr>
              <w:t>，则无组织排放量</w:t>
            </w:r>
            <w:r>
              <w:rPr>
                <w:rFonts w:hint="eastAsia" w:cs="Times New Roman"/>
                <w:color w:val="auto"/>
                <w:kern w:val="2"/>
                <w:sz w:val="24"/>
                <w:szCs w:val="24"/>
                <w:highlight w:val="none"/>
                <w:u w:val="none"/>
                <w:lang w:val="en-US" w:eastAsia="zh-CN" w:bidi="ar-SA"/>
              </w:rPr>
              <w:t>较少，处理后排放情况见</w:t>
            </w:r>
            <w:r>
              <w:rPr>
                <w:rFonts w:hint="eastAsia" w:hAnsi="宋体" w:cs="Times New Roman"/>
                <w:color w:val="auto"/>
                <w:kern w:val="2"/>
                <w:sz w:val="24"/>
                <w:szCs w:val="24"/>
                <w:u w:val="none"/>
                <w:lang w:val="en-US" w:eastAsia="zh-CN" w:bidi="ar-SA"/>
              </w:rPr>
              <w:t>表34及表36</w:t>
            </w:r>
            <w:r>
              <w:rPr>
                <w:rFonts w:hint="eastAsia"/>
                <w:color w:val="auto"/>
                <w:sz w:val="24"/>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eastAsia" w:cs="Times New Roman"/>
                <w:b/>
                <w:bCs/>
                <w:color w:val="auto"/>
                <w:sz w:val="24"/>
                <w:lang w:val="en-US" w:eastAsia="zh-CN"/>
              </w:rPr>
              <w:t>1.2 废气治理设施可行性分析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根据《危险废物贮存污染控制标准》(GB18597-2023)危险废物贮存设施必须设有气体导出口及气体净化装置，因此，本项目拟在暂存仓库内设置抽风装置，并在仓库中部建设一套水洗喷淋系统，抽风至喷淋系统，去除氨后通过15m高排气筒排放。参照《排污许可证申请与核发技术规范 无机化学工业》(HJ1035-2019)吸收法属于废气中氨去除的可行技术，本项目采用水吸收废气中的氨，属于可行技术。类比同类项目，水喷淋对于氨的去除效率可达 80%~90%，废气中氨的排放速率远小于《恶臭污染物排放标准》(GB14554-93)中的排放速率限值4.9kg/h(15m排气筒)。暂存库抽气量及废气处理措施见</w:t>
            </w:r>
            <w:r>
              <w:rPr>
                <w:rFonts w:hint="eastAsia" w:cs="Times New Roman"/>
                <w:color w:val="auto"/>
                <w:kern w:val="2"/>
                <w:sz w:val="24"/>
                <w:szCs w:val="24"/>
                <w:highlight w:val="none"/>
                <w:u w:val="none"/>
                <w:lang w:val="en-US" w:eastAsia="zh-CN" w:bidi="ar-SA"/>
              </w:rPr>
              <w:t>下表</w:t>
            </w:r>
            <w:r>
              <w:rPr>
                <w:rFonts w:hint="eastAsia" w:ascii="Times New Roman" w:hAnsi="Times New Roman" w:eastAsia="宋体" w:cs="Times New Roman"/>
                <w:color w:val="auto"/>
                <w:kern w:val="2"/>
                <w:sz w:val="24"/>
                <w:szCs w:val="24"/>
                <w:highlight w:val="none"/>
                <w:u w:val="none"/>
                <w:lang w:val="en-US" w:eastAsia="zh-CN" w:bidi="ar-SA"/>
              </w:rPr>
              <w:t>：</w:t>
            </w:r>
          </w:p>
          <w:p>
            <w:pPr>
              <w:pStyle w:val="7"/>
              <w:widowControl w:val="0"/>
              <w:numPr>
                <w:ilvl w:val="0"/>
                <w:numId w:val="0"/>
              </w:numPr>
              <w:spacing w:line="520" w:lineRule="exact"/>
              <w:jc w:val="center"/>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w:t>
            </w:r>
            <w:r>
              <w:rPr>
                <w:rFonts w:hint="eastAsia" w:eastAsia="黑体" w:cs="Times New Roman"/>
                <w:b w:val="0"/>
                <w:bCs w:val="0"/>
                <w:color w:val="auto"/>
                <w:sz w:val="24"/>
                <w:szCs w:val="24"/>
                <w:lang w:val="en-US" w:eastAsia="zh-CN"/>
              </w:rPr>
              <w:t>35</w:t>
            </w:r>
            <w:r>
              <w:rPr>
                <w:rFonts w:hint="eastAsia" w:ascii="Times New Roman" w:hAnsi="Times New Roman" w:eastAsia="黑体" w:cs="Times New Roman"/>
                <w:b w:val="0"/>
                <w:bCs w:val="0"/>
                <w:color w:val="auto"/>
                <w:sz w:val="24"/>
                <w:szCs w:val="24"/>
                <w:lang w:val="en-US" w:eastAsia="zh-CN"/>
              </w:rPr>
              <w:t xml:space="preserve"> </w:t>
            </w:r>
            <w:r>
              <w:rPr>
                <w:rFonts w:hint="eastAsia"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本项目飞灰库抽气量及处理基本情况一览表</w:t>
            </w:r>
          </w:p>
          <w:tbl>
            <w:tblPr>
              <w:tblStyle w:val="29"/>
              <w:tblW w:w="85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536"/>
              <w:gridCol w:w="1500"/>
              <w:gridCol w:w="1245"/>
              <w:gridCol w:w="25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04"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eastAsia="宋体" w:cs="Times New Roman"/>
                      <w:b/>
                      <w:bCs w:val="0"/>
                      <w:color w:val="auto"/>
                      <w:kern w:val="0"/>
                      <w:sz w:val="21"/>
                      <w:szCs w:val="21"/>
                      <w:lang w:val="en-US" w:eastAsia="zh-CN" w:bidi="ar-SA"/>
                    </w:rPr>
                  </w:pPr>
                  <w:r>
                    <w:rPr>
                      <w:rFonts w:hint="eastAsia" w:ascii="Times New Roman" w:hAnsi="Times New Roman" w:eastAsia="宋体" w:cs="Times New Roman"/>
                      <w:b/>
                      <w:bCs w:val="0"/>
                      <w:color w:val="auto"/>
                      <w:kern w:val="0"/>
                      <w:sz w:val="21"/>
                      <w:szCs w:val="21"/>
                      <w:lang w:val="en-US" w:eastAsia="zh-CN" w:bidi="ar-SA"/>
                    </w:rPr>
                    <w:t>名称</w:t>
                  </w:r>
                </w:p>
              </w:tc>
              <w:tc>
                <w:tcPr>
                  <w:tcW w:w="1536"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eastAsia="宋体" w:cs="Times New Roman"/>
                      <w:b/>
                      <w:bCs w:val="0"/>
                      <w:color w:val="auto"/>
                      <w:kern w:val="0"/>
                      <w:sz w:val="21"/>
                      <w:szCs w:val="21"/>
                      <w:lang w:val="en-US" w:eastAsia="zh-CN" w:bidi="ar-SA"/>
                    </w:rPr>
                  </w:pPr>
                  <w:r>
                    <w:rPr>
                      <w:rFonts w:hint="eastAsia" w:ascii="Times New Roman" w:hAnsi="Times New Roman" w:eastAsia="宋体" w:cs="Times New Roman"/>
                      <w:b/>
                      <w:bCs w:val="0"/>
                      <w:color w:val="auto"/>
                      <w:kern w:val="0"/>
                      <w:sz w:val="21"/>
                      <w:szCs w:val="21"/>
                      <w:lang w:val="en-US" w:eastAsia="zh-CN" w:bidi="ar-SA"/>
                    </w:rPr>
                    <w:t>尺寸</w:t>
                  </w:r>
                </w:p>
              </w:tc>
              <w:tc>
                <w:tcPr>
                  <w:tcW w:w="1500"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eastAsia="宋体" w:cs="Times New Roman"/>
                      <w:b/>
                      <w:bCs w:val="0"/>
                      <w:color w:val="auto"/>
                      <w:kern w:val="0"/>
                      <w:sz w:val="21"/>
                      <w:szCs w:val="21"/>
                      <w:lang w:val="en-US" w:eastAsia="zh-CN" w:bidi="ar-SA"/>
                    </w:rPr>
                  </w:pPr>
                  <w:r>
                    <w:rPr>
                      <w:rFonts w:hint="eastAsia" w:ascii="Times New Roman" w:hAnsi="Times New Roman" w:eastAsia="宋体" w:cs="Times New Roman"/>
                      <w:b/>
                      <w:bCs w:val="0"/>
                      <w:color w:val="auto"/>
                      <w:kern w:val="0"/>
                      <w:sz w:val="21"/>
                      <w:szCs w:val="21"/>
                      <w:lang w:val="en-US" w:eastAsia="zh-CN" w:bidi="ar-SA"/>
                    </w:rPr>
                    <w:t>空间大小</w:t>
                  </w:r>
                </w:p>
              </w:tc>
              <w:tc>
                <w:tcPr>
                  <w:tcW w:w="1245"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eastAsia="宋体" w:cs="Times New Roman"/>
                      <w:b/>
                      <w:bCs w:val="0"/>
                      <w:color w:val="auto"/>
                      <w:kern w:val="0"/>
                      <w:sz w:val="21"/>
                      <w:szCs w:val="21"/>
                      <w:lang w:val="en-US" w:eastAsia="zh-CN" w:bidi="ar-SA"/>
                    </w:rPr>
                  </w:pPr>
                  <w:r>
                    <w:rPr>
                      <w:rFonts w:hint="eastAsia" w:ascii="Times New Roman" w:hAnsi="Times New Roman" w:eastAsia="宋体" w:cs="Times New Roman"/>
                      <w:b/>
                      <w:bCs w:val="0"/>
                      <w:color w:val="auto"/>
                      <w:kern w:val="0"/>
                      <w:sz w:val="21"/>
                      <w:szCs w:val="21"/>
                      <w:lang w:val="en-US" w:eastAsia="zh-CN" w:bidi="ar-SA"/>
                    </w:rPr>
                    <w:t>抽气量</w:t>
                  </w:r>
                </w:p>
              </w:tc>
              <w:tc>
                <w:tcPr>
                  <w:tcW w:w="2538"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eastAsia="宋体" w:cs="Times New Roman"/>
                      <w:b/>
                      <w:bCs w:val="0"/>
                      <w:color w:val="auto"/>
                      <w:kern w:val="0"/>
                      <w:sz w:val="21"/>
                      <w:szCs w:val="21"/>
                      <w:lang w:val="en-US" w:eastAsia="zh-CN" w:bidi="ar-SA"/>
                    </w:rPr>
                  </w:pPr>
                  <w:r>
                    <w:rPr>
                      <w:rFonts w:hint="eastAsia" w:ascii="Times New Roman" w:hAnsi="Times New Roman" w:eastAsia="宋体" w:cs="Times New Roman"/>
                      <w:b/>
                      <w:bCs w:val="0"/>
                      <w:color w:val="auto"/>
                      <w:kern w:val="0"/>
                      <w:sz w:val="21"/>
                      <w:szCs w:val="21"/>
                      <w:lang w:val="en-US" w:eastAsia="zh-CN" w:bidi="ar-SA"/>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cs="Times New Roman"/>
                      <w:b/>
                      <w:bCs/>
                      <w:color w:val="auto"/>
                      <w:sz w:val="24"/>
                      <w:szCs w:val="24"/>
                      <w:u w:val="none"/>
                      <w:vertAlign w:val="baseline"/>
                      <w:lang w:val="en-US" w:eastAsia="zh-CN"/>
                    </w:rPr>
                  </w:pPr>
                  <w:r>
                    <w:rPr>
                      <w:rFonts w:hint="eastAsia" w:ascii="Times New Roman" w:hAnsi="Times New Roman" w:eastAsia="宋体" w:cs="Times New Roman"/>
                      <w:color w:val="auto"/>
                      <w:sz w:val="21"/>
                      <w:szCs w:val="21"/>
                      <w:u w:val="none"/>
                      <w:lang w:val="en-US" w:eastAsia="zh-CN"/>
                    </w:rPr>
                    <w:t>飞灰暂存库</w:t>
                  </w:r>
                </w:p>
              </w:tc>
              <w:tc>
                <w:tcPr>
                  <w:tcW w:w="1536"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eastAsia" w:ascii="Times New Roman" w:hAnsi="Times New Roman" w:cs="Times New Roman"/>
                      <w:b/>
                      <w:bCs/>
                      <w:color w:val="auto"/>
                      <w:sz w:val="24"/>
                      <w:szCs w:val="24"/>
                      <w:u w:val="none"/>
                      <w:vertAlign w:val="baseline"/>
                      <w:lang w:val="en-US" w:eastAsia="zh-CN"/>
                    </w:rPr>
                  </w:pPr>
                  <w:r>
                    <w:rPr>
                      <w:rFonts w:hint="eastAsia" w:ascii="Times New Roman" w:hAnsi="Times New Roman" w:eastAsia="宋体" w:cs="Times New Roman"/>
                      <w:color w:val="auto"/>
                      <w:sz w:val="21"/>
                      <w:szCs w:val="21"/>
                      <w:u w:val="none"/>
                      <w:lang w:val="en-US" w:eastAsia="zh-CN"/>
                    </w:rPr>
                    <w:t>75m*56m*11.</w:t>
                  </w:r>
                  <w:r>
                    <w:rPr>
                      <w:rFonts w:hint="eastAsia" w:cs="Times New Roman"/>
                      <w:color w:val="auto"/>
                      <w:sz w:val="21"/>
                      <w:szCs w:val="21"/>
                      <w:u w:val="none"/>
                      <w:lang w:val="en-US" w:eastAsia="zh-CN"/>
                    </w:rPr>
                    <w:t>1</w:t>
                  </w:r>
                  <w:r>
                    <w:rPr>
                      <w:rFonts w:hint="eastAsia" w:ascii="Times New Roman" w:hAnsi="Times New Roman" w:eastAsia="宋体" w:cs="Times New Roman"/>
                      <w:color w:val="auto"/>
                      <w:sz w:val="21"/>
                      <w:szCs w:val="21"/>
                      <w:u w:val="none"/>
                      <w:lang w:val="en-US" w:eastAsia="zh-CN"/>
                    </w:rPr>
                    <w:t>75m</w:t>
                  </w:r>
                </w:p>
              </w:tc>
              <w:tc>
                <w:tcPr>
                  <w:tcW w:w="1500"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cs="Times New Roman"/>
                      <w:b/>
                      <w:bCs/>
                      <w:color w:val="auto"/>
                      <w:sz w:val="24"/>
                      <w:szCs w:val="24"/>
                      <w:u w:val="none"/>
                      <w:vertAlign w:val="baseline"/>
                      <w:lang w:val="en-US" w:eastAsia="zh-CN"/>
                    </w:rPr>
                  </w:pPr>
                  <w:r>
                    <w:rPr>
                      <w:rFonts w:hint="eastAsia" w:cs="Times New Roman"/>
                      <w:color w:val="auto"/>
                      <w:sz w:val="21"/>
                      <w:szCs w:val="21"/>
                      <w:u w:val="none"/>
                      <w:lang w:val="en-US" w:eastAsia="zh-CN"/>
                    </w:rPr>
                    <w:t>4693</w:t>
                  </w:r>
                  <w:r>
                    <w:rPr>
                      <w:rFonts w:hint="eastAsia" w:ascii="Times New Roman" w:hAnsi="Times New Roman" w:eastAsia="宋体" w:cs="Times New Roman"/>
                      <w:color w:val="auto"/>
                      <w:sz w:val="21"/>
                      <w:szCs w:val="21"/>
                      <w:u w:val="none"/>
                      <w:lang w:val="en-US" w:eastAsia="zh-CN"/>
                    </w:rPr>
                    <w:t>5m</w:t>
                  </w:r>
                  <w:r>
                    <w:rPr>
                      <w:rFonts w:hint="eastAsia" w:ascii="Times New Roman" w:hAnsi="Times New Roman" w:eastAsia="宋体" w:cs="Times New Roman"/>
                      <w:color w:val="auto"/>
                      <w:sz w:val="21"/>
                      <w:szCs w:val="21"/>
                      <w:u w:val="none"/>
                      <w:vertAlign w:val="superscript"/>
                      <w:lang w:val="en-US" w:eastAsia="zh-CN"/>
                    </w:rPr>
                    <w:t>3</w:t>
                  </w:r>
                </w:p>
              </w:tc>
              <w:tc>
                <w:tcPr>
                  <w:tcW w:w="1245"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cs="Times New Roman"/>
                      <w:b/>
                      <w:bCs/>
                      <w:color w:val="auto"/>
                      <w:sz w:val="24"/>
                      <w:szCs w:val="24"/>
                      <w:u w:val="none"/>
                      <w:vertAlign w:val="baseline"/>
                      <w:lang w:val="en-US" w:eastAsia="zh-CN"/>
                    </w:rPr>
                  </w:pPr>
                  <w:r>
                    <w:rPr>
                      <w:rFonts w:hint="eastAsia" w:cs="Times New Roman"/>
                      <w:color w:val="auto"/>
                      <w:sz w:val="21"/>
                      <w:szCs w:val="21"/>
                      <w:u w:val="none"/>
                      <w:lang w:val="en-US" w:eastAsia="zh-CN"/>
                    </w:rPr>
                    <w:t>20</w:t>
                  </w:r>
                  <w:r>
                    <w:rPr>
                      <w:rFonts w:hint="eastAsia" w:ascii="Times New Roman" w:hAnsi="Times New Roman" w:eastAsia="宋体" w:cs="Times New Roman"/>
                      <w:color w:val="auto"/>
                      <w:sz w:val="21"/>
                      <w:szCs w:val="21"/>
                      <w:u w:val="none"/>
                      <w:lang w:val="en-US" w:eastAsia="zh-CN"/>
                    </w:rPr>
                    <w:t>000m</w:t>
                  </w:r>
                  <w:r>
                    <w:rPr>
                      <w:rFonts w:hint="eastAsia" w:ascii="Times New Roman" w:hAnsi="Times New Roman" w:eastAsia="宋体" w:cs="Times New Roman"/>
                      <w:color w:val="auto"/>
                      <w:sz w:val="21"/>
                      <w:szCs w:val="21"/>
                      <w:u w:val="none"/>
                      <w:vertAlign w:val="superscript"/>
                      <w:lang w:val="en-US" w:eastAsia="zh-CN"/>
                    </w:rPr>
                    <w:t>3</w:t>
                  </w:r>
                  <w:r>
                    <w:rPr>
                      <w:rFonts w:hint="eastAsia" w:ascii="Times New Roman" w:hAnsi="Times New Roman" w:eastAsia="宋体" w:cs="Times New Roman"/>
                      <w:color w:val="auto"/>
                      <w:sz w:val="21"/>
                      <w:szCs w:val="21"/>
                      <w:u w:val="none"/>
                      <w:lang w:val="en-US" w:eastAsia="zh-CN"/>
                    </w:rPr>
                    <w:t>/h</w:t>
                  </w:r>
                </w:p>
              </w:tc>
              <w:tc>
                <w:tcPr>
                  <w:tcW w:w="2538"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eastAsia" w:ascii="Times New Roman" w:hAnsi="Times New Roman" w:cs="Times New Roman"/>
                      <w:b/>
                      <w:bCs/>
                      <w:color w:val="auto"/>
                      <w:sz w:val="24"/>
                      <w:szCs w:val="24"/>
                      <w:u w:val="none"/>
                      <w:vertAlign w:val="baseline"/>
                      <w:lang w:val="en-US" w:eastAsia="zh-CN"/>
                    </w:rPr>
                  </w:pPr>
                  <w:r>
                    <w:rPr>
                      <w:rFonts w:hint="eastAsia" w:cs="Times New Roman"/>
                      <w:color w:val="auto"/>
                      <w:sz w:val="21"/>
                      <w:szCs w:val="21"/>
                      <w:u w:val="none"/>
                      <w:lang w:val="en-US" w:eastAsia="zh-CN"/>
                    </w:rPr>
                    <w:t>管道收集+水洗喷淋塔+15m高排气筒（收集效率90％、处理效率80％、风机风量为20000m</w:t>
                  </w:r>
                  <w:r>
                    <w:rPr>
                      <w:rFonts w:hint="eastAsia" w:cs="Times New Roman"/>
                      <w:color w:val="auto"/>
                      <w:sz w:val="21"/>
                      <w:szCs w:val="21"/>
                      <w:u w:val="none"/>
                      <w:vertAlign w:val="superscript"/>
                      <w:lang w:val="en-US" w:eastAsia="zh-CN"/>
                    </w:rPr>
                    <w:t>3</w:t>
                  </w:r>
                  <w:r>
                    <w:rPr>
                      <w:rFonts w:hint="eastAsia" w:cs="Times New Roman"/>
                      <w:color w:val="auto"/>
                      <w:sz w:val="21"/>
                      <w:szCs w:val="21"/>
                      <w:u w:val="none"/>
                      <w:lang w:val="en-US" w:eastAsia="zh-CN"/>
                    </w:rPr>
                    <w:t>/h）</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eastAsia" w:ascii="Times New Roman" w:hAnsi="Times New Roman" w:eastAsia="宋体" w:cs="Times New Roman"/>
                <w:b/>
                <w:bCs/>
                <w:color w:val="auto"/>
                <w:sz w:val="24"/>
                <w:szCs w:val="24"/>
                <w:u w:val="none"/>
              </w:rPr>
            </w:pPr>
            <w:r>
              <w:rPr>
                <w:rFonts w:hint="eastAsia" w:ascii="Times New Roman" w:hAnsi="Times New Roman" w:cs="Times New Roman"/>
                <w:b/>
                <w:bCs/>
                <w:color w:val="auto"/>
                <w:sz w:val="24"/>
                <w:szCs w:val="24"/>
                <w:u w:val="none"/>
                <w:lang w:val="en-US" w:eastAsia="zh-CN"/>
              </w:rPr>
              <w:t>1.</w:t>
            </w:r>
            <w:r>
              <w:rPr>
                <w:rFonts w:hint="eastAsia" w:cs="Times New Roman"/>
                <w:b/>
                <w:bCs/>
                <w:color w:val="auto"/>
                <w:sz w:val="24"/>
                <w:szCs w:val="24"/>
                <w:u w:val="none"/>
                <w:lang w:val="en-US" w:eastAsia="zh-CN"/>
              </w:rPr>
              <w:t>3</w:t>
            </w:r>
            <w:r>
              <w:rPr>
                <w:rFonts w:hint="eastAsia" w:ascii="Times New Roman" w:hAnsi="Times New Roman" w:eastAsia="宋体" w:cs="Times New Roman"/>
                <w:b/>
                <w:bCs/>
                <w:color w:val="auto"/>
                <w:sz w:val="24"/>
                <w:szCs w:val="24"/>
                <w:u w:val="none"/>
              </w:rPr>
              <w:t>废气治理设施及产排情况</w:t>
            </w:r>
          </w:p>
          <w:p>
            <w:pPr>
              <w:pStyle w:val="7"/>
              <w:widowControl w:val="0"/>
              <w:numPr>
                <w:ilvl w:val="0"/>
                <w:numId w:val="0"/>
              </w:numPr>
              <w:spacing w:line="520" w:lineRule="exact"/>
              <w:jc w:val="center"/>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w:t>
            </w:r>
            <w:r>
              <w:rPr>
                <w:rFonts w:hint="eastAsia" w:eastAsia="黑体" w:cs="Times New Roman"/>
                <w:b w:val="0"/>
                <w:bCs w:val="0"/>
                <w:color w:val="auto"/>
                <w:sz w:val="24"/>
                <w:szCs w:val="24"/>
                <w:lang w:val="en-US" w:eastAsia="zh-CN"/>
              </w:rPr>
              <w:t>36</w:t>
            </w:r>
            <w:r>
              <w:rPr>
                <w:rFonts w:hint="eastAsia" w:ascii="Times New Roman" w:hAnsi="Times New Roman" w:eastAsia="黑体" w:cs="Times New Roman"/>
                <w:b w:val="0"/>
                <w:bCs w:val="0"/>
                <w:color w:val="auto"/>
                <w:sz w:val="24"/>
                <w:szCs w:val="24"/>
                <w:lang w:val="en-US" w:eastAsia="zh-CN"/>
              </w:rPr>
              <w:t xml:space="preserve"> </w:t>
            </w:r>
            <w:r>
              <w:rPr>
                <w:rFonts w:hint="eastAsia"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本项目废气产排情况一览表</w:t>
            </w:r>
          </w:p>
          <w:tbl>
            <w:tblPr>
              <w:tblStyle w:val="28"/>
              <w:tblW w:w="855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42"/>
              <w:gridCol w:w="608"/>
              <w:gridCol w:w="695"/>
              <w:gridCol w:w="1146"/>
              <w:gridCol w:w="1146"/>
              <w:gridCol w:w="1986"/>
              <w:gridCol w:w="830"/>
              <w:gridCol w:w="882"/>
              <w:gridCol w:w="62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11" w:hRule="atLeast"/>
                <w:jc w:val="center"/>
              </w:trPr>
              <w:tc>
                <w:tcPr>
                  <w:tcW w:w="642" w:type="dxa"/>
                  <w:tcBorders>
                    <w:top w:val="single" w:color="auto" w:sz="4" w:space="0"/>
                    <w:left w:val="single" w:color="auto" w:sz="0"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lang w:val="en-US" w:eastAsia="zh-CN"/>
                    </w:rPr>
                    <w:t>污染物</w:t>
                  </w:r>
                </w:p>
              </w:tc>
              <w:tc>
                <w:tcPr>
                  <w:tcW w:w="608" w:type="dxa"/>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lang w:val="en-US" w:eastAsia="zh-CN"/>
                    </w:rPr>
                    <w:t>产生</w:t>
                  </w:r>
                  <w:r>
                    <w:rPr>
                      <w:rFonts w:ascii="Times New Roman" w:hAnsi="Times New Roman" w:eastAsia="宋体" w:cs="Times New Roman"/>
                      <w:b/>
                      <w:bCs w:val="0"/>
                      <w:color w:val="auto"/>
                      <w:sz w:val="21"/>
                      <w:szCs w:val="21"/>
                      <w:lang w:val="zh-CN"/>
                    </w:rPr>
                    <w:t>速率</w:t>
                  </w:r>
                  <w:r>
                    <w:rPr>
                      <w:rFonts w:ascii="Times New Roman" w:hAnsi="Times New Roman" w:eastAsia="宋体" w:cs="Times New Roman"/>
                      <w:b/>
                      <w:bCs w:val="0"/>
                      <w:color w:val="auto"/>
                      <w:sz w:val="21"/>
                      <w:szCs w:val="21"/>
                    </w:rPr>
                    <w:t>kg/h</w:t>
                  </w:r>
                </w:p>
              </w:tc>
              <w:tc>
                <w:tcPr>
                  <w:tcW w:w="695" w:type="dxa"/>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color w:val="auto"/>
                      <w:kern w:val="0"/>
                      <w:sz w:val="21"/>
                      <w:szCs w:val="21"/>
                      <w:u w:val="none"/>
                      <w:lang w:val="en-US" w:eastAsia="zh-CN"/>
                    </w:rPr>
                  </w:pPr>
                  <w:r>
                    <w:rPr>
                      <w:rFonts w:hint="eastAsia" w:eastAsia="宋体" w:cs="Times New Roman"/>
                      <w:b/>
                      <w:bCs w:val="0"/>
                      <w:color w:val="auto"/>
                      <w:sz w:val="21"/>
                      <w:szCs w:val="21"/>
                      <w:lang w:val="en-US" w:eastAsia="zh-CN"/>
                    </w:rPr>
                    <w:t>产生浓度mg</w:t>
                  </w:r>
                  <w:r>
                    <w:rPr>
                      <w:rFonts w:ascii="Times New Roman" w:hAnsi="Times New Roman" w:eastAsia="宋体" w:cs="Times New Roman"/>
                      <w:b/>
                      <w:bCs w:val="0"/>
                      <w:color w:val="auto"/>
                      <w:sz w:val="21"/>
                      <w:szCs w:val="21"/>
                      <w:lang w:val="zh-CN"/>
                    </w:rPr>
                    <w:t>/</w:t>
                  </w:r>
                  <w:r>
                    <w:rPr>
                      <w:rFonts w:hint="eastAsia" w:eastAsia="宋体" w:cs="Times New Roman"/>
                      <w:b/>
                      <w:bCs w:val="0"/>
                      <w:color w:val="auto"/>
                      <w:sz w:val="21"/>
                      <w:szCs w:val="21"/>
                      <w:lang w:val="en-US" w:eastAsia="zh-CN"/>
                    </w:rPr>
                    <w:t>m</w:t>
                  </w:r>
                  <w:r>
                    <w:rPr>
                      <w:rFonts w:hint="eastAsia" w:eastAsia="宋体" w:cs="Times New Roman"/>
                      <w:b/>
                      <w:bCs w:val="0"/>
                      <w:color w:val="auto"/>
                      <w:sz w:val="21"/>
                      <w:szCs w:val="21"/>
                      <w:vertAlign w:val="superscript"/>
                      <w:lang w:val="en-US" w:eastAsia="zh-CN"/>
                    </w:rPr>
                    <w:t>3</w:t>
                  </w:r>
                </w:p>
              </w:tc>
              <w:tc>
                <w:tcPr>
                  <w:tcW w:w="1146" w:type="dxa"/>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产生</w:t>
                  </w:r>
                  <w:r>
                    <w:rPr>
                      <w:rFonts w:ascii="Times New Roman" w:hAnsi="Times New Roman" w:eastAsia="宋体" w:cs="Times New Roman"/>
                      <w:b/>
                      <w:bCs w:val="0"/>
                      <w:color w:val="auto"/>
                      <w:sz w:val="21"/>
                      <w:szCs w:val="21"/>
                      <w:lang w:val="zh-CN"/>
                    </w:rPr>
                    <w:t>量t/a</w:t>
                  </w:r>
                </w:p>
              </w:tc>
              <w:tc>
                <w:tcPr>
                  <w:tcW w:w="1146" w:type="dxa"/>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lang w:val="en-US" w:eastAsia="zh-CN"/>
                    </w:rPr>
                    <w:t>排放形式</w:t>
                  </w:r>
                </w:p>
              </w:tc>
              <w:tc>
                <w:tcPr>
                  <w:tcW w:w="1986" w:type="dxa"/>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cs="Times New Roman"/>
                      <w:b/>
                      <w:bCs/>
                      <w:color w:val="auto"/>
                      <w:kern w:val="0"/>
                      <w:sz w:val="21"/>
                      <w:szCs w:val="21"/>
                      <w:u w:val="none"/>
                    </w:rPr>
                  </w:pPr>
                  <w:r>
                    <w:rPr>
                      <w:rFonts w:ascii="Times New Roman" w:hAnsi="Times New Roman" w:eastAsia="宋体" w:cs="Times New Roman"/>
                      <w:b/>
                      <w:bCs w:val="0"/>
                      <w:color w:val="auto"/>
                      <w:sz w:val="21"/>
                      <w:szCs w:val="21"/>
                      <w:lang w:val="zh-CN"/>
                    </w:rPr>
                    <w:t>污染治理设施</w:t>
                  </w:r>
                </w:p>
              </w:tc>
              <w:tc>
                <w:tcPr>
                  <w:tcW w:w="830" w:type="dxa"/>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cs="Times New Roman"/>
                      <w:b/>
                      <w:bCs/>
                      <w:color w:val="auto"/>
                      <w:kern w:val="0"/>
                      <w:sz w:val="21"/>
                      <w:szCs w:val="21"/>
                      <w:u w:val="none"/>
                    </w:rPr>
                  </w:pPr>
                  <w:r>
                    <w:rPr>
                      <w:rFonts w:ascii="Times New Roman" w:hAnsi="Times New Roman" w:eastAsia="宋体" w:cs="Times New Roman"/>
                      <w:b/>
                      <w:bCs w:val="0"/>
                      <w:color w:val="auto"/>
                      <w:sz w:val="21"/>
                      <w:szCs w:val="21"/>
                      <w:lang w:val="zh-CN"/>
                    </w:rPr>
                    <w:t>排放</w:t>
                  </w:r>
                  <w:r>
                    <w:rPr>
                      <w:rFonts w:hint="eastAsia" w:eastAsia="宋体" w:cs="Times New Roman"/>
                      <w:b/>
                      <w:bCs w:val="0"/>
                      <w:color w:val="auto"/>
                      <w:sz w:val="21"/>
                      <w:szCs w:val="21"/>
                      <w:lang w:val="en-US" w:eastAsia="zh-CN"/>
                    </w:rPr>
                    <w:t>浓度</w:t>
                  </w:r>
                  <w:r>
                    <w:rPr>
                      <w:rFonts w:hint="eastAsia" w:ascii="Times New Roman" w:hAnsi="Times New Roman" w:eastAsia="宋体" w:cs="Times New Roman"/>
                      <w:b/>
                      <w:bCs w:val="0"/>
                      <w:color w:val="auto"/>
                      <w:sz w:val="21"/>
                      <w:szCs w:val="21"/>
                      <w:lang w:val="en-US" w:eastAsia="zh-CN"/>
                    </w:rPr>
                    <w:t>mg/</w:t>
                  </w:r>
                  <w:r>
                    <w:rPr>
                      <w:rFonts w:hint="eastAsia" w:eastAsia="宋体" w:cs="Times New Roman"/>
                      <w:b/>
                      <w:bCs w:val="0"/>
                      <w:color w:val="auto"/>
                      <w:sz w:val="21"/>
                      <w:szCs w:val="21"/>
                      <w:lang w:val="en-US" w:eastAsia="zh-CN"/>
                    </w:rPr>
                    <w:t>m</w:t>
                  </w:r>
                  <w:r>
                    <w:rPr>
                      <w:rFonts w:hint="eastAsia" w:eastAsia="宋体" w:cs="Times New Roman"/>
                      <w:b/>
                      <w:bCs w:val="0"/>
                      <w:color w:val="auto"/>
                      <w:sz w:val="21"/>
                      <w:szCs w:val="21"/>
                      <w:vertAlign w:val="superscript"/>
                      <w:lang w:val="en-US" w:eastAsia="zh-CN"/>
                    </w:rPr>
                    <w:t>3</w:t>
                  </w:r>
                </w:p>
              </w:tc>
              <w:tc>
                <w:tcPr>
                  <w:tcW w:w="882" w:type="dxa"/>
                  <w:tcBorders>
                    <w:top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color w:val="auto"/>
                      <w:kern w:val="0"/>
                      <w:sz w:val="21"/>
                      <w:szCs w:val="21"/>
                      <w:u w:val="none"/>
                      <w:vertAlign w:val="baseline"/>
                      <w:lang w:val="en-US" w:eastAsia="zh-CN"/>
                    </w:rPr>
                  </w:pPr>
                  <w:r>
                    <w:rPr>
                      <w:rFonts w:ascii="Times New Roman" w:hAnsi="Times New Roman" w:eastAsia="宋体" w:cs="Times New Roman"/>
                      <w:b/>
                      <w:bCs w:val="0"/>
                      <w:color w:val="auto"/>
                      <w:sz w:val="21"/>
                      <w:szCs w:val="21"/>
                      <w:lang w:val="zh-CN"/>
                    </w:rPr>
                    <w:t>排放速率</w:t>
                  </w:r>
                  <w:r>
                    <w:rPr>
                      <w:rFonts w:ascii="Times New Roman" w:hAnsi="Times New Roman" w:eastAsia="宋体" w:cs="Times New Roman"/>
                      <w:b/>
                      <w:bCs w:val="0"/>
                      <w:color w:val="auto"/>
                      <w:sz w:val="21"/>
                      <w:szCs w:val="21"/>
                    </w:rPr>
                    <w:t>kg/h</w:t>
                  </w:r>
                </w:p>
              </w:tc>
              <w:tc>
                <w:tcPr>
                  <w:tcW w:w="620" w:type="dxa"/>
                  <w:tcBorders>
                    <w:top w:val="single" w:color="auto" w:sz="4" w:space="0"/>
                    <w:right w:val="single" w:color="auto" w:sz="4" w:space="0"/>
                    <w:tl2br w:val="nil"/>
                    <w:tr2bl w:val="nil"/>
                  </w:tcBorders>
                  <w:noWrap w:val="0"/>
                  <w:vAlign w:val="center"/>
                </w:tcPr>
                <w:p>
                  <w:pPr>
                    <w:pStyle w:val="85"/>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cs="Times New Roman"/>
                      <w:b/>
                      <w:bCs/>
                      <w:color w:val="auto"/>
                      <w:kern w:val="0"/>
                      <w:sz w:val="21"/>
                      <w:szCs w:val="21"/>
                      <w:u w:val="none"/>
                    </w:rPr>
                  </w:pPr>
                  <w:r>
                    <w:rPr>
                      <w:rFonts w:ascii="Times New Roman" w:hAnsi="Times New Roman" w:eastAsia="宋体" w:cs="Times New Roman"/>
                      <w:b/>
                      <w:bCs w:val="0"/>
                      <w:color w:val="auto"/>
                      <w:sz w:val="21"/>
                      <w:szCs w:val="21"/>
                      <w:lang w:val="zh-CN"/>
                    </w:rPr>
                    <w:t>排放量t/a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55" w:hRule="atLeast"/>
                <w:jc w:val="center"/>
              </w:trPr>
              <w:tc>
                <w:tcPr>
                  <w:tcW w:w="642" w:type="dxa"/>
                  <w:vMerge w:val="restart"/>
                  <w:tcBorders>
                    <w:left w:val="single" w:color="auto" w:sz="4" w:space="0"/>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kern w:val="0"/>
                      <w:sz w:val="21"/>
                      <w:szCs w:val="21"/>
                      <w:u w:val="single"/>
                    </w:rPr>
                  </w:pPr>
                  <w:r>
                    <w:rPr>
                      <w:rFonts w:hint="eastAsia" w:cs="Times New Roman"/>
                      <w:color w:val="auto"/>
                      <w:sz w:val="21"/>
                      <w:szCs w:val="21"/>
                      <w:u w:val="single"/>
                      <w:lang w:val="en-US" w:eastAsia="zh-CN"/>
                    </w:rPr>
                    <w:t>氨气</w:t>
                  </w:r>
                </w:p>
              </w:tc>
              <w:tc>
                <w:tcPr>
                  <w:tcW w:w="608" w:type="dxa"/>
                  <w:vMerge w:val="restart"/>
                  <w:tcBorders>
                    <w:tl2br w:val="nil"/>
                    <w:tr2bl w:val="nil"/>
                  </w:tcBorders>
                  <w:noWrap w:val="0"/>
                  <w:vAlign w:val="center"/>
                </w:tcPr>
                <w:p>
                  <w:pPr>
                    <w:jc w:val="center"/>
                    <w:rPr>
                      <w:rFonts w:hint="default" w:ascii="Times New Roman" w:hAnsi="Times New Roman" w:cs="Times New Roman"/>
                      <w:color w:val="auto"/>
                      <w:kern w:val="0"/>
                      <w:sz w:val="21"/>
                      <w:szCs w:val="21"/>
                      <w:u w:val="single"/>
                      <w:lang w:val="en-US"/>
                    </w:rPr>
                  </w:pPr>
                  <w:r>
                    <w:rPr>
                      <w:rFonts w:hint="eastAsia" w:cs="Times New Roman"/>
                      <w:color w:val="auto"/>
                      <w:kern w:val="0"/>
                      <w:sz w:val="21"/>
                      <w:szCs w:val="21"/>
                      <w:highlight w:val="none"/>
                      <w:u w:val="single"/>
                      <w:lang w:val="en-US" w:eastAsia="zh-CN"/>
                    </w:rPr>
                    <w:t>0.00032</w:t>
                  </w:r>
                </w:p>
              </w:tc>
              <w:tc>
                <w:tcPr>
                  <w:tcW w:w="695" w:type="dxa"/>
                  <w:vMerge w:val="restart"/>
                  <w:tcBorders>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rPr>
                    <w:t>0.016</w:t>
                  </w:r>
                </w:p>
              </w:tc>
              <w:tc>
                <w:tcPr>
                  <w:tcW w:w="1146" w:type="dxa"/>
                  <w:tcBorders>
                    <w:tl2br w:val="nil"/>
                    <w:tr2bl w:val="nil"/>
                  </w:tcBorders>
                  <w:noWrap w:val="0"/>
                  <w:vAlign w:val="center"/>
                </w:tcPr>
                <w:p>
                  <w:pPr>
                    <w:jc w:val="center"/>
                    <w:rPr>
                      <w:rFonts w:hint="default"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bidi="ar-SA"/>
                    </w:rPr>
                    <w:t>0.00063</w:t>
                  </w:r>
                </w:p>
              </w:tc>
              <w:tc>
                <w:tcPr>
                  <w:tcW w:w="11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kern w:val="0"/>
                      <w:sz w:val="21"/>
                      <w:szCs w:val="21"/>
                      <w:u w:val="single"/>
                    </w:rPr>
                  </w:pPr>
                  <w:r>
                    <w:rPr>
                      <w:rFonts w:ascii="Times New Roman" w:hAnsi="Times New Roman" w:cs="Times New Roman"/>
                      <w:color w:val="auto"/>
                      <w:sz w:val="21"/>
                      <w:szCs w:val="21"/>
                      <w:u w:val="single"/>
                    </w:rPr>
                    <w:t>有组织</w:t>
                  </w:r>
                </w:p>
              </w:tc>
              <w:tc>
                <w:tcPr>
                  <w:tcW w:w="1986" w:type="dxa"/>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cs="Times New Roman"/>
                      <w:color w:val="auto"/>
                      <w:kern w:val="0"/>
                      <w:sz w:val="21"/>
                      <w:szCs w:val="21"/>
                      <w:u w:val="single"/>
                      <w:lang w:val="en-US"/>
                    </w:rPr>
                  </w:pPr>
                  <w:r>
                    <w:rPr>
                      <w:rFonts w:hint="eastAsia" w:cs="Times New Roman"/>
                      <w:color w:val="auto"/>
                      <w:sz w:val="21"/>
                      <w:szCs w:val="21"/>
                      <w:u w:val="single"/>
                      <w:lang w:val="en-US" w:eastAsia="zh-CN"/>
                    </w:rPr>
                    <w:t>管道收集+水洗喷淋塔+15m高排气筒（收集效率90％、处理效率80％、风机风量为20000m</w:t>
                  </w:r>
                  <w:r>
                    <w:rPr>
                      <w:rFonts w:hint="eastAsia" w:cs="Times New Roman"/>
                      <w:color w:val="auto"/>
                      <w:sz w:val="21"/>
                      <w:szCs w:val="21"/>
                      <w:u w:val="single"/>
                      <w:vertAlign w:val="superscript"/>
                      <w:lang w:val="en-US" w:eastAsia="zh-CN"/>
                    </w:rPr>
                    <w:t>3</w:t>
                  </w:r>
                  <w:r>
                    <w:rPr>
                      <w:rFonts w:hint="eastAsia" w:cs="Times New Roman"/>
                      <w:color w:val="auto"/>
                      <w:sz w:val="21"/>
                      <w:szCs w:val="21"/>
                      <w:u w:val="single"/>
                      <w:lang w:val="en-US" w:eastAsia="zh-CN"/>
                    </w:rPr>
                    <w:t>/h）</w:t>
                  </w:r>
                </w:p>
              </w:tc>
              <w:tc>
                <w:tcPr>
                  <w:tcW w:w="830"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highlight w:val="none"/>
                      <w:u w:val="single"/>
                      <w:lang w:val="en-US" w:eastAsia="zh-CN"/>
                    </w:rPr>
                    <w:t>0.00288</w:t>
                  </w:r>
                </w:p>
              </w:tc>
              <w:tc>
                <w:tcPr>
                  <w:tcW w:w="882"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highlight w:val="none"/>
                      <w:u w:val="single"/>
                      <w:lang w:val="en-US" w:eastAsia="zh-CN"/>
                    </w:rPr>
                    <w:t>5.76*10</w:t>
                  </w:r>
                  <w:r>
                    <w:rPr>
                      <w:rFonts w:hint="eastAsia" w:cs="Times New Roman"/>
                      <w:color w:val="auto"/>
                      <w:kern w:val="0"/>
                      <w:sz w:val="21"/>
                      <w:szCs w:val="21"/>
                      <w:highlight w:val="none"/>
                      <w:u w:val="single"/>
                      <w:vertAlign w:val="superscript"/>
                      <w:lang w:val="en-US" w:eastAsia="zh-CN"/>
                    </w:rPr>
                    <w:t>-5</w:t>
                  </w:r>
                </w:p>
              </w:tc>
              <w:tc>
                <w:tcPr>
                  <w:tcW w:w="620" w:type="dxa"/>
                  <w:tcBorders>
                    <w:right w:val="single" w:color="auto" w:sz="4" w:space="0"/>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bidi="ar-SA"/>
                    </w:rPr>
                    <w:t>0.000126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55" w:hRule="atLeast"/>
                <w:jc w:val="center"/>
              </w:trPr>
              <w:tc>
                <w:tcPr>
                  <w:tcW w:w="642" w:type="dxa"/>
                  <w:vMerge w:val="continue"/>
                  <w:tcBorders>
                    <w:left w:val="single" w:color="auto" w:sz="4" w:space="0"/>
                    <w:tl2br w:val="nil"/>
                    <w:tr2bl w:val="nil"/>
                  </w:tcBorders>
                  <w:noWrap w:val="0"/>
                  <w:vAlign w:val="center"/>
                </w:tcPr>
                <w:p>
                  <w:pPr>
                    <w:jc w:val="center"/>
                  </w:pPr>
                </w:p>
              </w:tc>
              <w:tc>
                <w:tcPr>
                  <w:tcW w:w="608" w:type="dxa"/>
                  <w:vMerge w:val="continue"/>
                  <w:tcBorders>
                    <w:tl2br w:val="nil"/>
                    <w:tr2bl w:val="nil"/>
                  </w:tcBorders>
                  <w:noWrap w:val="0"/>
                  <w:vAlign w:val="center"/>
                </w:tcPr>
                <w:p>
                  <w:pPr>
                    <w:jc w:val="center"/>
                  </w:pPr>
                </w:p>
              </w:tc>
              <w:tc>
                <w:tcPr>
                  <w:tcW w:w="695" w:type="dxa"/>
                  <w:vMerge w:val="continue"/>
                  <w:tcBorders>
                    <w:tl2br w:val="nil"/>
                    <w:tr2bl w:val="nil"/>
                  </w:tcBorders>
                  <w:noWrap w:val="0"/>
                  <w:vAlign w:val="center"/>
                </w:tcPr>
                <w:p>
                  <w:pPr>
                    <w:jc w:val="center"/>
                  </w:pPr>
                </w:p>
              </w:tc>
              <w:tc>
                <w:tcPr>
                  <w:tcW w:w="1146" w:type="dxa"/>
                  <w:tcBorders>
                    <w:tl2br w:val="nil"/>
                    <w:tr2bl w:val="nil"/>
                  </w:tcBorders>
                  <w:noWrap w:val="0"/>
                  <w:vAlign w:val="center"/>
                </w:tcPr>
                <w:p>
                  <w:pPr>
                    <w:jc w:val="center"/>
                    <w:rPr>
                      <w:rFonts w:hint="eastAsia"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bidi="ar-SA"/>
                    </w:rPr>
                    <w:t>0.000032</w:t>
                  </w:r>
                </w:p>
              </w:tc>
              <w:tc>
                <w:tcPr>
                  <w:tcW w:w="114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cs="Times New Roman"/>
                      <w:color w:val="auto"/>
                      <w:kern w:val="0"/>
                      <w:sz w:val="21"/>
                      <w:szCs w:val="21"/>
                      <w:u w:val="single"/>
                      <w:lang w:val="en-US" w:eastAsia="zh-CN" w:bidi="ar-SA"/>
                    </w:rPr>
                  </w:pPr>
                  <w:r>
                    <w:rPr>
                      <w:rFonts w:hint="eastAsia" w:cs="Times New Roman"/>
                      <w:color w:val="auto"/>
                      <w:sz w:val="21"/>
                      <w:szCs w:val="21"/>
                      <w:u w:val="single"/>
                      <w:lang w:val="en-US" w:eastAsia="zh-CN"/>
                    </w:rPr>
                    <w:t>无组织</w:t>
                  </w:r>
                </w:p>
              </w:tc>
              <w:tc>
                <w:tcPr>
                  <w:tcW w:w="1986" w:type="dxa"/>
                  <w:vMerge w:val="continue"/>
                  <w:tcBorders>
                    <w:tl2br w:val="nil"/>
                    <w:tr2bl w:val="nil"/>
                  </w:tcBorders>
                  <w:noWrap w:val="0"/>
                  <w:vAlign w:val="center"/>
                </w:tcPr>
                <w:p>
                  <w:pPr>
                    <w:jc w:val="center"/>
                    <w:rPr>
                      <w:rFonts w:hint="eastAsia" w:cs="Times New Roman"/>
                      <w:color w:val="auto"/>
                      <w:kern w:val="0"/>
                      <w:sz w:val="21"/>
                      <w:szCs w:val="21"/>
                      <w:u w:val="single"/>
                      <w:lang w:val="en-US" w:eastAsia="zh-CN" w:bidi="ar-SA"/>
                    </w:rPr>
                  </w:pPr>
                </w:p>
              </w:tc>
              <w:tc>
                <w:tcPr>
                  <w:tcW w:w="830" w:type="dxa"/>
                  <w:tcBorders>
                    <w:tl2br w:val="nil"/>
                    <w:tr2bl w:val="nil"/>
                  </w:tcBorders>
                  <w:noWrap w:val="0"/>
                  <w:vAlign w:val="center"/>
                </w:tcPr>
                <w:p>
                  <w:pPr>
                    <w:jc w:val="center"/>
                    <w:rPr>
                      <w:rFonts w:hint="eastAsia" w:cs="Times New Roman"/>
                      <w:color w:val="auto"/>
                      <w:kern w:val="0"/>
                      <w:sz w:val="21"/>
                      <w:szCs w:val="21"/>
                      <w:u w:val="single"/>
                      <w:lang w:val="en-US" w:eastAsia="zh-CN" w:bidi="ar-SA"/>
                    </w:rPr>
                  </w:pPr>
                  <w:r>
                    <w:rPr>
                      <w:rFonts w:hint="eastAsia" w:cs="Times New Roman"/>
                      <w:color w:val="auto"/>
                      <w:sz w:val="21"/>
                      <w:szCs w:val="21"/>
                      <w:highlight w:val="none"/>
                      <w:u w:val="single"/>
                      <w:lang w:val="en-US" w:eastAsia="zh-CN"/>
                    </w:rPr>
                    <w:t>0.0016</w:t>
                  </w:r>
                </w:p>
              </w:tc>
              <w:tc>
                <w:tcPr>
                  <w:tcW w:w="882" w:type="dxa"/>
                  <w:tcBorders>
                    <w:tl2br w:val="nil"/>
                    <w:tr2bl w:val="nil"/>
                  </w:tcBorders>
                  <w:noWrap w:val="0"/>
                  <w:vAlign w:val="center"/>
                </w:tcPr>
                <w:p>
                  <w:pPr>
                    <w:jc w:val="center"/>
                    <w:rPr>
                      <w:rFonts w:hint="eastAsia"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rPr>
                    <w:t>/</w:t>
                  </w:r>
                </w:p>
              </w:tc>
              <w:tc>
                <w:tcPr>
                  <w:tcW w:w="620" w:type="dxa"/>
                  <w:tcBorders>
                    <w:right w:val="single" w:color="auto" w:sz="4" w:space="0"/>
                    <w:tl2br w:val="nil"/>
                    <w:tr2bl w:val="nil"/>
                  </w:tcBorders>
                  <w:noWrap w:val="0"/>
                  <w:vAlign w:val="center"/>
                </w:tcPr>
                <w:p>
                  <w:pPr>
                    <w:jc w:val="center"/>
                    <w:rPr>
                      <w:rFonts w:hint="eastAsia"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4" w:hRule="atLeast"/>
                <w:jc w:val="center"/>
              </w:trPr>
              <w:tc>
                <w:tcPr>
                  <w:tcW w:w="642" w:type="dxa"/>
                  <w:tcBorders>
                    <w:left w:val="single" w:color="auto" w:sz="4" w:space="0"/>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kern w:val="0"/>
                      <w:sz w:val="21"/>
                      <w:szCs w:val="21"/>
                      <w:u w:val="none"/>
                    </w:rPr>
                  </w:pPr>
                  <w:r>
                    <w:rPr>
                      <w:rFonts w:hint="eastAsia" w:cs="Times New Roman"/>
                      <w:color w:val="auto"/>
                      <w:sz w:val="21"/>
                      <w:szCs w:val="21"/>
                      <w:u w:val="none"/>
                      <w:lang w:val="en-US" w:eastAsia="zh-CN"/>
                    </w:rPr>
                    <w:t>颗粒物</w:t>
                  </w:r>
                </w:p>
              </w:tc>
              <w:tc>
                <w:tcPr>
                  <w:tcW w:w="608" w:type="dxa"/>
                  <w:tcBorders>
                    <w:tl2br w:val="nil"/>
                    <w:tr2bl w:val="nil"/>
                  </w:tcBorders>
                  <w:noWrap w:val="0"/>
                  <w:vAlign w:val="center"/>
                </w:tcPr>
                <w:p>
                  <w:pPr>
                    <w:jc w:val="center"/>
                    <w:rPr>
                      <w:rFonts w:ascii="Times New Roman" w:hAnsi="Times New Roman" w:cs="Times New Roman"/>
                      <w:color w:val="auto"/>
                      <w:kern w:val="0"/>
                      <w:sz w:val="21"/>
                      <w:szCs w:val="21"/>
                      <w:u w:val="none"/>
                    </w:rPr>
                  </w:pPr>
                  <w:r>
                    <w:rPr>
                      <w:rFonts w:hint="eastAsia" w:ascii="Times New Roman" w:hAnsi="Times New Roman" w:cs="Times New Roman"/>
                      <w:color w:val="auto"/>
                      <w:kern w:val="0"/>
                      <w:sz w:val="21"/>
                      <w:szCs w:val="21"/>
                      <w:u w:val="none"/>
                      <w:lang w:val="en-US" w:eastAsia="zh-CN" w:bidi="ar-SA"/>
                    </w:rPr>
                    <w:t>/</w:t>
                  </w:r>
                </w:p>
              </w:tc>
              <w:tc>
                <w:tcPr>
                  <w:tcW w:w="695"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bidi="ar-SA"/>
                    </w:rPr>
                    <w:t>0.305</w:t>
                  </w:r>
                </w:p>
              </w:tc>
              <w:tc>
                <w:tcPr>
                  <w:tcW w:w="1146" w:type="dxa"/>
                  <w:tcBorders>
                    <w:tl2br w:val="nil"/>
                    <w:tr2bl w:val="nil"/>
                  </w:tcBorders>
                  <w:noWrap w:val="0"/>
                  <w:vAlign w:val="center"/>
                </w:tcPr>
                <w:p>
                  <w:pPr>
                    <w:jc w:val="center"/>
                    <w:rPr>
                      <w:rFonts w:hint="eastAsia"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rPr>
                    <w:t>/</w:t>
                  </w:r>
                </w:p>
              </w:tc>
              <w:tc>
                <w:tcPr>
                  <w:tcW w:w="114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kern w:val="0"/>
                      <w:sz w:val="21"/>
                      <w:szCs w:val="21"/>
                      <w:u w:val="single"/>
                    </w:rPr>
                  </w:pPr>
                  <w:r>
                    <w:rPr>
                      <w:rFonts w:hint="eastAsia" w:cs="Times New Roman"/>
                      <w:color w:val="auto"/>
                      <w:sz w:val="21"/>
                      <w:szCs w:val="21"/>
                      <w:u w:val="single"/>
                      <w:lang w:val="en-US" w:eastAsia="zh-CN"/>
                    </w:rPr>
                    <w:t>无</w:t>
                  </w:r>
                  <w:r>
                    <w:rPr>
                      <w:rFonts w:ascii="Times New Roman" w:hAnsi="Times New Roman" w:cs="Times New Roman"/>
                      <w:color w:val="auto"/>
                      <w:sz w:val="21"/>
                      <w:szCs w:val="21"/>
                      <w:u w:val="single"/>
                    </w:rPr>
                    <w:t>组织</w:t>
                  </w:r>
                </w:p>
              </w:tc>
              <w:tc>
                <w:tcPr>
                  <w:tcW w:w="198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auto"/>
                      <w:kern w:val="0"/>
                      <w:sz w:val="21"/>
                      <w:szCs w:val="21"/>
                      <w:u w:val="single"/>
                      <w:lang w:eastAsia="zh-CN"/>
                    </w:rPr>
                  </w:pPr>
                  <w:r>
                    <w:rPr>
                      <w:rFonts w:hint="eastAsia" w:cs="Times New Roman"/>
                      <w:color w:val="auto"/>
                      <w:sz w:val="21"/>
                      <w:szCs w:val="21"/>
                      <w:u w:val="single"/>
                      <w:lang w:val="en-US" w:eastAsia="zh-CN"/>
                    </w:rPr>
                    <w:t>车间上方安装喷干雾装置</w:t>
                  </w:r>
                </w:p>
              </w:tc>
              <w:tc>
                <w:tcPr>
                  <w:tcW w:w="830"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sz w:val="21"/>
                      <w:szCs w:val="21"/>
                      <w:u w:val="single"/>
                      <w:lang w:val="en-US" w:eastAsia="zh-CN"/>
                    </w:rPr>
                    <w:t>0.0305</w:t>
                  </w:r>
                </w:p>
              </w:tc>
              <w:tc>
                <w:tcPr>
                  <w:tcW w:w="882"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highlight w:val="none"/>
                      <w:u w:val="single"/>
                      <w:lang w:val="en-US" w:eastAsia="zh-CN"/>
                    </w:rPr>
                    <w:t>/</w:t>
                  </w:r>
                </w:p>
              </w:tc>
              <w:tc>
                <w:tcPr>
                  <w:tcW w:w="620" w:type="dxa"/>
                  <w:tcBorders>
                    <w:right w:val="single" w:color="auto" w:sz="4" w:space="0"/>
                    <w:tl2br w:val="nil"/>
                    <w:tr2bl w:val="nil"/>
                  </w:tcBorders>
                  <w:noWrap w:val="0"/>
                  <w:vAlign w:val="center"/>
                </w:tcPr>
                <w:p>
                  <w:pPr>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highlight w:val="none"/>
                      <w:u w:val="single"/>
                      <w:lang w:val="en-US" w:eastAsia="zh-CN"/>
                    </w:rPr>
                    <w:t>/</w:t>
                  </w:r>
                </w:p>
              </w:tc>
            </w:tr>
          </w:tbl>
          <w:p>
            <w:pPr>
              <w:keepNext w:val="0"/>
              <w:keepLines w:val="0"/>
              <w:pageBreakBefore w:val="0"/>
              <w:widowControl w:val="0"/>
              <w:kinsoku/>
              <w:wordWrap/>
              <w:overflowPunct/>
              <w:topLinePunct w:val="0"/>
              <w:autoSpaceDE/>
              <w:autoSpaceDN/>
              <w:bidi w:val="0"/>
              <w:adjustRightInd/>
              <w:snapToGrid/>
              <w:spacing w:line="500" w:lineRule="exact"/>
              <w:ind w:left="481" w:leftChars="229" w:firstLine="0" w:firstLineChars="0"/>
              <w:textAlignment w:val="auto"/>
              <w:rPr>
                <w:rFonts w:ascii="Times New Roman" w:hAnsi="Times New Roman" w:cs="Times New Roman"/>
                <w:b/>
                <w:color w:val="auto"/>
                <w:sz w:val="24"/>
              </w:rPr>
            </w:pPr>
            <w:r>
              <w:rPr>
                <w:rFonts w:hint="eastAsia" w:ascii="Times New Roman" w:hAnsi="Times New Roman" w:cs="Times New Roman"/>
                <w:b/>
                <w:color w:val="auto"/>
                <w:sz w:val="24"/>
                <w:lang w:val="en-US" w:eastAsia="zh-CN"/>
              </w:rPr>
              <w:t xml:space="preserve">1.4 </w:t>
            </w:r>
            <w:r>
              <w:rPr>
                <w:rFonts w:ascii="Times New Roman" w:hAnsi="Times New Roman" w:cs="Times New Roman"/>
                <w:b/>
                <w:color w:val="auto"/>
                <w:sz w:val="24"/>
              </w:rPr>
              <w:t>废气排放口情况</w:t>
            </w:r>
          </w:p>
          <w:p>
            <w:pPr>
              <w:pStyle w:val="7"/>
              <w:widowControl w:val="0"/>
              <w:numPr>
                <w:ilvl w:val="0"/>
                <w:numId w:val="0"/>
              </w:numPr>
              <w:spacing w:line="520" w:lineRule="exact"/>
              <w:jc w:val="center"/>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w:t>
            </w:r>
            <w:r>
              <w:rPr>
                <w:rFonts w:hint="eastAsia" w:eastAsia="黑体" w:cs="Times New Roman"/>
                <w:b w:val="0"/>
                <w:bCs w:val="0"/>
                <w:color w:val="auto"/>
                <w:sz w:val="24"/>
                <w:szCs w:val="24"/>
                <w:lang w:val="en-US" w:eastAsia="zh-CN"/>
              </w:rPr>
              <w:t>37</w:t>
            </w:r>
            <w:r>
              <w:rPr>
                <w:rFonts w:hint="eastAsia" w:ascii="Times New Roman" w:hAnsi="Times New Roman" w:eastAsia="黑体" w:cs="Times New Roman"/>
                <w:b w:val="0"/>
                <w:bCs w:val="0"/>
                <w:color w:val="auto"/>
                <w:sz w:val="24"/>
                <w:szCs w:val="24"/>
                <w:lang w:val="en-US" w:eastAsia="zh-CN"/>
              </w:rPr>
              <w:t xml:space="preserve"> 排放口基本情况表</w:t>
            </w:r>
          </w:p>
          <w:tbl>
            <w:tblPr>
              <w:tblStyle w:val="28"/>
              <w:tblW w:w="85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
              <w:gridCol w:w="878"/>
              <w:gridCol w:w="953"/>
              <w:gridCol w:w="1005"/>
              <w:gridCol w:w="1391"/>
              <w:gridCol w:w="1206"/>
              <w:gridCol w:w="847"/>
              <w:gridCol w:w="1021"/>
              <w:gridCol w:w="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260" w:type="pct"/>
                  <w:vMerge w:val="restar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序号</w:t>
                  </w:r>
                </w:p>
              </w:tc>
              <w:tc>
                <w:tcPr>
                  <w:tcW w:w="514" w:type="pct"/>
                  <w:vMerge w:val="restar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排放口编号</w:t>
                  </w:r>
                </w:p>
              </w:tc>
              <w:tc>
                <w:tcPr>
                  <w:tcW w:w="558" w:type="pct"/>
                  <w:vMerge w:val="restar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名称</w:t>
                  </w:r>
                </w:p>
              </w:tc>
              <w:tc>
                <w:tcPr>
                  <w:tcW w:w="588" w:type="pct"/>
                  <w:vMerge w:val="restar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污染物</w:t>
                  </w:r>
                </w:p>
              </w:tc>
              <w:tc>
                <w:tcPr>
                  <w:tcW w:w="1521" w:type="pct"/>
                  <w:gridSpan w:val="2"/>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坐标</w:t>
                  </w:r>
                </w:p>
              </w:tc>
              <w:tc>
                <w:tcPr>
                  <w:tcW w:w="496" w:type="pct"/>
                  <w:vMerge w:val="restart"/>
                  <w:tcBorders>
                    <w:tl2br w:val="nil"/>
                    <w:tr2bl w:val="nil"/>
                  </w:tcBorders>
                  <w:noWrap w:val="0"/>
                  <w:vAlign w:val="center"/>
                </w:tcPr>
                <w:p>
                  <w:pPr>
                    <w:pStyle w:val="87"/>
                    <w:keepNext w:val="0"/>
                    <w:keepLines w:val="0"/>
                    <w:pageBreakBefore w:val="0"/>
                    <w:widowControl w:val="0"/>
                    <w:kinsoku/>
                    <w:wordWrap/>
                    <w:overflowPunct/>
                    <w:topLinePunct w:val="0"/>
                    <w:autoSpaceDE/>
                    <w:autoSpaceDN/>
                    <w:bidi w:val="0"/>
                    <w:adjustRightInd/>
                    <w:snapToGrid/>
                    <w:spacing w:line="320" w:lineRule="exact"/>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排气筒高度/m</w:t>
                  </w:r>
                </w:p>
              </w:tc>
              <w:tc>
                <w:tcPr>
                  <w:tcW w:w="598" w:type="pct"/>
                  <w:vMerge w:val="restart"/>
                  <w:tcBorders>
                    <w:tl2br w:val="nil"/>
                    <w:tr2bl w:val="nil"/>
                  </w:tcBorders>
                  <w:noWrap w:val="0"/>
                  <w:vAlign w:val="center"/>
                </w:tcPr>
                <w:p>
                  <w:pPr>
                    <w:pStyle w:val="87"/>
                    <w:keepNext w:val="0"/>
                    <w:keepLines w:val="0"/>
                    <w:pageBreakBefore w:val="0"/>
                    <w:widowControl w:val="0"/>
                    <w:kinsoku/>
                    <w:wordWrap/>
                    <w:overflowPunct/>
                    <w:topLinePunct w:val="0"/>
                    <w:autoSpaceDE/>
                    <w:autoSpaceDN/>
                    <w:bidi w:val="0"/>
                    <w:adjustRightInd/>
                    <w:snapToGrid/>
                    <w:spacing w:line="320" w:lineRule="exact"/>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排气筒出口内径/m</w:t>
                  </w:r>
                </w:p>
              </w:tc>
              <w:tc>
                <w:tcPr>
                  <w:tcW w:w="462" w:type="pct"/>
                  <w:vMerge w:val="restart"/>
                  <w:tcBorders>
                    <w:tl2br w:val="nil"/>
                    <w:tr2bl w:val="nil"/>
                  </w:tcBorders>
                  <w:noWrap w:val="0"/>
                  <w:vAlign w:val="center"/>
                </w:tcPr>
                <w:p>
                  <w:pPr>
                    <w:pStyle w:val="87"/>
                    <w:keepNext w:val="0"/>
                    <w:keepLines w:val="0"/>
                    <w:pageBreakBefore w:val="0"/>
                    <w:widowControl w:val="0"/>
                    <w:kinsoku/>
                    <w:wordWrap/>
                    <w:overflowPunct/>
                    <w:topLinePunct w:val="0"/>
                    <w:autoSpaceDE/>
                    <w:autoSpaceDN/>
                    <w:bidi w:val="0"/>
                    <w:adjustRightInd/>
                    <w:snapToGrid/>
                    <w:spacing w:line="320" w:lineRule="exact"/>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烟气温度/℃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260" w:type="pct"/>
                  <w:vMerge w:val="continue"/>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p>
              </w:tc>
              <w:tc>
                <w:tcPr>
                  <w:tcW w:w="514" w:type="pct"/>
                  <w:vMerge w:val="continue"/>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p>
              </w:tc>
              <w:tc>
                <w:tcPr>
                  <w:tcW w:w="558" w:type="pct"/>
                  <w:vMerge w:val="continue"/>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p>
              </w:tc>
              <w:tc>
                <w:tcPr>
                  <w:tcW w:w="588" w:type="pct"/>
                  <w:vMerge w:val="continue"/>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p>
              </w:tc>
              <w:tc>
                <w:tcPr>
                  <w:tcW w:w="814" w:type="pc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经度</w:t>
                  </w:r>
                </w:p>
              </w:tc>
              <w:tc>
                <w:tcPr>
                  <w:tcW w:w="706" w:type="pc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纬度</w:t>
                  </w:r>
                </w:p>
              </w:tc>
              <w:tc>
                <w:tcPr>
                  <w:tcW w:w="496" w:type="pct"/>
                  <w:vMerge w:val="continue"/>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p>
              </w:tc>
              <w:tc>
                <w:tcPr>
                  <w:tcW w:w="598" w:type="pct"/>
                  <w:vMerge w:val="continue"/>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p>
              </w:tc>
              <w:tc>
                <w:tcPr>
                  <w:tcW w:w="462" w:type="pct"/>
                  <w:vMerge w:val="continue"/>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4" w:hRule="atLeast"/>
              </w:trPr>
              <w:tc>
                <w:tcPr>
                  <w:tcW w:w="260" w:type="pc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514" w:type="pc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highlight w:val="none"/>
                    </w:rPr>
                    <w:t>DA00</w:t>
                  </w:r>
                  <w:r>
                    <w:rPr>
                      <w:rFonts w:hint="eastAsia" w:cs="Times New Roman"/>
                      <w:color w:val="auto"/>
                      <w:sz w:val="21"/>
                      <w:szCs w:val="21"/>
                      <w:highlight w:val="none"/>
                      <w:lang w:val="en-US" w:eastAsia="zh-CN"/>
                    </w:rPr>
                    <w:t>3</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飞灰暂存库排气筒</w:t>
                  </w:r>
                </w:p>
              </w:tc>
              <w:tc>
                <w:tcPr>
                  <w:tcW w:w="5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氨气</w:t>
                  </w:r>
                </w:p>
              </w:tc>
              <w:tc>
                <w:tcPr>
                  <w:tcW w:w="8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经度 113 度 0</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 xml:space="preserve"> 分 </w:t>
                  </w:r>
                  <w:r>
                    <w:rPr>
                      <w:rFonts w:hint="eastAsia" w:cs="Times New Roman"/>
                      <w:color w:val="auto"/>
                      <w:sz w:val="21"/>
                      <w:szCs w:val="21"/>
                      <w:highlight w:val="none"/>
                      <w:lang w:val="en-US" w:eastAsia="zh-CN"/>
                    </w:rPr>
                    <w:t>86</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004</w:t>
                  </w:r>
                  <w:r>
                    <w:rPr>
                      <w:rFonts w:hint="eastAsia" w:ascii="Times New Roman" w:hAnsi="Times New Roman" w:cs="Times New Roman"/>
                      <w:color w:val="auto"/>
                      <w:sz w:val="21"/>
                      <w:szCs w:val="21"/>
                      <w:highlight w:val="none"/>
                      <w:lang w:val="en-US" w:eastAsia="zh-CN"/>
                    </w:rPr>
                    <w:t xml:space="preserve"> 秒</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 xml:space="preserve">纬度 33 度 61 分 </w:t>
                  </w:r>
                  <w:r>
                    <w:rPr>
                      <w:rFonts w:hint="eastAsia" w:cs="Times New Roman"/>
                      <w:color w:val="auto"/>
                      <w:sz w:val="21"/>
                      <w:szCs w:val="21"/>
                      <w:highlight w:val="none"/>
                      <w:lang w:val="en-US" w:eastAsia="zh-CN"/>
                    </w:rPr>
                    <w:t>36</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799</w:t>
                  </w:r>
                  <w:r>
                    <w:rPr>
                      <w:rFonts w:hint="eastAsia" w:ascii="Times New Roman" w:hAnsi="Times New Roman" w:cs="Times New Roman"/>
                      <w:color w:val="auto"/>
                      <w:sz w:val="21"/>
                      <w:szCs w:val="21"/>
                      <w:highlight w:val="none"/>
                      <w:lang w:val="en-US" w:eastAsia="zh-CN"/>
                    </w:rPr>
                    <w:t xml:space="preserve"> 秒</w:t>
                  </w:r>
                </w:p>
              </w:tc>
              <w:tc>
                <w:tcPr>
                  <w:tcW w:w="496" w:type="pct"/>
                  <w:tcBorders>
                    <w:tl2br w:val="nil"/>
                    <w:tr2bl w:val="nil"/>
                  </w:tcBorders>
                  <w:noWrap w:val="0"/>
                  <w:vAlign w:val="center"/>
                </w:tcPr>
                <w:p>
                  <w:pPr>
                    <w:pStyle w:val="87"/>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c>
                <w:tcPr>
                  <w:tcW w:w="598" w:type="pct"/>
                  <w:tcBorders>
                    <w:tl2br w:val="nil"/>
                    <w:tr2bl w:val="nil"/>
                  </w:tcBorders>
                  <w:noWrap w:val="0"/>
                  <w:vAlign w:val="center"/>
                </w:tcPr>
                <w:p>
                  <w:pPr>
                    <w:pStyle w:val="87"/>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0.3</w:t>
                  </w:r>
                </w:p>
              </w:tc>
              <w:tc>
                <w:tcPr>
                  <w:tcW w:w="462" w:type="pct"/>
                  <w:tcBorders>
                    <w:tl2br w:val="nil"/>
                    <w:tr2bl w:val="nil"/>
                  </w:tcBorders>
                  <w:noWrap w:val="0"/>
                  <w:vAlign w:val="center"/>
                </w:tcPr>
                <w:p>
                  <w:pPr>
                    <w:pStyle w:val="87"/>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25</w:t>
                  </w:r>
                </w:p>
              </w:tc>
            </w:tr>
          </w:tbl>
          <w:p>
            <w:pPr>
              <w:keepNext w:val="0"/>
              <w:keepLines w:val="0"/>
              <w:pageBreakBefore w:val="0"/>
              <w:widowControl w:val="0"/>
              <w:kinsoku/>
              <w:wordWrap/>
              <w:overflowPunct/>
              <w:topLinePunct w:val="0"/>
              <w:autoSpaceDE/>
              <w:autoSpaceDN/>
              <w:bidi w:val="0"/>
              <w:adjustRightInd/>
              <w:snapToGrid/>
              <w:spacing w:line="520" w:lineRule="exact"/>
              <w:ind w:left="902" w:leftChars="200" w:hanging="482" w:hangingChars="200"/>
              <w:textAlignment w:val="auto"/>
              <w:rPr>
                <w:rFonts w:ascii="Times New Roman" w:hAnsi="Times New Roman" w:cs="Times New Roman"/>
                <w:b/>
                <w:color w:val="auto"/>
                <w:sz w:val="24"/>
              </w:rPr>
            </w:pPr>
            <w:r>
              <w:rPr>
                <w:rFonts w:hint="eastAsia" w:ascii="Times New Roman" w:hAnsi="Times New Roman" w:cs="Times New Roman"/>
                <w:b/>
                <w:color w:val="auto"/>
                <w:sz w:val="24"/>
                <w:lang w:val="en-US" w:eastAsia="zh-CN"/>
              </w:rPr>
              <w:t>1.5</w:t>
            </w:r>
            <w:r>
              <w:rPr>
                <w:rFonts w:ascii="Times New Roman" w:hAnsi="Times New Roman" w:cs="Times New Roman"/>
                <w:b/>
                <w:color w:val="auto"/>
                <w:sz w:val="24"/>
              </w:rPr>
              <w:t>污染源监测计划</w:t>
            </w:r>
          </w:p>
          <w:p>
            <w:pPr>
              <w:pStyle w:val="41"/>
              <w:spacing w:line="440" w:lineRule="exact"/>
              <w:ind w:firstLine="0" w:firstLineChars="0"/>
              <w:jc w:val="left"/>
              <w:rPr>
                <w:rFonts w:ascii="Times New Roman" w:hAnsi="Times New Roman" w:cs="Times New Roman"/>
                <w:color w:val="auto"/>
                <w:sz w:val="24"/>
                <w:szCs w:val="24"/>
              </w:rPr>
            </w:pPr>
            <w:r>
              <w:rPr>
                <w:rFonts w:hint="eastAsia" w:ascii="Times New Roman" w:hAnsi="Times New Roman" w:eastAsia="宋体"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highlight w:val="none"/>
                <w:lang w:val="en-US" w:eastAsia="zh-CN" w:bidi="ar-SA"/>
              </w:rPr>
              <w:t xml:space="preserve"> </w:t>
            </w:r>
            <w:r>
              <w:rPr>
                <w:rFonts w:ascii="Times New Roman" w:hAnsi="Times New Roman" w:eastAsia="宋体" w:cs="Times New Roman"/>
                <w:color w:val="auto"/>
                <w:kern w:val="2"/>
                <w:sz w:val="24"/>
                <w:szCs w:val="24"/>
                <w:highlight w:val="none"/>
                <w:lang w:val="en-US" w:eastAsia="zh-CN" w:bidi="ar-SA"/>
              </w:rPr>
              <w:t>根据《排污单位自行监测技术指南总则》（HJ819-2017）及本项目排污特点，结</w:t>
            </w:r>
            <w:r>
              <w:rPr>
                <w:rFonts w:ascii="Times New Roman" w:hAnsi="Times New Roman" w:cs="Times New Roman"/>
                <w:color w:val="auto"/>
                <w:sz w:val="24"/>
                <w:szCs w:val="24"/>
                <w:highlight w:val="none"/>
              </w:rPr>
              <w:t>合本项目运行期产污特征、项目工程周围环境实际情况，制定出本项目运行期大气环境监测计划，详见下表。</w:t>
            </w:r>
          </w:p>
          <w:p>
            <w:pPr>
              <w:pStyle w:val="7"/>
              <w:widowControl w:val="0"/>
              <w:numPr>
                <w:ilvl w:val="0"/>
                <w:numId w:val="0"/>
              </w:numPr>
              <w:spacing w:line="520" w:lineRule="exact"/>
              <w:jc w:val="center"/>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w:t>
            </w:r>
            <w:r>
              <w:rPr>
                <w:rFonts w:hint="eastAsia" w:eastAsia="黑体" w:cs="Times New Roman"/>
                <w:b w:val="0"/>
                <w:bCs w:val="0"/>
                <w:color w:val="auto"/>
                <w:sz w:val="24"/>
                <w:szCs w:val="24"/>
                <w:lang w:val="en-US" w:eastAsia="zh-CN"/>
              </w:rPr>
              <w:t>38</w:t>
            </w:r>
            <w:r>
              <w:rPr>
                <w:rFonts w:hint="eastAsia" w:ascii="Times New Roman" w:hAnsi="Times New Roman" w:eastAsia="黑体" w:cs="Times New Roman"/>
                <w:b w:val="0"/>
                <w:bCs w:val="0"/>
                <w:color w:val="auto"/>
                <w:sz w:val="24"/>
                <w:szCs w:val="24"/>
                <w:lang w:val="en-US" w:eastAsia="zh-CN"/>
              </w:rPr>
              <w:t xml:space="preserve"> 废气监测计划表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1468"/>
              <w:gridCol w:w="1835"/>
              <w:gridCol w:w="1404"/>
              <w:gridCol w:w="25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715" w:type="pct"/>
                  <w:tcBorders>
                    <w:top w:val="single" w:color="auto" w:sz="4" w:space="0"/>
                    <w:left w:val="single" w:color="auto" w:sz="0"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ascii="Times New Roman" w:hAnsi="Times New Roman" w:eastAsia="宋体" w:cs="Times New Roman"/>
                      <w:b/>
                      <w:bCs/>
                      <w:color w:val="auto"/>
                      <w:kern w:val="2"/>
                      <w:sz w:val="21"/>
                      <w:szCs w:val="21"/>
                      <w:lang w:val="en-GB" w:eastAsia="zh-CN" w:bidi="ar-SA"/>
                    </w:rPr>
                  </w:pPr>
                  <w:r>
                    <w:rPr>
                      <w:rFonts w:ascii="Times New Roman" w:hAnsi="Times New Roman" w:cs="Times New Roman"/>
                      <w:b/>
                      <w:bCs/>
                      <w:color w:val="auto"/>
                      <w:sz w:val="21"/>
                      <w:szCs w:val="21"/>
                    </w:rPr>
                    <w:t>监测点位</w:t>
                  </w:r>
                </w:p>
              </w:tc>
              <w:tc>
                <w:tcPr>
                  <w:tcW w:w="861"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监测因子</w:t>
                  </w:r>
                </w:p>
              </w:tc>
              <w:tc>
                <w:tcPr>
                  <w:tcW w:w="1076"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ascii="Times New Roman" w:hAnsi="Times New Roman" w:eastAsia="宋体" w:cs="Times New Roman"/>
                      <w:b/>
                      <w:bCs/>
                      <w:color w:val="auto"/>
                      <w:kern w:val="2"/>
                      <w:sz w:val="21"/>
                      <w:szCs w:val="21"/>
                      <w:lang w:val="en-GB" w:eastAsia="zh-CN" w:bidi="ar-SA"/>
                    </w:rPr>
                  </w:pPr>
                  <w:r>
                    <w:rPr>
                      <w:rFonts w:ascii="Times New Roman" w:hAnsi="Times New Roman" w:cs="Times New Roman"/>
                      <w:b/>
                      <w:bCs/>
                      <w:color w:val="auto"/>
                      <w:sz w:val="21"/>
                      <w:szCs w:val="21"/>
                    </w:rPr>
                    <w:t>监测指标</w:t>
                  </w:r>
                </w:p>
              </w:tc>
              <w:tc>
                <w:tcPr>
                  <w:tcW w:w="823"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ascii="Times New Roman" w:hAnsi="Times New Roman" w:eastAsia="宋体" w:cs="Times New Roman"/>
                      <w:b/>
                      <w:bCs/>
                      <w:color w:val="auto"/>
                      <w:kern w:val="2"/>
                      <w:sz w:val="21"/>
                      <w:szCs w:val="21"/>
                      <w:lang w:val="en-US" w:eastAsia="zh-CN" w:bidi="ar-SA"/>
                    </w:rPr>
                  </w:pPr>
                  <w:r>
                    <w:rPr>
                      <w:rFonts w:ascii="Times New Roman" w:hAnsi="Times New Roman" w:cs="Times New Roman"/>
                      <w:b/>
                      <w:bCs/>
                      <w:color w:val="auto"/>
                      <w:sz w:val="21"/>
                      <w:szCs w:val="21"/>
                    </w:rPr>
                    <w:t>监测频次</w:t>
                  </w:r>
                </w:p>
              </w:tc>
              <w:tc>
                <w:tcPr>
                  <w:tcW w:w="1523" w:type="pct"/>
                  <w:tcBorders>
                    <w:top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ascii="Times New Roman" w:hAnsi="Times New Roman" w:eastAsia="宋体" w:cs="Times New Roman"/>
                      <w:b/>
                      <w:bCs/>
                      <w:color w:val="auto"/>
                      <w:kern w:val="2"/>
                      <w:sz w:val="21"/>
                      <w:szCs w:val="21"/>
                      <w:lang w:val="en-US" w:eastAsia="zh-CN" w:bidi="ar-SA"/>
                    </w:rPr>
                  </w:pPr>
                  <w:r>
                    <w:rPr>
                      <w:rFonts w:ascii="Times New Roman" w:hAnsi="Times New Roman" w:cs="Times New Roman"/>
                      <w:b/>
                      <w:bCs/>
                      <w:color w:val="auto"/>
                      <w:sz w:val="21"/>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715" w:type="pct"/>
                  <w:tcBorders>
                    <w:left w:val="single" w:color="auto" w:sz="4" w:space="0"/>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飞灰暂存库排气筒</w:t>
                  </w:r>
                </w:p>
              </w:tc>
              <w:tc>
                <w:tcPr>
                  <w:tcW w:w="861" w:type="pct"/>
                  <w:tcBorders>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氨气</w:t>
                  </w:r>
                </w:p>
              </w:tc>
              <w:tc>
                <w:tcPr>
                  <w:tcW w:w="10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ascii="Times New Roman" w:hAnsi="Times New Roman" w:eastAsia="宋体" w:cs="Times New Roman"/>
                      <w:color w:val="auto"/>
                      <w:kern w:val="2"/>
                      <w:sz w:val="21"/>
                      <w:szCs w:val="21"/>
                      <w:lang w:val="en-US" w:eastAsia="zh-CN" w:bidi="ar-SA"/>
                    </w:rPr>
                  </w:pPr>
                  <w:r>
                    <w:rPr>
                      <w:rFonts w:ascii="Times New Roman" w:hAnsi="Times New Roman" w:cs="Times New Roman"/>
                      <w:color w:val="auto"/>
                      <w:sz w:val="21"/>
                      <w:szCs w:val="21"/>
                    </w:rPr>
                    <w:t>废气量、排放浓度及排放速率</w:t>
                  </w:r>
                </w:p>
              </w:tc>
              <w:tc>
                <w:tcPr>
                  <w:tcW w:w="8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ascii="Times New Roman" w:hAnsi="Times New Roman" w:cs="Times New Roman"/>
                      <w:color w:val="auto"/>
                      <w:sz w:val="21"/>
                      <w:szCs w:val="21"/>
                    </w:rPr>
                    <w:t>每</w:t>
                  </w:r>
                  <w:r>
                    <w:rPr>
                      <w:rFonts w:hint="eastAsia" w:ascii="Times New Roman" w:hAnsi="Times New Roman" w:cs="Times New Roman"/>
                      <w:color w:val="auto"/>
                      <w:sz w:val="21"/>
                      <w:szCs w:val="21"/>
                      <w:lang w:val="en-US" w:eastAsia="zh-CN"/>
                    </w:rPr>
                    <w:t>年</w:t>
                  </w:r>
                  <w:r>
                    <w:rPr>
                      <w:rFonts w:ascii="Times New Roman" w:hAnsi="Times New Roman" w:cs="Times New Roman"/>
                      <w:color w:val="auto"/>
                      <w:sz w:val="21"/>
                      <w:szCs w:val="21"/>
                    </w:rPr>
                    <w:t>一次</w:t>
                  </w:r>
                </w:p>
              </w:tc>
              <w:tc>
                <w:tcPr>
                  <w:tcW w:w="1523" w:type="pc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《恶臭污染物排放标准》(GB14554-1993)表 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0" w:hRule="atLeast"/>
                <w:jc w:val="center"/>
              </w:trPr>
              <w:tc>
                <w:tcPr>
                  <w:tcW w:w="715" w:type="pct"/>
                  <w:tcBorders>
                    <w:left w:val="single" w:color="auto" w:sz="4" w:space="0"/>
                    <w:bottom w:val="single" w:color="auto" w:sz="4" w:space="0"/>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厂区上、下风向</w:t>
                  </w:r>
                </w:p>
              </w:tc>
              <w:tc>
                <w:tcPr>
                  <w:tcW w:w="861" w:type="pct"/>
                  <w:tcBorders>
                    <w:bottom w:val="single" w:color="auto" w:sz="4" w:space="0"/>
                    <w:tl2br w:val="nil"/>
                    <w:tr2bl w:val="nil"/>
                  </w:tcBorders>
                  <w:noWrap w:val="0"/>
                  <w:vAlign w:val="center"/>
                </w:tcPr>
                <w:p>
                  <w:pPr>
                    <w:pStyle w:val="70"/>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氨气、颗粒物</w:t>
                  </w:r>
                </w:p>
              </w:tc>
              <w:tc>
                <w:tcPr>
                  <w:tcW w:w="1076"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排放浓度</w:t>
                  </w:r>
                </w:p>
              </w:tc>
              <w:tc>
                <w:tcPr>
                  <w:tcW w:w="823"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每</w:t>
                  </w:r>
                  <w:r>
                    <w:rPr>
                      <w:rFonts w:hint="eastAsia" w:ascii="Times New Roman" w:hAnsi="Times New Roman" w:cs="Times New Roman"/>
                      <w:color w:val="auto"/>
                      <w:sz w:val="21"/>
                      <w:szCs w:val="21"/>
                      <w:lang w:val="en-US" w:eastAsia="zh-CN"/>
                    </w:rPr>
                    <w:t>年</w:t>
                  </w:r>
                  <w:r>
                    <w:rPr>
                      <w:rFonts w:ascii="Times New Roman" w:hAnsi="Times New Roman" w:cs="Times New Roman"/>
                      <w:color w:val="auto"/>
                      <w:sz w:val="21"/>
                      <w:szCs w:val="21"/>
                    </w:rPr>
                    <w:t>一次</w:t>
                  </w:r>
                </w:p>
              </w:tc>
              <w:tc>
                <w:tcPr>
                  <w:tcW w:w="1523" w:type="pct"/>
                  <w:tcBorders>
                    <w:bottom w:val="single" w:color="auto" w:sz="4" w:space="0"/>
                    <w:right w:val="single" w:color="auto" w:sz="4" w:space="0"/>
                    <w:tl2br w:val="nil"/>
                    <w:tr2bl w:val="nil"/>
                  </w:tcBorders>
                  <w:noWrap w:val="0"/>
                  <w:vAlign w:val="center"/>
                </w:tcPr>
                <w:p>
                  <w:pPr>
                    <w:spacing w:line="360" w:lineRule="exact"/>
                    <w:jc w:val="center"/>
                    <w:textAlignment w:val="baseline"/>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《大气污染物综合排放标准》（GB16297-1996）</w:t>
                  </w:r>
                  <w:r>
                    <w:rPr>
                      <w:rFonts w:hint="eastAsia" w:cs="Times New Roman"/>
                      <w:color w:val="auto"/>
                      <w:szCs w:val="21"/>
                      <w:lang w:val="en-US" w:eastAsia="zh-CN"/>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eastAsia" w:cs="Times New Roman"/>
                      <w:color w:val="auto"/>
                      <w:sz w:val="21"/>
                      <w:szCs w:val="21"/>
                      <w:lang w:val="en-US" w:eastAsia="zh-CN"/>
                    </w:rPr>
                  </w:pPr>
                  <w:r>
                    <w:rPr>
                      <w:rFonts w:hint="eastAsia" w:ascii="Times New Roman" w:hAnsi="Times New Roman" w:cs="Times New Roman"/>
                      <w:bCs/>
                      <w:color w:val="auto"/>
                      <w:szCs w:val="21"/>
                      <w:lang w:val="en-US" w:eastAsia="zh-CN"/>
                    </w:rPr>
                    <w:t>氨气执行《恶臭污染物排放标准》(GB14554-1993)表 1</w:t>
                  </w:r>
                </w:p>
              </w:tc>
            </w:tr>
          </w:tbl>
          <w:p>
            <w:pPr>
              <w:keepNext w:val="0"/>
              <w:keepLines w:val="0"/>
              <w:pageBreakBefore w:val="0"/>
              <w:widowControl/>
              <w:kinsoku/>
              <w:wordWrap/>
              <w:overflowPunct/>
              <w:topLinePunct w:val="0"/>
              <w:autoSpaceDE/>
              <w:autoSpaceDN/>
              <w:bidi w:val="0"/>
              <w:adjustRightInd w:val="0"/>
              <w:snapToGrid w:val="0"/>
              <w:spacing w:line="360" w:lineRule="auto"/>
              <w:ind w:left="0" w:firstLine="482" w:firstLineChars="200"/>
              <w:jc w:val="left"/>
              <w:textAlignment w:val="auto"/>
              <w:rPr>
                <w:rFonts w:ascii="Times New Roman" w:hAnsi="Times New Roman" w:cs="Times New Roman"/>
                <w:b/>
                <w:bCs/>
                <w:color w:val="auto"/>
                <w:sz w:val="24"/>
              </w:rPr>
            </w:pPr>
            <w:r>
              <w:rPr>
                <w:rFonts w:hint="eastAsia" w:ascii="Times New Roman" w:hAnsi="Times New Roman" w:cs="Times New Roman"/>
                <w:b/>
                <w:bCs/>
                <w:color w:val="auto"/>
                <w:sz w:val="24"/>
                <w:lang w:val="en-US" w:eastAsia="zh-CN"/>
              </w:rPr>
              <w:t>1.6</w:t>
            </w:r>
            <w:r>
              <w:rPr>
                <w:rFonts w:ascii="Times New Roman" w:hAnsi="Times New Roman" w:cs="Times New Roman"/>
                <w:b/>
                <w:bCs/>
                <w:color w:val="auto"/>
                <w:sz w:val="24"/>
              </w:rPr>
              <w:t>大气环境</w:t>
            </w:r>
            <w:r>
              <w:rPr>
                <w:rFonts w:ascii="Times New Roman" w:hAnsi="Times New Roman" w:cs="Times New Roman"/>
                <w:b/>
                <w:bCs/>
                <w:color w:val="auto"/>
                <w:sz w:val="24"/>
                <w:highlight w:val="none"/>
              </w:rPr>
              <w:t>影响</w:t>
            </w:r>
            <w:r>
              <w:rPr>
                <w:rFonts w:ascii="Times New Roman" w:hAnsi="Times New Roman" w:cs="Times New Roman"/>
                <w:b/>
                <w:bCs/>
                <w:color w:val="auto"/>
                <w:sz w:val="24"/>
              </w:rPr>
              <w:t>分析</w:t>
            </w:r>
          </w:p>
          <w:p>
            <w:pPr>
              <w:pStyle w:val="95"/>
              <w:snapToGrid w:val="0"/>
              <w:spacing w:line="360" w:lineRule="auto"/>
              <w:ind w:firstLine="480"/>
              <w:rPr>
                <w:rFonts w:ascii="Times New Roman" w:hAnsi="Times New Roman" w:cs="Times New Roman"/>
                <w:bCs/>
                <w:color w:val="auto"/>
                <w:szCs w:val="24"/>
              </w:rPr>
            </w:pPr>
            <w:r>
              <w:rPr>
                <w:rFonts w:ascii="Times New Roman" w:hAnsi="Times New Roman" w:eastAsia="宋体" w:cs="Times New Roman"/>
                <w:color w:val="auto"/>
                <w:kern w:val="2"/>
                <w:sz w:val="24"/>
                <w:szCs w:val="24"/>
                <w:lang w:val="en-US" w:eastAsia="zh-CN" w:bidi="ar-SA"/>
              </w:rPr>
              <w:t>根据空气现状监测结果，</w:t>
            </w:r>
            <w:r>
              <w:rPr>
                <w:rFonts w:ascii="Times New Roman" w:hAnsi="Times New Roman" w:cs="Times New Roman"/>
                <w:bCs/>
                <w:color w:val="auto"/>
                <w:szCs w:val="24"/>
              </w:rPr>
              <w:t>区域环境空气质量除PM</w:t>
            </w:r>
            <w:r>
              <w:rPr>
                <w:rFonts w:ascii="Times New Roman" w:hAnsi="Times New Roman" w:cs="Times New Roman"/>
                <w:bCs/>
                <w:color w:val="auto"/>
                <w:szCs w:val="24"/>
                <w:vertAlign w:val="subscript"/>
              </w:rPr>
              <w:t>10</w:t>
            </w:r>
            <w:r>
              <w:rPr>
                <w:rFonts w:ascii="Times New Roman" w:hAnsi="Times New Roman" w:cs="Times New Roman"/>
                <w:bCs/>
                <w:color w:val="auto"/>
                <w:szCs w:val="24"/>
              </w:rPr>
              <w:t>、PM</w:t>
            </w:r>
            <w:r>
              <w:rPr>
                <w:rFonts w:ascii="Times New Roman" w:hAnsi="Times New Roman" w:cs="Times New Roman"/>
                <w:bCs/>
                <w:color w:val="auto"/>
                <w:szCs w:val="24"/>
                <w:vertAlign w:val="subscript"/>
              </w:rPr>
              <w:t>2.5</w:t>
            </w:r>
            <w:r>
              <w:rPr>
                <w:rFonts w:ascii="Times New Roman" w:hAnsi="Times New Roman" w:cs="Times New Roman"/>
                <w:bCs/>
                <w:color w:val="auto"/>
                <w:szCs w:val="24"/>
              </w:rPr>
              <w:t>超标外，其余各监测因子均满足《环境空气质量标准》（GB3095-2012）二级标准</w:t>
            </w:r>
            <w:r>
              <w:rPr>
                <w:rFonts w:hint="eastAsia" w:ascii="Times New Roman" w:hAnsi="Times New Roman" w:cs="Times New Roman"/>
                <w:bCs/>
                <w:color w:val="auto"/>
                <w:szCs w:val="24"/>
                <w:lang w:val="en-US" w:eastAsia="zh-CN"/>
              </w:rPr>
              <w:t>及修改单</w:t>
            </w:r>
            <w:r>
              <w:rPr>
                <w:rFonts w:hint="eastAsia" w:ascii="Times New Roman" w:hAnsi="Times New Roman" w:cs="Times New Roman"/>
                <w:bCs/>
                <w:color w:val="auto"/>
                <w:szCs w:val="24"/>
              </w:rPr>
              <w:t>，因此本项目所在区域属于城市环境空气不达标区。</w:t>
            </w:r>
          </w:p>
          <w:p>
            <w:pPr>
              <w:pStyle w:val="95"/>
              <w:spacing w:line="360" w:lineRule="auto"/>
              <w:ind w:firstLine="480"/>
              <w:rPr>
                <w:rFonts w:hint="eastAsia" w:ascii="Times New Roman" w:hAnsi="Times New Roman" w:cs="Times New Roman"/>
                <w:b/>
                <w:bCs/>
                <w:color w:val="auto"/>
                <w:sz w:val="24"/>
                <w:lang w:val="en-US" w:eastAsia="zh-CN"/>
              </w:rPr>
            </w:pPr>
            <w:r>
              <w:rPr>
                <w:rFonts w:hint="default" w:ascii="Times New Roman" w:hAnsi="Times New Roman" w:cs="Times New Roman"/>
                <w:color w:val="auto"/>
                <w:lang w:val="en-US" w:eastAsia="zh-CN"/>
              </w:rPr>
              <w:t>为持续改善全市环境空气质量，打赢打好污染防治攻坚战，</w:t>
            </w:r>
            <w:r>
              <w:rPr>
                <w:rFonts w:hint="default" w:ascii="Times New Roman" w:hAnsi="Times New Roman" w:eastAsia="宋体" w:cs="Times New Roman"/>
                <w:color w:val="auto"/>
                <w:lang w:val="en-US" w:eastAsia="zh-CN"/>
              </w:rPr>
              <w:t>平顶山市生态环境保护委员会办公室</w:t>
            </w:r>
            <w:r>
              <w:rPr>
                <w:rFonts w:hint="eastAsia" w:ascii="Times New Roman" w:hAnsi="Times New Roman" w:eastAsia="宋体" w:cs="Times New Roman"/>
                <w:color w:val="auto"/>
                <w:lang w:val="en-US" w:eastAsia="zh-CN"/>
              </w:rPr>
              <w:t>发布</w:t>
            </w:r>
            <w:r>
              <w:rPr>
                <w:rFonts w:hint="default" w:ascii="Times New Roman" w:hAnsi="Times New Roman" w:eastAsia="宋体" w:cs="Times New Roman"/>
                <w:color w:val="auto"/>
                <w:lang w:val="en-US" w:eastAsia="zh-CN"/>
              </w:rPr>
              <w:t>文件</w:t>
            </w:r>
            <w:r>
              <w:rPr>
                <w:rFonts w:hint="eastAsia" w:ascii="Times New Roman" w:hAnsi="Times New Roman" w:eastAsia="宋体" w:cs="Times New Roman"/>
                <w:color w:val="auto"/>
                <w:lang w:val="en-US" w:eastAsia="zh-CN"/>
              </w:rPr>
              <w:t>《平顶山市生态环境保护委员会办公室关于印发平顶山市 2023 年蓝天保卫战实施方案的通知》</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平环委办〔2023〕13号</w:t>
            </w:r>
            <w:r>
              <w:rPr>
                <w:rFonts w:hint="default" w:ascii="Times New Roman" w:hAnsi="Times New Roman" w:eastAsia="宋体" w:cs="Times New Roman"/>
                <w:color w:val="auto"/>
                <w:lang w:val="en-US" w:eastAsia="zh-CN"/>
              </w:rPr>
              <w:t>）号）</w:t>
            </w:r>
            <w:r>
              <w:rPr>
                <w:rFonts w:hint="eastAsia" w:ascii="宋体" w:hAnsi="宋体" w:eastAsia="宋体" w:cs="宋体"/>
                <w:color w:val="auto"/>
                <w:sz w:val="24"/>
                <w:szCs w:val="24"/>
                <w:u w:val="none"/>
                <w:lang w:val="en-US" w:eastAsia="zh-CN"/>
              </w:rPr>
              <w:t>经</w:t>
            </w:r>
            <w:r>
              <w:rPr>
                <w:rFonts w:ascii="宋体" w:hAnsi="宋体" w:eastAsia="宋体" w:cs="宋体"/>
                <w:color w:val="auto"/>
                <w:sz w:val="24"/>
                <w:szCs w:val="24"/>
                <w:u w:val="none"/>
              </w:rPr>
              <w:t>全市上下认真贯彻落实攻坚方案提供各项措施和要求后，区域环境空气质量将进一步得到有效改善。</w:t>
            </w:r>
            <w:r>
              <w:rPr>
                <w:rFonts w:hint="default" w:ascii="Times New Roman" w:hAnsi="Times New Roman" w:cs="Times New Roman"/>
                <w:color w:val="auto"/>
                <w:lang w:val="en-US" w:eastAsia="zh-CN"/>
              </w:rPr>
              <w:t>同时本项目</w:t>
            </w:r>
            <w:r>
              <w:rPr>
                <w:rFonts w:hint="eastAsia" w:ascii="Times New Roman" w:hAnsi="Times New Roman" w:cs="Times New Roman"/>
                <w:color w:val="auto"/>
                <w:lang w:val="en-US" w:eastAsia="zh-CN"/>
              </w:rPr>
              <w:t>施工期、运行期确保废气达标排放，</w:t>
            </w:r>
            <w:r>
              <w:rPr>
                <w:rFonts w:hint="default" w:ascii="Times New Roman" w:hAnsi="Times New Roman" w:cs="Times New Roman"/>
                <w:color w:val="auto"/>
                <w:lang w:val="en-US" w:eastAsia="zh-CN"/>
              </w:rPr>
              <w:t>项目建设对区域环境空气质量影响较小。同时本项目</w:t>
            </w:r>
            <w:r>
              <w:rPr>
                <w:rFonts w:hint="eastAsia" w:ascii="Times New Roman" w:hAnsi="Times New Roman" w:cs="Times New Roman"/>
                <w:color w:val="auto"/>
                <w:lang w:val="en-US" w:eastAsia="zh-CN"/>
              </w:rPr>
              <w:t>施工期确保废气达标排放，运营期废气排放量较小，经处理后均达标排放，因此本</w:t>
            </w:r>
            <w:r>
              <w:rPr>
                <w:rFonts w:hint="default" w:ascii="Times New Roman" w:hAnsi="Times New Roman" w:cs="Times New Roman"/>
                <w:color w:val="auto"/>
                <w:lang w:val="en-US" w:eastAsia="zh-CN"/>
              </w:rPr>
              <w:t>项目建设对区域环境空气质量影响较小。</w:t>
            </w:r>
          </w:p>
          <w:p>
            <w:pPr>
              <w:keepNext w:val="0"/>
              <w:keepLines w:val="0"/>
              <w:pageBreakBefore w:val="0"/>
              <w:widowControl/>
              <w:kinsoku/>
              <w:wordWrap/>
              <w:overflowPunct/>
              <w:topLinePunct w:val="0"/>
              <w:autoSpaceDE/>
              <w:autoSpaceDN/>
              <w:bidi w:val="0"/>
              <w:adjustRightInd w:val="0"/>
              <w:snapToGrid w:val="0"/>
              <w:spacing w:line="360" w:lineRule="auto"/>
              <w:ind w:left="0" w:firstLine="482" w:firstLineChars="200"/>
              <w:jc w:val="left"/>
              <w:textAlignment w:val="auto"/>
              <w:rPr>
                <w:rFonts w:ascii="Times New Roman" w:hAnsi="Times New Roman" w:cs="Times New Roman"/>
                <w:b/>
                <w:bCs/>
                <w:color w:val="auto"/>
                <w:sz w:val="24"/>
              </w:rPr>
            </w:pPr>
            <w:r>
              <w:rPr>
                <w:rFonts w:hint="eastAsia" w:ascii="Times New Roman" w:hAnsi="Times New Roman" w:cs="Times New Roman"/>
                <w:b/>
                <w:bCs/>
                <w:color w:val="auto"/>
                <w:sz w:val="24"/>
                <w:lang w:val="en-US" w:eastAsia="zh-CN"/>
              </w:rPr>
              <w:t>2</w:t>
            </w:r>
            <w:r>
              <w:rPr>
                <w:rFonts w:ascii="Times New Roman" w:hAnsi="Times New Roman" w:cs="Times New Roman"/>
                <w:b/>
                <w:bCs/>
                <w:color w:val="auto"/>
                <w:sz w:val="24"/>
                <w:highlight w:val="none"/>
              </w:rPr>
              <w:t>废水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本项目飞灰</w:t>
            </w:r>
            <w:r>
              <w:rPr>
                <w:rFonts w:hint="eastAsia" w:ascii="Times New Roman" w:hAnsi="Times New Roman" w:eastAsia="宋体" w:cs="Times New Roman"/>
                <w:color w:val="auto"/>
                <w:kern w:val="2"/>
                <w:sz w:val="24"/>
                <w:szCs w:val="24"/>
                <w:lang w:val="en-US" w:eastAsia="zh-CN" w:bidi="ar-SA"/>
              </w:rPr>
              <w:t>在运输至本暂存仓之前已将其密封包装于防水吨袋内，暂存过程无渗滤液产生，</w:t>
            </w:r>
            <w:r>
              <w:rPr>
                <w:rFonts w:hint="eastAsia" w:cs="Times New Roman"/>
                <w:color w:val="auto"/>
                <w:kern w:val="2"/>
                <w:sz w:val="24"/>
                <w:szCs w:val="24"/>
                <w:lang w:val="en-US" w:eastAsia="zh-CN" w:bidi="ar-SA"/>
              </w:rPr>
              <w:t>且</w:t>
            </w:r>
            <w:r>
              <w:rPr>
                <w:rFonts w:hint="eastAsia" w:ascii="Times New Roman" w:hAnsi="Times New Roman" w:eastAsia="宋体" w:cs="Times New Roman"/>
                <w:color w:val="auto"/>
                <w:kern w:val="2"/>
                <w:sz w:val="24"/>
                <w:szCs w:val="24"/>
                <w:lang w:val="en-US" w:eastAsia="zh-CN" w:bidi="ar-SA"/>
              </w:rPr>
              <w:t>不冲洗地面，无地面冲洗水。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暂存库所在建筑顶部设计雨水收集系统，雨水通过 PVC 落水管直接进入雨水管网，不与飞灰直接接触。</w:t>
            </w:r>
          </w:p>
          <w:p>
            <w:pPr>
              <w:pStyle w:val="27"/>
              <w:spacing w:line="360" w:lineRule="auto"/>
              <w:ind w:left="0" w:leftChars="0" w:firstLine="480" w:firstLineChars="200"/>
              <w:rPr>
                <w:rFonts w:hint="default"/>
                <w:color w:val="auto"/>
                <w:u w:val="single"/>
                <w:lang w:val="en-US" w:eastAsia="zh-CN"/>
              </w:rPr>
            </w:pPr>
            <w:r>
              <w:rPr>
                <w:rFonts w:hint="eastAsia" w:ascii="Times New Roman" w:hAnsi="Times New Roman" w:eastAsia="宋体" w:cs="Times New Roman"/>
                <w:color w:val="C00000"/>
                <w:kern w:val="2"/>
                <w:sz w:val="24"/>
                <w:szCs w:val="24"/>
                <w:u w:val="single"/>
                <w:lang w:val="en-US" w:eastAsia="zh-CN" w:bidi="ar-SA"/>
              </w:rPr>
              <w:t>本项目无需新增员工，无新增生活污水产生</w:t>
            </w:r>
            <w:r>
              <w:rPr>
                <w:rFonts w:hint="eastAsia" w:cs="Times New Roman"/>
                <w:color w:val="auto"/>
                <w:kern w:val="2"/>
                <w:sz w:val="24"/>
                <w:szCs w:val="24"/>
                <w:u w:val="single"/>
                <w:lang w:val="en-US" w:eastAsia="zh-CN" w:bidi="ar-SA"/>
              </w:rPr>
              <w:t>，本项目雨水进入现有雨水收集池进行收集，运营期产生</w:t>
            </w:r>
            <w:r>
              <w:rPr>
                <w:rFonts w:hint="eastAsia" w:ascii="Times New Roman" w:hAnsi="Times New Roman" w:eastAsia="宋体" w:cs="Times New Roman"/>
                <w:color w:val="auto"/>
                <w:kern w:val="2"/>
                <w:sz w:val="24"/>
                <w:szCs w:val="24"/>
                <w:u w:val="single"/>
                <w:lang w:val="en-US" w:eastAsia="zh-CN" w:bidi="ar-SA"/>
              </w:rPr>
              <w:t>废水主要水洗塔喷淋废水，喷淋水循环使用后定期更换，</w:t>
            </w:r>
            <w:r>
              <w:rPr>
                <w:rFonts w:hint="eastAsia" w:cs="Times New Roman"/>
                <w:color w:val="auto"/>
                <w:kern w:val="2"/>
                <w:sz w:val="24"/>
                <w:szCs w:val="24"/>
                <w:u w:val="single"/>
                <w:lang w:val="en-US" w:eastAsia="zh-CN" w:bidi="ar-SA"/>
              </w:rPr>
              <w:t>经环保设施设计单位提供情况，按照氨气浓度0.016mg/Nm³，废气处理量20000m³/h。计算吸收塔内可以储至少10m³的吸收液，这个吸收液可以循环使用，可以循环10天，十天更换一次吸收液，更换一次水量大概10吨，估算出本项目</w:t>
            </w:r>
            <w:r>
              <w:rPr>
                <w:rFonts w:hint="eastAsia" w:ascii="Times New Roman" w:hAnsi="Times New Roman" w:eastAsia="宋体" w:cs="Times New Roman"/>
                <w:color w:val="auto"/>
                <w:kern w:val="2"/>
                <w:sz w:val="24"/>
                <w:szCs w:val="24"/>
                <w:u w:val="single"/>
                <w:lang w:val="en-US" w:eastAsia="zh-CN" w:bidi="ar-SA"/>
              </w:rPr>
              <w:t>每天更换量为</w:t>
            </w:r>
            <w:r>
              <w:rPr>
                <w:rFonts w:hint="eastAsia" w:cs="Times New Roman"/>
                <w:color w:val="auto"/>
                <w:kern w:val="2"/>
                <w:sz w:val="24"/>
                <w:szCs w:val="24"/>
                <w:u w:val="single"/>
                <w:lang w:val="en-US" w:eastAsia="zh-CN" w:bidi="ar-SA"/>
              </w:rPr>
              <w:t>1</w:t>
            </w:r>
            <w:r>
              <w:rPr>
                <w:rFonts w:hint="eastAsia" w:ascii="Times New Roman" w:hAnsi="Times New Roman" w:eastAsia="宋体" w:cs="Times New Roman"/>
                <w:color w:val="auto"/>
                <w:kern w:val="2"/>
                <w:sz w:val="24"/>
                <w:szCs w:val="24"/>
                <w:u w:val="single"/>
                <w:lang w:val="en-US" w:eastAsia="zh-CN" w:bidi="ar-SA"/>
              </w:rPr>
              <w:t>吨，主要含有氨氮拟排入</w:t>
            </w:r>
            <w:r>
              <w:rPr>
                <w:rFonts w:hint="eastAsia" w:cs="Times New Roman"/>
                <w:color w:val="auto"/>
                <w:kern w:val="2"/>
                <w:sz w:val="24"/>
                <w:szCs w:val="24"/>
                <w:u w:val="single"/>
                <w:lang w:val="en-US" w:eastAsia="zh-CN" w:bidi="ar-SA"/>
              </w:rPr>
              <w:t>现有工程工业废水</w:t>
            </w:r>
            <w:r>
              <w:rPr>
                <w:rFonts w:hint="eastAsia" w:ascii="Times New Roman" w:hAnsi="Times New Roman" w:eastAsia="宋体" w:cs="Times New Roman"/>
                <w:color w:val="auto"/>
                <w:kern w:val="2"/>
                <w:sz w:val="24"/>
                <w:szCs w:val="24"/>
                <w:u w:val="single"/>
                <w:lang w:val="en-US" w:eastAsia="zh-CN" w:bidi="ar-SA"/>
              </w:rPr>
              <w:t>处理站。</w:t>
            </w:r>
            <w:r>
              <w:rPr>
                <w:rFonts w:hint="eastAsia" w:cs="Times New Roman"/>
                <w:color w:val="auto"/>
                <w:kern w:val="2"/>
                <w:sz w:val="24"/>
                <w:szCs w:val="24"/>
                <w:u w:val="single"/>
                <w:lang w:val="en-US" w:eastAsia="zh-CN" w:bidi="ar-SA"/>
              </w:rPr>
              <w:t>现有工程工业废水</w:t>
            </w:r>
            <w:r>
              <w:rPr>
                <w:rFonts w:hint="eastAsia" w:ascii="Times New Roman" w:hAnsi="Times New Roman" w:eastAsia="宋体" w:cs="Times New Roman"/>
                <w:color w:val="auto"/>
                <w:kern w:val="2"/>
                <w:sz w:val="24"/>
                <w:szCs w:val="24"/>
                <w:u w:val="single"/>
                <w:lang w:val="en-US" w:eastAsia="zh-CN" w:bidi="ar-SA"/>
              </w:rPr>
              <w:t>处理站处理措施为：</w:t>
            </w:r>
            <w:r>
              <w:rPr>
                <w:u w:val="single"/>
              </w:rPr>
              <w:t>垃圾渗滤液以及卸料大厅冲洗废水进入渗滤液处理站处理，采用“UASB厌氧</w:t>
            </w:r>
            <w:r>
              <w:rPr>
                <w:u w:val="single"/>
                <w:lang w:val="de-DE"/>
              </w:rPr>
              <w:t>反应器＋MBR生化处理系统</w:t>
            </w:r>
            <w:r>
              <w:rPr>
                <w:u w:val="single"/>
              </w:rPr>
              <w:t>＋</w:t>
            </w:r>
            <w:r>
              <w:rPr>
                <w:u w:val="single"/>
                <w:lang w:val="de-DE"/>
              </w:rPr>
              <w:t>NF</w:t>
            </w:r>
            <w:r>
              <w:rPr>
                <w:u w:val="single"/>
              </w:rPr>
              <w:t>纳滤+RO反渗透”工艺，设计处理规模200m</w:t>
            </w:r>
            <w:r>
              <w:rPr>
                <w:u w:val="single"/>
                <w:vertAlign w:val="superscript"/>
              </w:rPr>
              <w:t>3</w:t>
            </w:r>
            <w:r>
              <w:rPr>
                <w:u w:val="single"/>
              </w:rPr>
              <w:t>/d</w:t>
            </w:r>
            <w:r>
              <w:rPr>
                <w:rFonts w:hint="eastAsia" w:ascii="Times New Roman" w:hAnsi="Times New Roman" w:eastAsia="宋体" w:cs="Times New Roman"/>
                <w:color w:val="auto"/>
                <w:kern w:val="2"/>
                <w:sz w:val="24"/>
                <w:szCs w:val="24"/>
                <w:u w:val="single"/>
                <w:lang w:val="en-US" w:eastAsia="zh-CN" w:bidi="ar-SA"/>
              </w:rPr>
              <w:t>，</w:t>
            </w:r>
            <w:r>
              <w:rPr>
                <w:rFonts w:hint="eastAsia" w:ascii="Times New Roman" w:hAnsi="Times New Roman" w:eastAsia="宋体" w:cs="Times New Roman"/>
                <w:u w:val="single"/>
                <w:lang w:val="en-US" w:eastAsia="zh-CN"/>
              </w:rPr>
              <w:t>垃圾渗滤液废处理站出水执行《城市污水再生利用 工业用水水质》（GB/T19923-2005）中洗涤用水、敞开式循环冷却水系统补充水、锅炉补给水标准、工艺与产品用水相关标准要求。</w:t>
            </w:r>
            <w:r>
              <w:rPr>
                <w:rFonts w:hint="eastAsia" w:cs="Times New Roman"/>
                <w:color w:val="auto"/>
                <w:kern w:val="2"/>
                <w:sz w:val="24"/>
                <w:szCs w:val="24"/>
                <w:u w:val="single"/>
                <w:lang w:val="en-US" w:eastAsia="zh-CN" w:bidi="ar-SA"/>
              </w:rPr>
              <w:t>根据现有工程生产废水</w:t>
            </w:r>
            <w:r>
              <w:rPr>
                <w:rFonts w:hint="eastAsia" w:ascii="Times New Roman" w:hAnsi="Times New Roman" w:eastAsia="宋体" w:cs="Times New Roman"/>
                <w:color w:val="auto"/>
                <w:kern w:val="2"/>
                <w:sz w:val="24"/>
                <w:szCs w:val="24"/>
                <w:u w:val="single"/>
                <w:lang w:val="en-US" w:eastAsia="zh-CN" w:bidi="ar-SA"/>
              </w:rPr>
              <w:t>处理站目前最大处理量</w:t>
            </w:r>
            <w:r>
              <w:rPr>
                <w:rFonts w:hint="eastAsia" w:cs="Times New Roman"/>
                <w:color w:val="auto"/>
                <w:kern w:val="2"/>
                <w:sz w:val="24"/>
                <w:szCs w:val="24"/>
                <w:u w:val="single"/>
                <w:lang w:val="en-US" w:eastAsia="zh-CN" w:bidi="ar-SA"/>
              </w:rPr>
              <w:t>可知</w:t>
            </w:r>
            <w:r>
              <w:rPr>
                <w:rFonts w:hint="eastAsia" w:ascii="Times New Roman" w:hAnsi="Times New Roman" w:eastAsia="宋体" w:cs="Times New Roman"/>
                <w:color w:val="auto"/>
                <w:kern w:val="2"/>
                <w:sz w:val="24"/>
                <w:szCs w:val="24"/>
                <w:u w:val="single"/>
                <w:lang w:val="en-US" w:eastAsia="zh-CN" w:bidi="ar-SA"/>
              </w:rPr>
              <w:t>，</w:t>
            </w:r>
            <w:r>
              <w:rPr>
                <w:rFonts w:hint="eastAsia" w:cs="Times New Roman"/>
                <w:color w:val="auto"/>
                <w:kern w:val="2"/>
                <w:sz w:val="24"/>
                <w:szCs w:val="24"/>
                <w:u w:val="single"/>
                <w:lang w:val="en-US" w:eastAsia="zh-CN" w:bidi="ar-SA"/>
              </w:rPr>
              <w:t>丰水期（雨季）平均处理180m³/d，枯水期平均65m³/d，因此，最小剩余处理量为20m³/d，最大剩余处理量为135m³/d，且本项目排放喷淋塔水量较小，因此本项目现有工程工业废水</w:t>
            </w:r>
            <w:r>
              <w:rPr>
                <w:rFonts w:hint="eastAsia" w:ascii="Times New Roman" w:hAnsi="Times New Roman" w:eastAsia="宋体" w:cs="Times New Roman"/>
                <w:color w:val="auto"/>
                <w:kern w:val="2"/>
                <w:sz w:val="24"/>
                <w:szCs w:val="24"/>
                <w:u w:val="single"/>
                <w:lang w:val="en-US" w:eastAsia="zh-CN" w:bidi="ar-SA"/>
              </w:rPr>
              <w:t>处理站完全能接纳本项目排放的喷淋废水</w:t>
            </w:r>
            <w:r>
              <w:rPr>
                <w:rFonts w:hint="eastAsia" w:cs="Times New Roman"/>
                <w:color w:val="auto"/>
                <w:kern w:val="2"/>
                <w:sz w:val="24"/>
                <w:szCs w:val="24"/>
                <w:u w:val="single"/>
                <w:lang w:val="en-US" w:eastAsia="zh-CN" w:bidi="ar-SA"/>
              </w:rPr>
              <w:t>，所以依托现有工程生产废水处理系统是可行的。</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rPr>
                <w:rFonts w:ascii="Times New Roman" w:hAnsi="Times New Roman" w:cs="Times New Roman"/>
                <w:color w:val="auto"/>
                <w:sz w:val="24"/>
              </w:rPr>
            </w:pPr>
            <w:r>
              <w:rPr>
                <w:rFonts w:hint="eastAsia" w:ascii="Times New Roman" w:hAnsi="Times New Roman" w:cs="Times New Roman"/>
                <w:b/>
                <w:bCs/>
                <w:color w:val="auto"/>
                <w:sz w:val="24"/>
                <w:lang w:val="en-US" w:eastAsia="zh-CN"/>
              </w:rPr>
              <w:t>3</w:t>
            </w:r>
            <w:r>
              <w:rPr>
                <w:rFonts w:ascii="Times New Roman" w:hAnsi="Times New Roman" w:cs="Times New Roman"/>
                <w:b/>
                <w:bCs/>
                <w:color w:val="auto"/>
                <w:sz w:val="24"/>
              </w:rPr>
              <w:t>噪声</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cs="Times New Roman"/>
                <w:color w:val="auto"/>
                <w:sz w:val="24"/>
                <w:lang w:val="en-US" w:eastAsia="zh-CN"/>
              </w:rPr>
            </w:pPr>
            <w:r>
              <w:rPr>
                <w:rFonts w:hint="eastAsia" w:ascii="Times New Roman" w:hAnsi="Times New Roman" w:cs="Times New Roman"/>
                <w:b/>
                <w:bCs/>
                <w:color w:val="auto"/>
                <w:sz w:val="24"/>
                <w:u w:val="none"/>
                <w:lang w:val="en-US" w:eastAsia="zh-CN"/>
              </w:rPr>
              <w:t>3.1</w:t>
            </w:r>
            <w:r>
              <w:rPr>
                <w:rFonts w:ascii="Times New Roman" w:hAnsi="Times New Roman" w:cs="Times New Roman"/>
                <w:b/>
                <w:bCs/>
                <w:color w:val="auto"/>
                <w:sz w:val="24"/>
                <w:u w:val="none"/>
              </w:rPr>
              <w:t>噪声污染源及治理措施</w:t>
            </w:r>
          </w:p>
          <w:p>
            <w:pPr>
              <w:keepNext w:val="0"/>
              <w:keepLines w:val="0"/>
              <w:pageBreakBefore w:val="0"/>
              <w:widowControl w:val="0"/>
              <w:kinsoku/>
              <w:wordWrap/>
              <w:overflowPunct/>
              <w:topLinePunct w:val="0"/>
              <w:autoSpaceDE/>
              <w:autoSpaceDN/>
              <w:bidi w:val="0"/>
              <w:spacing w:line="360" w:lineRule="auto"/>
              <w:ind w:firstLine="480" w:firstLineChars="200"/>
              <w:textAlignment w:val="baseline"/>
              <w:rPr>
                <w:rFonts w:hint="eastAsia" w:cs="Times New Roman"/>
                <w:color w:val="auto"/>
                <w:sz w:val="24"/>
                <w:lang w:val="en-US" w:eastAsia="zh-CN"/>
              </w:rPr>
            </w:pPr>
            <w:r>
              <w:rPr>
                <w:rFonts w:hint="eastAsia" w:cs="Times New Roman"/>
                <w:color w:val="auto"/>
                <w:sz w:val="24"/>
                <w:lang w:val="en-US" w:eastAsia="zh-CN"/>
              </w:rPr>
              <w:t>本项目为飞灰暂存项目，即将现有工程产生的飞灰，运输至本项目扩建的飞灰库中暂存，本项目仅有的噪声设备为风机(噪声源强约 70~80dB)和搬运工程中车辆运输(噪声源强约 60~70dB)产生的噪声。</w:t>
            </w:r>
          </w:p>
          <w:p>
            <w:pPr>
              <w:widowControl/>
              <w:adjustRightInd w:val="0"/>
              <w:snapToGrid w:val="0"/>
              <w:spacing w:line="360" w:lineRule="auto"/>
              <w:ind w:firstLine="480" w:firstLineChars="200"/>
              <w:jc w:val="left"/>
              <w:rPr>
                <w:rFonts w:hAnsi="宋体"/>
                <w:color w:val="auto"/>
                <w:sz w:val="24"/>
                <w:szCs w:val="24"/>
              </w:rPr>
            </w:pPr>
            <w:r>
              <w:rPr>
                <w:rFonts w:hint="eastAsia" w:ascii="Times New Roman" w:hAnsi="Times New Roman" w:eastAsia="宋体" w:cs="Times New Roman"/>
                <w:color w:val="auto"/>
                <w:kern w:val="2"/>
                <w:sz w:val="24"/>
                <w:szCs w:val="24"/>
                <w:u w:val="none"/>
                <w:lang w:val="en-US" w:eastAsia="zh-CN" w:bidi="ar-SA"/>
              </w:rPr>
              <w:t>根据《环境影响评价技术导则声环境》（HJ2.4-</w:t>
            </w:r>
            <w:r>
              <w:rPr>
                <w:rFonts w:hint="default" w:ascii="Times New Roman" w:hAnsi="Times New Roman" w:eastAsia="宋体" w:cs="Times New Roman"/>
                <w:color w:val="auto"/>
                <w:kern w:val="2"/>
                <w:sz w:val="24"/>
                <w:szCs w:val="24"/>
                <w:u w:val="none"/>
                <w:lang w:val="en-US" w:eastAsia="zh-CN" w:bidi="ar-SA"/>
              </w:rPr>
              <w:t>2021</w:t>
            </w:r>
            <w:r>
              <w:rPr>
                <w:rFonts w:hint="eastAsia" w:ascii="Times New Roman" w:hAnsi="Times New Roman" w:eastAsia="宋体" w:cs="Times New Roman"/>
                <w:color w:val="auto"/>
                <w:kern w:val="2"/>
                <w:sz w:val="24"/>
                <w:szCs w:val="24"/>
                <w:u w:val="none"/>
                <w:lang w:val="en-US" w:eastAsia="zh-CN" w:bidi="ar-SA"/>
              </w:rPr>
              <w:t>）要求，本项目运营期主要噪声源设备位置及噪声源强见下表，</w:t>
            </w:r>
            <w:r>
              <w:rPr>
                <w:rFonts w:hint="default" w:ascii="Times New Roman" w:hAnsi="Times New Roman" w:eastAsia="宋体" w:cs="Times New Roman"/>
                <w:color w:val="auto"/>
                <w:kern w:val="2"/>
                <w:sz w:val="24"/>
                <w:szCs w:val="24"/>
                <w:u w:val="none"/>
                <w:lang w:val="en-US" w:eastAsia="zh-CN" w:bidi="ar-SA"/>
              </w:rPr>
              <w:t>空间位置以</w:t>
            </w:r>
            <w:r>
              <w:rPr>
                <w:rFonts w:hint="eastAsia" w:ascii="Times New Roman" w:hAnsi="Times New Roman" w:eastAsia="宋体" w:cs="Times New Roman"/>
                <w:color w:val="auto"/>
                <w:kern w:val="2"/>
                <w:sz w:val="24"/>
                <w:szCs w:val="24"/>
                <w:u w:val="none"/>
                <w:lang w:val="en-US" w:eastAsia="zh-CN" w:bidi="ar-SA"/>
              </w:rPr>
              <w:t>仓库</w:t>
            </w:r>
            <w:r>
              <w:rPr>
                <w:rFonts w:hint="eastAsia" w:ascii="Times New Roman" w:hAnsi="Times New Roman" w:cs="Times New Roman"/>
                <w:color w:val="auto"/>
                <w:kern w:val="2"/>
                <w:sz w:val="24"/>
                <w:szCs w:val="24"/>
                <w:u w:val="none"/>
                <w:lang w:val="en-US" w:eastAsia="zh-CN" w:bidi="ar-SA"/>
              </w:rPr>
              <w:t>西</w:t>
            </w:r>
            <w:r>
              <w:rPr>
                <w:rFonts w:hint="eastAsia" w:ascii="Times New Roman" w:hAnsi="Times New Roman" w:eastAsia="宋体" w:cs="Times New Roman"/>
                <w:color w:val="auto"/>
                <w:kern w:val="2"/>
                <w:sz w:val="24"/>
                <w:szCs w:val="24"/>
                <w:u w:val="none"/>
                <w:lang w:val="en-US" w:eastAsia="zh-CN" w:bidi="ar-SA"/>
              </w:rPr>
              <w:t>南角</w:t>
            </w:r>
            <w:r>
              <w:rPr>
                <w:rFonts w:hint="default" w:ascii="Times New Roman" w:hAnsi="Times New Roman" w:eastAsia="宋体" w:cs="Times New Roman"/>
                <w:color w:val="auto"/>
                <w:kern w:val="2"/>
                <w:sz w:val="24"/>
                <w:szCs w:val="24"/>
                <w:u w:val="none"/>
                <w:lang w:val="en-US" w:eastAsia="zh-CN" w:bidi="ar-SA"/>
              </w:rPr>
              <w:t>为</w:t>
            </w:r>
            <w:r>
              <w:rPr>
                <w:rFonts w:hint="eastAsia" w:ascii="Times New Roman" w:hAnsi="Times New Roman" w:eastAsia="宋体" w:cs="Times New Roman"/>
                <w:color w:val="auto"/>
                <w:kern w:val="2"/>
                <w:sz w:val="24"/>
                <w:szCs w:val="24"/>
                <w:u w:val="none"/>
                <w:lang w:val="en-US" w:eastAsia="zh-CN" w:bidi="ar-SA"/>
              </w:rPr>
              <w:t>起始点。</w:t>
            </w:r>
          </w:p>
          <w:p>
            <w:pPr>
              <w:pStyle w:val="7"/>
              <w:keepNext w:val="0"/>
              <w:keepLines w:val="0"/>
              <w:pageBreakBefore w:val="0"/>
              <w:widowControl w:val="0"/>
              <w:numPr>
                <w:ilvl w:val="0"/>
                <w:numId w:val="0"/>
              </w:numPr>
              <w:kinsoku/>
              <w:wordWrap/>
              <w:overflowPunct/>
              <w:topLinePunct w:val="0"/>
              <w:autoSpaceDE/>
              <w:autoSpaceDN/>
              <w:bidi w:val="0"/>
              <w:spacing w:line="520" w:lineRule="exact"/>
              <w:jc w:val="center"/>
              <w:textAlignment w:val="auto"/>
              <w:rPr>
                <w:rFonts w:hint="eastAsia" w:ascii="Times New Roman" w:hAnsi="Times New Roman" w:eastAsia="黑体" w:cs="Times New Roman"/>
                <w:b w:val="0"/>
                <w:bCs w:val="0"/>
                <w:color w:val="auto"/>
                <w:sz w:val="24"/>
                <w:szCs w:val="24"/>
                <w:u w:val="single"/>
                <w:lang w:val="en-US" w:eastAsia="zh-CN"/>
              </w:rPr>
            </w:pPr>
            <w:r>
              <w:rPr>
                <w:rFonts w:hint="eastAsia" w:ascii="Times New Roman" w:hAnsi="Times New Roman" w:eastAsia="黑体" w:cs="Times New Roman"/>
                <w:b w:val="0"/>
                <w:bCs w:val="0"/>
                <w:color w:val="auto"/>
                <w:sz w:val="24"/>
                <w:szCs w:val="24"/>
                <w:u w:val="single"/>
                <w:lang w:val="en-US" w:eastAsia="zh-CN"/>
              </w:rPr>
              <w:t xml:space="preserve">表39 </w:t>
            </w:r>
            <w:r>
              <w:rPr>
                <w:rFonts w:hint="eastAsia" w:eastAsia="黑体" w:cs="Times New Roman"/>
                <w:b w:val="0"/>
                <w:bCs w:val="0"/>
                <w:color w:val="auto"/>
                <w:sz w:val="24"/>
                <w:szCs w:val="24"/>
                <w:u w:val="single"/>
                <w:lang w:val="en-US" w:eastAsia="zh-CN"/>
              </w:rPr>
              <w:t xml:space="preserve">            </w:t>
            </w:r>
            <w:r>
              <w:rPr>
                <w:rFonts w:hint="eastAsia" w:ascii="Times New Roman" w:hAnsi="Times New Roman" w:eastAsia="黑体" w:cs="Times New Roman"/>
                <w:b w:val="0"/>
                <w:bCs w:val="0"/>
                <w:color w:val="auto"/>
                <w:sz w:val="24"/>
                <w:szCs w:val="24"/>
                <w:u w:val="single"/>
                <w:lang w:val="en-US" w:eastAsia="zh-CN"/>
              </w:rPr>
              <w:t>本项目主要声源调查清单</w:t>
            </w:r>
            <w:r>
              <w:rPr>
                <w:rFonts w:hint="eastAsia" w:eastAsia="黑体" w:cs="Times New Roman"/>
                <w:b w:val="0"/>
                <w:bCs w:val="0"/>
                <w:color w:val="auto"/>
                <w:sz w:val="24"/>
                <w:szCs w:val="24"/>
                <w:u w:val="single"/>
                <w:lang w:val="en-US" w:eastAsia="zh-CN"/>
              </w:rPr>
              <w:t>（室外声源）</w:t>
            </w:r>
          </w:p>
          <w:tbl>
            <w:tblPr>
              <w:tblStyle w:val="28"/>
              <w:tblW w:w="490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0"/>
              <w:gridCol w:w="1162"/>
              <w:gridCol w:w="763"/>
              <w:gridCol w:w="647"/>
              <w:gridCol w:w="668"/>
              <w:gridCol w:w="638"/>
              <w:gridCol w:w="1213"/>
              <w:gridCol w:w="2036"/>
              <w:gridCol w:w="6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346" w:type="pct"/>
                  <w:vMerge w:val="restar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ascii="Times New Roman" w:hAnsi="Times New Roman" w:cs="Times New Roman"/>
                      <w:b/>
                      <w:bCs/>
                      <w:color w:val="auto"/>
                      <w:sz w:val="21"/>
                      <w:szCs w:val="21"/>
                      <w:u w:val="single"/>
                    </w:rPr>
                    <w:t>位置</w:t>
                  </w:r>
                </w:p>
              </w:tc>
              <w:tc>
                <w:tcPr>
                  <w:tcW w:w="694" w:type="pct"/>
                  <w:vMerge w:val="restar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ascii="Times New Roman" w:hAnsi="Times New Roman" w:cs="Times New Roman"/>
                      <w:b/>
                      <w:bCs/>
                      <w:color w:val="auto"/>
                      <w:sz w:val="21"/>
                      <w:szCs w:val="21"/>
                      <w:u w:val="single"/>
                    </w:rPr>
                    <w:t>声源名称</w:t>
                  </w:r>
                </w:p>
              </w:tc>
              <w:tc>
                <w:tcPr>
                  <w:tcW w:w="455" w:type="pct"/>
                  <w:vMerge w:val="restar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cs="Times New Roman"/>
                      <w:b/>
                      <w:bCs/>
                      <w:color w:val="auto"/>
                      <w:sz w:val="21"/>
                      <w:szCs w:val="21"/>
                      <w:u w:val="single"/>
                      <w:lang w:val="en-US" w:eastAsia="zh-CN"/>
                    </w:rPr>
                    <w:t>型号</w:t>
                  </w:r>
                </w:p>
              </w:tc>
              <w:tc>
                <w:tcPr>
                  <w:tcW w:w="1166" w:type="pct"/>
                  <w:gridSpan w:val="3"/>
                  <w:tcBorders>
                    <w:tl2br w:val="nil"/>
                    <w:tr2bl w:val="nil"/>
                  </w:tcBorders>
                  <w:noWrap w:val="0"/>
                  <w:tcMar>
                    <w:left w:w="11" w:type="dxa"/>
                    <w:right w:w="11" w:type="dxa"/>
                  </w:tcMar>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hint="eastAsia" w:ascii="Times New Roman" w:hAnsi="Times New Roman" w:cs="Times New Roman"/>
                      <w:b/>
                      <w:bCs/>
                      <w:color w:val="auto"/>
                      <w:sz w:val="21"/>
                      <w:szCs w:val="21"/>
                      <w:u w:val="single"/>
                    </w:rPr>
                    <w:t>空间</w:t>
                  </w:r>
                  <w:r>
                    <w:rPr>
                      <w:rFonts w:ascii="Times New Roman" w:hAnsi="Times New Roman" w:cs="Times New Roman"/>
                      <w:b/>
                      <w:bCs/>
                      <w:color w:val="auto"/>
                      <w:sz w:val="21"/>
                      <w:szCs w:val="21"/>
                      <w:u w:val="single"/>
                    </w:rPr>
                    <w:t>相对位置</w:t>
                  </w:r>
                </w:p>
              </w:tc>
              <w:tc>
                <w:tcPr>
                  <w:tcW w:w="724" w:type="pct"/>
                  <w:tcBorders>
                    <w:tl2br w:val="nil"/>
                    <w:tr2bl w:val="nil"/>
                  </w:tcBorders>
                  <w:noWrap w:val="0"/>
                  <w:tcMar>
                    <w:left w:w="11" w:type="dxa"/>
                    <w:right w:w="11" w:type="dxa"/>
                  </w:tcMar>
                  <w:vAlign w:val="center"/>
                </w:tcPr>
                <w:p>
                  <w:pPr>
                    <w:jc w:val="center"/>
                    <w:rPr>
                      <w:rFonts w:ascii="Times New Roman" w:hAnsi="Times New Roman" w:cs="Times New Roman"/>
                      <w:b/>
                      <w:bCs/>
                      <w:color w:val="auto"/>
                      <w:sz w:val="21"/>
                      <w:szCs w:val="21"/>
                      <w:u w:val="single"/>
                    </w:rPr>
                  </w:pPr>
                  <w:r>
                    <w:rPr>
                      <w:rFonts w:hint="eastAsia" w:ascii="Times New Roman" w:hAnsi="Times New Roman" w:cs="Times New Roman"/>
                      <w:color w:val="auto"/>
                      <w:szCs w:val="21"/>
                      <w:u w:val="single"/>
                    </w:rPr>
                    <w:t>声源源强</w:t>
                  </w:r>
                </w:p>
              </w:tc>
              <w:tc>
                <w:tcPr>
                  <w:tcW w:w="1216" w:type="pct"/>
                  <w:vMerge w:val="restart"/>
                  <w:tcBorders>
                    <w:tl2br w:val="nil"/>
                    <w:tr2bl w:val="nil"/>
                  </w:tcBorders>
                  <w:noWrap w:val="0"/>
                  <w:tcMar>
                    <w:left w:w="11" w:type="dxa"/>
                    <w:right w:w="11" w:type="dxa"/>
                  </w:tcMar>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ascii="Times New Roman" w:hAnsi="Times New Roman" w:cs="Times New Roman"/>
                      <w:b/>
                      <w:bCs/>
                      <w:color w:val="auto"/>
                      <w:sz w:val="21"/>
                      <w:szCs w:val="21"/>
                      <w:u w:val="single"/>
                    </w:rPr>
                    <w:t>声源控制措施</w:t>
                  </w:r>
                </w:p>
              </w:tc>
              <w:tc>
                <w:tcPr>
                  <w:tcW w:w="395" w:type="pct"/>
                  <w:vMerge w:val="restar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hint="eastAsia" w:ascii="Times New Roman" w:hAnsi="Times New Roman" w:cs="Times New Roman"/>
                      <w:b/>
                      <w:bCs/>
                      <w:color w:val="auto"/>
                      <w:sz w:val="21"/>
                      <w:szCs w:val="21"/>
                      <w:u w:val="single"/>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46" w:type="pct"/>
                  <w:vMerge w:val="continue"/>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color w:val="auto"/>
                      <w:sz w:val="21"/>
                      <w:szCs w:val="21"/>
                      <w:u w:val="single"/>
                    </w:rPr>
                  </w:pPr>
                </w:p>
              </w:tc>
              <w:tc>
                <w:tcPr>
                  <w:tcW w:w="694" w:type="pct"/>
                  <w:vMerge w:val="continue"/>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color w:val="auto"/>
                      <w:sz w:val="21"/>
                      <w:szCs w:val="21"/>
                      <w:u w:val="single"/>
                    </w:rPr>
                  </w:pPr>
                </w:p>
              </w:tc>
              <w:tc>
                <w:tcPr>
                  <w:tcW w:w="455" w:type="pct"/>
                  <w:vMerge w:val="continue"/>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color w:val="auto"/>
                      <w:sz w:val="21"/>
                      <w:szCs w:val="21"/>
                      <w:u w:val="single"/>
                    </w:rPr>
                  </w:pPr>
                </w:p>
              </w:tc>
              <w:tc>
                <w:tcPr>
                  <w:tcW w:w="386" w:type="pct"/>
                  <w:tcBorders>
                    <w:tl2br w:val="nil"/>
                    <w:tr2bl w:val="nil"/>
                  </w:tcBorders>
                  <w:noWrap w:val="0"/>
                  <w:tcMar>
                    <w:left w:w="11" w:type="dxa"/>
                    <w:right w:w="11" w:type="dxa"/>
                  </w:tcMar>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hint="eastAsia" w:ascii="Times New Roman" w:hAnsi="Times New Roman" w:cs="Times New Roman"/>
                      <w:b/>
                      <w:bCs/>
                      <w:color w:val="auto"/>
                      <w:sz w:val="21"/>
                      <w:szCs w:val="21"/>
                      <w:u w:val="single"/>
                    </w:rPr>
                    <w:t>X</w:t>
                  </w:r>
                </w:p>
              </w:tc>
              <w:tc>
                <w:tcPr>
                  <w:tcW w:w="399" w:type="pc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hint="eastAsia" w:ascii="Times New Roman" w:hAnsi="Times New Roman" w:cs="Times New Roman"/>
                      <w:b/>
                      <w:bCs/>
                      <w:color w:val="auto"/>
                      <w:sz w:val="21"/>
                      <w:szCs w:val="21"/>
                      <w:u w:val="single"/>
                    </w:rPr>
                    <w:t>Y</w:t>
                  </w:r>
                </w:p>
              </w:tc>
              <w:tc>
                <w:tcPr>
                  <w:tcW w:w="381" w:type="pc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b/>
                      <w:bCs/>
                      <w:color w:val="auto"/>
                      <w:sz w:val="21"/>
                      <w:szCs w:val="21"/>
                      <w:u w:val="single"/>
                    </w:rPr>
                  </w:pPr>
                  <w:r>
                    <w:rPr>
                      <w:rFonts w:hint="eastAsia" w:ascii="Times New Roman" w:hAnsi="Times New Roman" w:cs="Times New Roman"/>
                      <w:b/>
                      <w:bCs/>
                      <w:color w:val="auto"/>
                      <w:sz w:val="21"/>
                      <w:szCs w:val="21"/>
                      <w:u w:val="single"/>
                    </w:rPr>
                    <w:t>Z</w:t>
                  </w:r>
                </w:p>
              </w:tc>
              <w:tc>
                <w:tcPr>
                  <w:tcW w:w="724" w:type="pct"/>
                  <w:tcBorders>
                    <w:tl2br w:val="nil"/>
                    <w:tr2bl w:val="nil"/>
                  </w:tcBorders>
                  <w:noWrap w:val="0"/>
                  <w:tcMar>
                    <w:left w:w="11" w:type="dxa"/>
                    <w:right w:w="11" w:type="dxa"/>
                  </w:tcMar>
                  <w:vAlign w:val="center"/>
                </w:tcPr>
                <w:p>
                  <w:pPr>
                    <w:jc w:val="center"/>
                    <w:rPr>
                      <w:rFonts w:ascii="Times New Roman" w:hAnsi="Times New Roman" w:cs="Times New Roman"/>
                      <w:color w:val="auto"/>
                      <w:sz w:val="21"/>
                      <w:szCs w:val="21"/>
                      <w:u w:val="single"/>
                    </w:rPr>
                  </w:pPr>
                  <w:r>
                    <w:rPr>
                      <w:rFonts w:hint="eastAsia" w:ascii="Times New Roman" w:hAnsi="Times New Roman" w:cs="Times New Roman"/>
                      <w:color w:val="auto"/>
                      <w:szCs w:val="21"/>
                      <w:u w:val="single"/>
                    </w:rPr>
                    <w:t>声功率级/dB（</w:t>
                  </w:r>
                  <w:r>
                    <w:rPr>
                      <w:rFonts w:ascii="Times New Roman" w:hAnsi="Times New Roman" w:cs="Times New Roman"/>
                      <w:color w:val="auto"/>
                      <w:szCs w:val="21"/>
                      <w:u w:val="single"/>
                    </w:rPr>
                    <w:t>A</w:t>
                  </w:r>
                  <w:r>
                    <w:rPr>
                      <w:rFonts w:hint="eastAsia" w:ascii="Times New Roman" w:hAnsi="Times New Roman" w:cs="Times New Roman"/>
                      <w:color w:val="auto"/>
                      <w:szCs w:val="21"/>
                      <w:u w:val="single"/>
                    </w:rPr>
                    <w:t>）</w:t>
                  </w:r>
                </w:p>
              </w:tc>
              <w:tc>
                <w:tcPr>
                  <w:tcW w:w="1216" w:type="pct"/>
                  <w:vMerge w:val="continue"/>
                  <w:tcBorders>
                    <w:tl2br w:val="nil"/>
                    <w:tr2bl w:val="nil"/>
                  </w:tcBorders>
                  <w:noWrap w:val="0"/>
                  <w:tcMar>
                    <w:left w:w="11" w:type="dxa"/>
                    <w:right w:w="11" w:type="dxa"/>
                  </w:tcMar>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color w:val="auto"/>
                      <w:sz w:val="21"/>
                      <w:szCs w:val="21"/>
                      <w:u w:val="single"/>
                    </w:rPr>
                  </w:pPr>
                </w:p>
              </w:tc>
              <w:tc>
                <w:tcPr>
                  <w:tcW w:w="395" w:type="pct"/>
                  <w:vMerge w:val="continue"/>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ascii="Times New Roman" w:hAnsi="Times New Roman" w:cs="Times New Roman"/>
                      <w:color w:val="auto"/>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346" w:type="pc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eastAsia" w:ascii="Times New Roman" w:hAnsi="Times New Roman" w:eastAsia="宋体" w:cs="Times New Roman"/>
                      <w:color w:val="auto"/>
                      <w:sz w:val="21"/>
                      <w:szCs w:val="21"/>
                      <w:u w:val="single"/>
                      <w:lang w:val="en-US" w:eastAsia="zh-CN"/>
                    </w:rPr>
                    <w:t>飞灰库南侧</w:t>
                  </w:r>
                </w:p>
              </w:tc>
              <w:tc>
                <w:tcPr>
                  <w:tcW w:w="694" w:type="pct"/>
                  <w:tcBorders>
                    <w:tl2br w:val="nil"/>
                    <w:tr2bl w:val="nil"/>
                  </w:tcBorders>
                  <w:noWrap w:val="0"/>
                  <w:tcMar>
                    <w:left w:w="11" w:type="dxa"/>
                    <w:right w:w="11"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eastAsia" w:ascii="Times New Roman" w:hAnsi="Times New Roman" w:eastAsia="宋体" w:cs="Times New Roman"/>
                      <w:color w:val="auto"/>
                      <w:sz w:val="21"/>
                      <w:szCs w:val="21"/>
                      <w:u w:val="single"/>
                      <w:lang w:val="en-US" w:eastAsia="zh-CN"/>
                    </w:rPr>
                    <w:t>水洗喷淋塔风机</w:t>
                  </w:r>
                </w:p>
              </w:tc>
              <w:tc>
                <w:tcPr>
                  <w:tcW w:w="4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eastAsia" w:ascii="Times New Roman" w:hAnsi="Times New Roman" w:cs="Times New Roman"/>
                      <w:color w:val="auto"/>
                      <w:sz w:val="21"/>
                      <w:szCs w:val="21"/>
                      <w:u w:val="single"/>
                      <w:lang w:val="en-US" w:eastAsia="zh-CN"/>
                    </w:rPr>
                  </w:pPr>
                </w:p>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w:t>
                  </w:r>
                </w:p>
              </w:tc>
              <w:tc>
                <w:tcPr>
                  <w:tcW w:w="386" w:type="pct"/>
                  <w:tcBorders>
                    <w:tl2br w:val="nil"/>
                    <w:tr2bl w:val="nil"/>
                  </w:tcBorders>
                  <w:noWrap w:val="0"/>
                  <w:tcMar>
                    <w:left w:w="11" w:type="dxa"/>
                    <w:right w:w="11" w:type="dxa"/>
                  </w:tcMar>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36</w:t>
                  </w:r>
                </w:p>
              </w:tc>
              <w:tc>
                <w:tcPr>
                  <w:tcW w:w="399" w:type="pc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0</w:t>
                  </w:r>
                </w:p>
              </w:tc>
              <w:tc>
                <w:tcPr>
                  <w:tcW w:w="381" w:type="pc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eastAsia" w:ascii="Times New Roman" w:hAnsi="Times New Roman" w:eastAsia="宋体" w:cs="Times New Roman"/>
                      <w:color w:val="auto"/>
                      <w:sz w:val="21"/>
                      <w:szCs w:val="21"/>
                      <w:u w:val="single"/>
                      <w:lang w:val="en-US" w:eastAsia="zh-CN"/>
                    </w:rPr>
                    <w:t>3</w:t>
                  </w:r>
                </w:p>
              </w:tc>
              <w:tc>
                <w:tcPr>
                  <w:tcW w:w="724" w:type="pct"/>
                  <w:tcBorders>
                    <w:tl2br w:val="nil"/>
                    <w:tr2bl w:val="nil"/>
                  </w:tcBorders>
                  <w:noWrap w:val="0"/>
                  <w:tcMar>
                    <w:left w:w="11" w:type="dxa"/>
                    <w:right w:w="11" w:type="dxa"/>
                  </w:tcMar>
                  <w:vAlign w:val="center"/>
                </w:tcPr>
                <w:p>
                  <w:pPr>
                    <w:widowControl/>
                    <w:jc w:val="center"/>
                    <w:rPr>
                      <w:rFonts w:hint="eastAsia" w:ascii="Times New Roman" w:hAnsi="Times New Roman" w:eastAsia="宋体" w:cs="Times New Roman"/>
                      <w:color w:val="auto"/>
                      <w:sz w:val="21"/>
                      <w:szCs w:val="21"/>
                      <w:highlight w:val="none"/>
                      <w:u w:val="single"/>
                      <w:lang w:val="en-US" w:eastAsia="zh-CN"/>
                    </w:rPr>
                  </w:pPr>
                  <w:r>
                    <w:rPr>
                      <w:rFonts w:hint="eastAsia" w:ascii="Times New Roman" w:hAnsi="Times New Roman" w:cs="Times New Roman"/>
                      <w:color w:val="auto"/>
                      <w:szCs w:val="21"/>
                      <w:highlight w:val="none"/>
                      <w:u w:val="single"/>
                      <w:lang w:val="en-US" w:eastAsia="zh-CN"/>
                    </w:rPr>
                    <w:t>8</w:t>
                  </w:r>
                  <w:r>
                    <w:rPr>
                      <w:rFonts w:ascii="Times New Roman" w:hAnsi="Times New Roman" w:cs="Times New Roman"/>
                      <w:color w:val="auto"/>
                      <w:szCs w:val="21"/>
                      <w:highlight w:val="none"/>
                      <w:u w:val="single"/>
                    </w:rPr>
                    <w:t>5</w:t>
                  </w:r>
                </w:p>
              </w:tc>
              <w:tc>
                <w:tcPr>
                  <w:tcW w:w="1216" w:type="pct"/>
                  <w:tcBorders>
                    <w:tl2br w:val="nil"/>
                    <w:tr2bl w:val="nil"/>
                  </w:tcBorders>
                  <w:noWrap w:val="0"/>
                  <w:tcMar>
                    <w:left w:w="11" w:type="dxa"/>
                    <w:right w:w="11"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default" w:ascii="Times New Roman" w:hAnsi="Times New Roman"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安装隔声罩或在风机进口安装吸声材料</w:t>
                  </w:r>
                </w:p>
              </w:tc>
              <w:tc>
                <w:tcPr>
                  <w:tcW w:w="395" w:type="pct"/>
                  <w:tcBorders>
                    <w:tl2br w:val="nil"/>
                    <w:tr2bl w:val="nil"/>
                  </w:tcBorders>
                  <w:noWrap w:val="0"/>
                  <w:vAlign w:val="center"/>
                </w:tcPr>
                <w:p>
                  <w:pPr>
                    <w:pStyle w:val="88"/>
                    <w:keepNext w:val="0"/>
                    <w:keepLines w:val="0"/>
                    <w:pageBreakBefore w:val="0"/>
                    <w:widowControl w:val="0"/>
                    <w:kinsoku/>
                    <w:wordWrap/>
                    <w:overflowPunct/>
                    <w:topLinePunct w:val="0"/>
                    <w:autoSpaceDE/>
                    <w:autoSpaceDN/>
                    <w:bidi w:val="0"/>
                    <w:spacing w:line="320" w:lineRule="exact"/>
                    <w:ind w:left="0" w:leftChars="0" w:right="0" w:rightChars="0"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9：00-12:00</w:t>
                  </w:r>
                  <w:r>
                    <w:rPr>
                      <w:rFonts w:hint="eastAsia"/>
                      <w:color w:val="auto"/>
                      <w:lang w:eastAsia="zh-CN"/>
                    </w:rPr>
                    <w:t>、</w:t>
                  </w:r>
                  <w:r>
                    <w:rPr>
                      <w:rFonts w:hint="eastAsia"/>
                      <w:color w:val="auto"/>
                      <w:lang w:val="en-US" w:eastAsia="zh-CN"/>
                    </w:rPr>
                    <w:t>21.00-24：00</w:t>
                  </w:r>
                </w:p>
              </w:tc>
            </w:tr>
          </w:tbl>
          <w:p>
            <w:pPr>
              <w:numPr>
                <w:ilvl w:val="0"/>
                <w:numId w:val="0"/>
              </w:numPr>
              <w:spacing w:line="360" w:lineRule="auto"/>
              <w:ind w:left="120" w:leftChars="0" w:firstLine="480" w:firstLineChars="200"/>
              <w:jc w:val="left"/>
              <w:rPr>
                <w:rFonts w:hint="eastAsia" w:ascii="Times New Roman" w:hAnsi="Times New Roman" w:eastAsia="宋体" w:cs="Times New Roman"/>
                <w:b/>
                <w:bCs/>
                <w:color w:val="auto"/>
                <w:sz w:val="24"/>
                <w:highlight w:val="none"/>
                <w:u w:val="none"/>
                <w:lang w:val="en-US" w:eastAsia="zh-CN"/>
              </w:rPr>
            </w:pPr>
            <w:r>
              <w:rPr>
                <w:rFonts w:ascii="Times New Roman" w:hAnsi="Times New Roman" w:cs="Times New Roman"/>
                <w:color w:val="auto"/>
                <w:sz w:val="24"/>
                <w:u w:val="none"/>
              </w:rPr>
              <w:t>注：表中坐标以</w:t>
            </w:r>
            <w:r>
              <w:rPr>
                <w:rFonts w:hint="eastAsia" w:cs="Times New Roman"/>
                <w:color w:val="auto"/>
                <w:sz w:val="24"/>
                <w:u w:val="none"/>
                <w:lang w:val="en-US" w:eastAsia="zh-CN"/>
              </w:rPr>
              <w:t>仓库西南角</w:t>
            </w:r>
            <w:r>
              <w:rPr>
                <w:rFonts w:ascii="Times New Roman" w:hAnsi="Times New Roman" w:cs="Times New Roman"/>
                <w:color w:val="auto"/>
                <w:sz w:val="24"/>
                <w:u w:val="none"/>
              </w:rPr>
              <w:t>（</w:t>
            </w:r>
            <w:r>
              <w:rPr>
                <w:rFonts w:ascii="Times New Roman" w:hAnsi="Times New Roman" w:cs="Times New Roman"/>
                <w:color w:val="auto"/>
                <w:sz w:val="24"/>
                <w:highlight w:val="none"/>
                <w:u w:val="none"/>
              </w:rPr>
              <w:t>经度 11</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 xml:space="preserve"> 度 </w:t>
            </w:r>
            <w:r>
              <w:rPr>
                <w:rFonts w:hint="eastAsia" w:ascii="Times New Roman" w:hAnsi="Times New Roman" w:cs="Times New Roman"/>
                <w:color w:val="auto"/>
                <w:sz w:val="24"/>
                <w:highlight w:val="none"/>
                <w:u w:val="none"/>
                <w:lang w:val="en-US" w:eastAsia="zh-CN"/>
              </w:rPr>
              <w:t>0</w:t>
            </w:r>
            <w:r>
              <w:rPr>
                <w:rFonts w:hint="eastAsia" w:cs="Times New Roman"/>
                <w:color w:val="auto"/>
                <w:sz w:val="24"/>
                <w:highlight w:val="none"/>
                <w:u w:val="none"/>
                <w:lang w:val="en-US" w:eastAsia="zh-CN"/>
              </w:rPr>
              <w:t>1</w:t>
            </w:r>
            <w:r>
              <w:rPr>
                <w:rFonts w:ascii="Times New Roman" w:hAnsi="Times New Roman" w:cs="Times New Roman"/>
                <w:color w:val="auto"/>
                <w:sz w:val="24"/>
                <w:highlight w:val="none"/>
                <w:u w:val="none"/>
              </w:rPr>
              <w:t xml:space="preserve"> 分 </w:t>
            </w:r>
            <w:r>
              <w:rPr>
                <w:rFonts w:hint="eastAsia" w:cs="Times New Roman"/>
                <w:color w:val="auto"/>
                <w:sz w:val="24"/>
                <w:highlight w:val="none"/>
                <w:u w:val="none"/>
                <w:lang w:val="en-US" w:eastAsia="zh-CN"/>
              </w:rPr>
              <w:t>81</w:t>
            </w:r>
            <w:r>
              <w:rPr>
                <w:rFonts w:hint="eastAsia" w:ascii="Times New Roman" w:hAnsi="Times New Roman" w:cs="Times New Roman"/>
                <w:color w:val="auto"/>
                <w:sz w:val="24"/>
                <w:highlight w:val="none"/>
                <w:u w:val="none"/>
                <w:lang w:val="en-US" w:eastAsia="zh-CN"/>
              </w:rPr>
              <w:t>.</w:t>
            </w:r>
            <w:r>
              <w:rPr>
                <w:rFonts w:hint="eastAsia" w:cs="Times New Roman"/>
                <w:color w:val="auto"/>
                <w:sz w:val="24"/>
                <w:highlight w:val="none"/>
                <w:u w:val="none"/>
                <w:lang w:val="en-US" w:eastAsia="zh-CN"/>
              </w:rPr>
              <w:t>98</w:t>
            </w:r>
            <w:r>
              <w:rPr>
                <w:rFonts w:ascii="Times New Roman" w:hAnsi="Times New Roman" w:cs="Times New Roman"/>
                <w:color w:val="auto"/>
                <w:sz w:val="24"/>
                <w:highlight w:val="none"/>
                <w:u w:val="none"/>
              </w:rPr>
              <w:t xml:space="preserve"> 秒，纬度 3</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 xml:space="preserve"> 度 </w:t>
            </w:r>
            <w:r>
              <w:rPr>
                <w:rFonts w:hint="eastAsia" w:ascii="Times New Roman" w:hAnsi="Times New Roman" w:cs="Times New Roman"/>
                <w:color w:val="auto"/>
                <w:sz w:val="24"/>
                <w:highlight w:val="none"/>
                <w:u w:val="none"/>
                <w:lang w:val="en-US" w:eastAsia="zh-CN"/>
              </w:rPr>
              <w:t>61</w:t>
            </w:r>
            <w:r>
              <w:rPr>
                <w:rFonts w:ascii="Times New Roman" w:hAnsi="Times New Roman" w:cs="Times New Roman"/>
                <w:color w:val="auto"/>
                <w:sz w:val="24"/>
                <w:highlight w:val="none"/>
                <w:u w:val="none"/>
              </w:rPr>
              <w:t xml:space="preserve"> 分 </w:t>
            </w:r>
            <w:r>
              <w:rPr>
                <w:rFonts w:hint="eastAsia" w:cs="Times New Roman"/>
                <w:color w:val="auto"/>
                <w:sz w:val="24"/>
                <w:highlight w:val="none"/>
                <w:u w:val="none"/>
                <w:lang w:val="en-US" w:eastAsia="zh-CN"/>
              </w:rPr>
              <w:t>35</w:t>
            </w:r>
            <w:r>
              <w:rPr>
                <w:rFonts w:hint="eastAsia" w:ascii="Times New Roman" w:hAnsi="Times New Roman" w:cs="Times New Roman"/>
                <w:color w:val="auto"/>
                <w:sz w:val="24"/>
                <w:highlight w:val="none"/>
                <w:u w:val="none"/>
                <w:lang w:val="en-US" w:eastAsia="zh-CN"/>
              </w:rPr>
              <w:t>.</w:t>
            </w:r>
            <w:r>
              <w:rPr>
                <w:rFonts w:hint="eastAsia" w:cs="Times New Roman"/>
                <w:color w:val="auto"/>
                <w:sz w:val="24"/>
                <w:highlight w:val="none"/>
                <w:u w:val="none"/>
                <w:lang w:val="en-US" w:eastAsia="zh-CN"/>
              </w:rPr>
              <w:t>83</w:t>
            </w:r>
            <w:r>
              <w:rPr>
                <w:rFonts w:ascii="Times New Roman" w:hAnsi="Times New Roman" w:cs="Times New Roman"/>
                <w:color w:val="auto"/>
                <w:sz w:val="24"/>
                <w:highlight w:val="none"/>
                <w:u w:val="none"/>
              </w:rPr>
              <w:t xml:space="preserve"> 秒</w:t>
            </w:r>
            <w:r>
              <w:rPr>
                <w:rFonts w:ascii="Times New Roman" w:hAnsi="Times New Roman" w:cs="Times New Roman"/>
                <w:color w:val="auto"/>
                <w:sz w:val="24"/>
                <w:szCs w:val="24"/>
                <w:highlight w:val="none"/>
                <w:u w:val="none"/>
              </w:rPr>
              <w:t xml:space="preserve"> </w:t>
            </w:r>
            <w:r>
              <w:rPr>
                <w:rFonts w:hint="eastAsia" w:ascii="Times New Roman" w:hAnsi="Times New Roman" w:cs="Times New Roman"/>
                <w:color w:val="auto"/>
                <w:sz w:val="24"/>
                <w:szCs w:val="24"/>
                <w:highlight w:val="none"/>
                <w:u w:val="none"/>
              </w:rPr>
              <w:t>）</w:t>
            </w:r>
            <w:r>
              <w:rPr>
                <w:rFonts w:ascii="Times New Roman" w:hAnsi="Times New Roman" w:cs="Times New Roman"/>
                <w:color w:val="auto"/>
                <w:sz w:val="24"/>
                <w:u w:val="none"/>
              </w:rPr>
              <w:t>）为坐标原点，正东向为 X 轴正方向，正北向为 Y 轴正方向</w:t>
            </w:r>
            <w:r>
              <w:rPr>
                <w:rFonts w:hint="eastAsia" w:ascii="Times New Roman" w:hAnsi="Times New Roman" w:cs="Times New Roman"/>
                <w:color w:val="auto"/>
                <w:sz w:val="24"/>
                <w:u w:val="none"/>
                <w:lang w:eastAsia="zh-CN"/>
              </w:rPr>
              <w:t>。</w:t>
            </w:r>
          </w:p>
          <w:p>
            <w:pPr>
              <w:widowControl/>
              <w:adjustRightInd w:val="0"/>
              <w:snapToGrid w:val="0"/>
              <w:spacing w:line="520" w:lineRule="exact"/>
              <w:ind w:firstLine="480" w:firstLineChars="200"/>
              <w:jc w:val="left"/>
              <w:rPr>
                <w:color w:val="auto"/>
                <w:sz w:val="24"/>
                <w:szCs w:val="24"/>
              </w:rPr>
            </w:pPr>
            <w:r>
              <w:rPr>
                <w:rFonts w:hAnsi="宋体"/>
                <w:color w:val="auto"/>
                <w:sz w:val="24"/>
                <w:szCs w:val="24"/>
              </w:rPr>
              <w:t>本项目</w:t>
            </w:r>
            <w:r>
              <w:rPr>
                <w:rFonts w:hint="eastAsia" w:hAnsi="宋体"/>
                <w:color w:val="auto"/>
                <w:sz w:val="24"/>
                <w:szCs w:val="24"/>
                <w:lang w:val="en-US" w:eastAsia="zh-CN"/>
              </w:rPr>
              <w:t>运营</w:t>
            </w:r>
            <w:r>
              <w:rPr>
                <w:rFonts w:hAnsi="宋体"/>
                <w:color w:val="auto"/>
                <w:sz w:val="24"/>
                <w:szCs w:val="24"/>
              </w:rPr>
              <w:t>期间的</w:t>
            </w:r>
            <w:r>
              <w:rPr>
                <w:rFonts w:hint="eastAsia" w:hAnsi="宋体"/>
                <w:color w:val="auto"/>
                <w:sz w:val="24"/>
                <w:szCs w:val="24"/>
                <w:lang w:val="en-US" w:eastAsia="zh-CN"/>
              </w:rPr>
              <w:t>车辆运输</w:t>
            </w:r>
            <w:r>
              <w:rPr>
                <w:rFonts w:hAnsi="宋体"/>
                <w:color w:val="auto"/>
                <w:sz w:val="24"/>
                <w:szCs w:val="24"/>
              </w:rPr>
              <w:t>过程中产生噪声</w:t>
            </w:r>
            <w:r>
              <w:rPr>
                <w:rFonts w:hint="eastAsia" w:hAnsi="宋体"/>
                <w:color w:val="auto"/>
                <w:sz w:val="24"/>
                <w:szCs w:val="24"/>
                <w:lang w:val="en-US" w:eastAsia="zh-CN"/>
              </w:rPr>
              <w:t>具有</w:t>
            </w:r>
            <w:r>
              <w:rPr>
                <w:rFonts w:hAnsi="宋体"/>
                <w:color w:val="auto"/>
                <w:sz w:val="24"/>
                <w:szCs w:val="24"/>
              </w:rPr>
              <w:t>不连续性</w:t>
            </w:r>
            <w:r>
              <w:rPr>
                <w:rFonts w:hint="eastAsia" w:hAnsi="宋体"/>
                <w:color w:val="auto"/>
                <w:sz w:val="24"/>
                <w:szCs w:val="24"/>
                <w:lang w:eastAsia="zh-CN"/>
              </w:rPr>
              <w:t>，</w:t>
            </w:r>
            <w:r>
              <w:rPr>
                <w:rFonts w:hint="eastAsia" w:hAnsi="宋体"/>
                <w:color w:val="auto"/>
                <w:sz w:val="24"/>
                <w:szCs w:val="24"/>
                <w:lang w:val="en-US" w:eastAsia="zh-CN"/>
              </w:rPr>
              <w:t>且时间较短等</w:t>
            </w:r>
            <w:r>
              <w:rPr>
                <w:rFonts w:hAnsi="宋体"/>
                <w:color w:val="auto"/>
                <w:sz w:val="24"/>
                <w:szCs w:val="24"/>
              </w:rPr>
              <w:t>特点，其噪声源强为</w:t>
            </w:r>
            <w:r>
              <w:rPr>
                <w:color w:val="auto"/>
                <w:sz w:val="24"/>
                <w:szCs w:val="24"/>
              </w:rPr>
              <w:t>80-</w:t>
            </w:r>
            <w:r>
              <w:rPr>
                <w:rFonts w:hint="eastAsia"/>
                <w:color w:val="auto"/>
                <w:sz w:val="24"/>
                <w:szCs w:val="24"/>
                <w:lang w:val="en-US" w:eastAsia="zh-CN"/>
              </w:rPr>
              <w:t>9</w:t>
            </w:r>
            <w:r>
              <w:rPr>
                <w:color w:val="auto"/>
                <w:sz w:val="24"/>
                <w:szCs w:val="24"/>
              </w:rPr>
              <w:t>0dB(A)</w:t>
            </w:r>
            <w:r>
              <w:rPr>
                <w:rFonts w:hAnsi="宋体"/>
                <w:color w:val="auto"/>
                <w:sz w:val="24"/>
                <w:szCs w:val="24"/>
              </w:rPr>
              <w:t>。</w:t>
            </w:r>
            <w:r>
              <w:rPr>
                <w:rFonts w:hAnsi="宋体"/>
                <w:color w:val="auto"/>
                <w:kern w:val="0"/>
                <w:sz w:val="24"/>
                <w:szCs w:val="24"/>
              </w:rPr>
              <w:t>噪声会对周围环境产生一定的影响。</w:t>
            </w:r>
            <w:r>
              <w:rPr>
                <w:rFonts w:hAnsi="宋体"/>
                <w:color w:val="auto"/>
                <w:sz w:val="24"/>
                <w:szCs w:val="24"/>
              </w:rPr>
              <w:t>评价要求建设单位在</w:t>
            </w:r>
            <w:r>
              <w:rPr>
                <w:rFonts w:hint="eastAsia" w:hAnsi="宋体"/>
                <w:color w:val="auto"/>
                <w:sz w:val="24"/>
                <w:szCs w:val="24"/>
                <w:lang w:val="en-US" w:eastAsia="zh-CN"/>
              </w:rPr>
              <w:t>运营期</w:t>
            </w:r>
            <w:r>
              <w:rPr>
                <w:rFonts w:hAnsi="宋体"/>
                <w:color w:val="auto"/>
                <w:sz w:val="24"/>
                <w:szCs w:val="24"/>
              </w:rPr>
              <w:t>采取以下相应措施：</w:t>
            </w:r>
          </w:p>
          <w:p>
            <w:pPr>
              <w:widowControl/>
              <w:spacing w:line="520" w:lineRule="exact"/>
              <w:ind w:firstLine="480" w:firstLineChars="200"/>
              <w:jc w:val="left"/>
              <w:rPr>
                <w:color w:val="auto"/>
                <w:sz w:val="24"/>
                <w:szCs w:val="24"/>
              </w:rPr>
            </w:pPr>
            <w:r>
              <w:rPr>
                <w:rFonts w:hAnsi="宋体"/>
                <w:color w:val="auto"/>
                <w:sz w:val="24"/>
                <w:szCs w:val="24"/>
              </w:rPr>
              <w:t>尽量选用先进的低噪声设备</w:t>
            </w:r>
            <w:r>
              <w:rPr>
                <w:rFonts w:hint="eastAsia" w:hAnsi="宋体"/>
                <w:color w:val="auto"/>
                <w:sz w:val="24"/>
                <w:szCs w:val="24"/>
                <w:lang w:val="en-US" w:eastAsia="zh-CN"/>
              </w:rPr>
              <w:t>车辆</w:t>
            </w:r>
            <w:r>
              <w:rPr>
                <w:rFonts w:hAnsi="宋体"/>
                <w:color w:val="auto"/>
                <w:sz w:val="24"/>
                <w:szCs w:val="24"/>
              </w:rPr>
              <w:t>，在高噪声设备周围设置声屏障以减轻噪声对周围环境的影响，并根据周围环境情况合理安排</w:t>
            </w:r>
            <w:r>
              <w:rPr>
                <w:rFonts w:hint="eastAsia" w:hAnsi="宋体"/>
                <w:color w:val="auto"/>
                <w:sz w:val="24"/>
                <w:szCs w:val="24"/>
                <w:lang w:val="en-US" w:eastAsia="zh-CN"/>
              </w:rPr>
              <w:t>运输</w:t>
            </w:r>
            <w:r>
              <w:rPr>
                <w:rFonts w:hAnsi="宋体"/>
                <w:color w:val="auto"/>
                <w:sz w:val="24"/>
                <w:szCs w:val="24"/>
              </w:rPr>
              <w:t>时间</w:t>
            </w:r>
            <w:r>
              <w:rPr>
                <w:rFonts w:hint="eastAsia" w:hAnsi="宋体"/>
                <w:color w:val="auto"/>
                <w:sz w:val="24"/>
                <w:szCs w:val="24"/>
                <w:lang w:eastAsia="zh-CN"/>
              </w:rPr>
              <w:t>，</w:t>
            </w:r>
            <w:r>
              <w:rPr>
                <w:rFonts w:hint="eastAsia" w:hAnsi="宋体"/>
                <w:color w:val="auto"/>
                <w:sz w:val="24"/>
                <w:szCs w:val="24"/>
                <w:lang w:val="en-US" w:eastAsia="zh-CN"/>
              </w:rPr>
              <w:t>运输路线</w:t>
            </w:r>
            <w:r>
              <w:rPr>
                <w:rFonts w:hAnsi="宋体"/>
                <w:color w:val="auto"/>
                <w:sz w:val="24"/>
                <w:szCs w:val="24"/>
              </w:rPr>
              <w:t>合理布局，以避免局部声级过高，</w:t>
            </w:r>
            <w:r>
              <w:rPr>
                <w:rFonts w:hint="eastAsia" w:hAnsi="宋体"/>
                <w:color w:val="auto"/>
                <w:sz w:val="24"/>
                <w:szCs w:val="24"/>
                <w:lang w:val="en-US" w:eastAsia="zh-CN"/>
              </w:rPr>
              <w:t>运输车辆尽量低速行驶</w:t>
            </w:r>
            <w:r>
              <w:rPr>
                <w:rFonts w:hAnsi="宋体"/>
                <w:color w:val="auto"/>
                <w:sz w:val="24"/>
                <w:szCs w:val="24"/>
              </w:rPr>
              <w:t>，以减少对周围环境的影响，尽可能将</w:t>
            </w:r>
            <w:r>
              <w:rPr>
                <w:rFonts w:hint="eastAsia" w:hAnsi="宋体"/>
                <w:color w:val="auto"/>
                <w:sz w:val="24"/>
                <w:szCs w:val="24"/>
                <w:lang w:val="en-US" w:eastAsia="zh-CN"/>
              </w:rPr>
              <w:t>运输、装卸</w:t>
            </w:r>
            <w:r>
              <w:rPr>
                <w:rFonts w:hAnsi="宋体"/>
                <w:color w:val="auto"/>
                <w:sz w:val="24"/>
                <w:szCs w:val="24"/>
              </w:rPr>
              <w:t>阶段的噪声减至最小；加强</w:t>
            </w:r>
            <w:r>
              <w:rPr>
                <w:rFonts w:hint="eastAsia" w:hAnsi="宋体"/>
                <w:color w:val="auto"/>
                <w:sz w:val="24"/>
                <w:szCs w:val="24"/>
                <w:lang w:val="en-US" w:eastAsia="zh-CN"/>
              </w:rPr>
              <w:t>运输</w:t>
            </w:r>
            <w:r>
              <w:rPr>
                <w:rFonts w:hAnsi="宋体"/>
                <w:color w:val="auto"/>
                <w:sz w:val="24"/>
                <w:szCs w:val="24"/>
              </w:rPr>
              <w:t>的维修、管理，保证</w:t>
            </w:r>
            <w:r>
              <w:rPr>
                <w:rFonts w:hint="eastAsia" w:hAnsi="宋体"/>
                <w:color w:val="auto"/>
                <w:sz w:val="24"/>
                <w:szCs w:val="24"/>
                <w:lang w:val="en-US" w:eastAsia="zh-CN"/>
              </w:rPr>
              <w:t>运输车辆</w:t>
            </w:r>
            <w:r>
              <w:rPr>
                <w:rFonts w:hAnsi="宋体"/>
                <w:color w:val="auto"/>
                <w:sz w:val="24"/>
                <w:szCs w:val="24"/>
              </w:rPr>
              <w:t>处于低噪声、高效率的状态；合理安排</w:t>
            </w:r>
            <w:r>
              <w:rPr>
                <w:rFonts w:hint="eastAsia" w:hAnsi="宋体"/>
                <w:color w:val="auto"/>
                <w:sz w:val="24"/>
                <w:szCs w:val="24"/>
                <w:lang w:val="en-US" w:eastAsia="zh-CN"/>
              </w:rPr>
              <w:t>运输</w:t>
            </w:r>
            <w:r>
              <w:rPr>
                <w:rFonts w:hAnsi="宋体"/>
                <w:color w:val="auto"/>
                <w:sz w:val="24"/>
                <w:szCs w:val="24"/>
              </w:rPr>
              <w:t>时间，禁止在午间</w:t>
            </w:r>
            <w:r>
              <w:rPr>
                <w:color w:val="auto"/>
                <w:sz w:val="24"/>
                <w:szCs w:val="24"/>
              </w:rPr>
              <w:t>12</w:t>
            </w:r>
            <w:r>
              <w:rPr>
                <w:rFonts w:hAnsi="宋体"/>
                <w:color w:val="auto"/>
                <w:sz w:val="24"/>
                <w:szCs w:val="24"/>
              </w:rPr>
              <w:t>时至</w:t>
            </w:r>
            <w:r>
              <w:rPr>
                <w:color w:val="auto"/>
                <w:sz w:val="24"/>
                <w:szCs w:val="24"/>
              </w:rPr>
              <w:t>14</w:t>
            </w:r>
            <w:r>
              <w:rPr>
                <w:rFonts w:hAnsi="宋体"/>
                <w:color w:val="auto"/>
                <w:sz w:val="24"/>
                <w:szCs w:val="24"/>
              </w:rPr>
              <w:t>时和夜间</w:t>
            </w:r>
            <w:r>
              <w:rPr>
                <w:color w:val="auto"/>
                <w:sz w:val="24"/>
                <w:szCs w:val="24"/>
              </w:rPr>
              <w:t>22</w:t>
            </w:r>
            <w:r>
              <w:rPr>
                <w:rFonts w:hAnsi="宋体"/>
                <w:color w:val="auto"/>
                <w:sz w:val="24"/>
                <w:szCs w:val="24"/>
              </w:rPr>
              <w:t>时至次日</w:t>
            </w:r>
            <w:r>
              <w:rPr>
                <w:color w:val="auto"/>
                <w:sz w:val="24"/>
                <w:szCs w:val="24"/>
              </w:rPr>
              <w:t>6</w:t>
            </w:r>
            <w:r>
              <w:rPr>
                <w:rFonts w:hAnsi="宋体"/>
                <w:color w:val="auto"/>
                <w:sz w:val="24"/>
                <w:szCs w:val="24"/>
              </w:rPr>
              <w:t>时</w:t>
            </w:r>
            <w:r>
              <w:rPr>
                <w:rFonts w:hint="eastAsia" w:hAnsi="宋体"/>
                <w:color w:val="auto"/>
                <w:sz w:val="24"/>
                <w:szCs w:val="24"/>
                <w:lang w:eastAsia="zh-CN"/>
              </w:rPr>
              <w:t>；</w:t>
            </w:r>
            <w:r>
              <w:rPr>
                <w:rFonts w:hint="eastAsia" w:hAnsi="宋体"/>
                <w:color w:val="auto"/>
                <w:sz w:val="24"/>
                <w:szCs w:val="24"/>
                <w:lang w:val="en-US" w:eastAsia="zh-CN"/>
              </w:rPr>
              <w:t>运输车辆采用符合国家标准</w:t>
            </w:r>
            <w:r>
              <w:rPr>
                <w:rFonts w:hAnsi="宋体"/>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firstLine="482" w:firstLineChars="200"/>
              <w:textAlignment w:val="auto"/>
              <w:rPr>
                <w:rFonts w:hint="default" w:ascii="Times New Roman" w:hAnsi="Times New Roman" w:cs="Times New Roman"/>
                <w:color w:val="auto"/>
                <w:sz w:val="24"/>
                <w:szCs w:val="24"/>
                <w:highlight w:val="yellow"/>
                <w:u w:val="none"/>
              </w:rPr>
            </w:pPr>
            <w:r>
              <w:rPr>
                <w:rFonts w:hint="eastAsia" w:ascii="Times New Roman" w:hAnsi="Times New Roman" w:cs="Times New Roman"/>
                <w:b/>
                <w:bCs/>
                <w:color w:val="auto"/>
                <w:sz w:val="24"/>
                <w:szCs w:val="24"/>
                <w:highlight w:val="none"/>
                <w:u w:val="none"/>
                <w:lang w:val="en-US" w:eastAsia="zh-CN"/>
              </w:rPr>
              <w:t>3.2</w:t>
            </w:r>
            <w:r>
              <w:rPr>
                <w:rFonts w:hint="default" w:ascii="Times New Roman" w:hAnsi="Times New Roman" w:cs="Times New Roman"/>
                <w:b/>
                <w:bCs/>
                <w:color w:val="auto"/>
                <w:sz w:val="24"/>
                <w:szCs w:val="24"/>
                <w:highlight w:val="none"/>
                <w:u w:val="none"/>
              </w:rPr>
              <w:t>噪声预测及达标情况</w:t>
            </w:r>
          </w:p>
          <w:p>
            <w:pPr>
              <w:spacing w:line="520" w:lineRule="exact"/>
              <w:ind w:firstLine="480" w:firstLineChars="200"/>
              <w:rPr>
                <w:rFonts w:ascii="Times New Roman" w:hAnsi="Times New Roman" w:cs="Times New Roman"/>
                <w:bCs/>
                <w:color w:val="auto"/>
                <w:sz w:val="24"/>
                <w:u w:val="none"/>
              </w:rPr>
            </w:pPr>
            <w:r>
              <w:rPr>
                <w:rFonts w:ascii="Times New Roman" w:hAnsi="Times New Roman" w:cs="Times New Roman"/>
                <w:bCs/>
                <w:color w:val="auto"/>
                <w:sz w:val="24"/>
                <w:u w:val="none"/>
              </w:rPr>
              <w:t>根据本项目主要高噪声设备的分布状况和</w:t>
            </w:r>
            <w:r>
              <w:rPr>
                <w:rFonts w:hint="eastAsia" w:ascii="Times New Roman" w:hAnsi="Times New Roman" w:cs="Times New Roman"/>
                <w:bCs/>
                <w:color w:val="auto"/>
                <w:sz w:val="24"/>
                <w:u w:val="none"/>
              </w:rPr>
              <w:t>室</w:t>
            </w:r>
            <w:r>
              <w:rPr>
                <w:rFonts w:ascii="Times New Roman" w:hAnsi="Times New Roman" w:cs="Times New Roman"/>
                <w:bCs/>
                <w:color w:val="auto"/>
                <w:sz w:val="24"/>
                <w:u w:val="none"/>
              </w:rPr>
              <w:t>外源强，</w:t>
            </w:r>
            <w:r>
              <w:rPr>
                <w:rFonts w:hint="eastAsia" w:ascii="Times New Roman" w:hAnsi="Times New Roman" w:cs="Times New Roman"/>
                <w:bCs/>
                <w:color w:val="auto"/>
                <w:sz w:val="24"/>
                <w:u w:val="none"/>
              </w:rPr>
              <w:t>依据</w:t>
            </w:r>
            <w:r>
              <w:rPr>
                <w:rFonts w:ascii="Times New Roman" w:hAnsi="Times New Roman" w:cs="Times New Roman"/>
                <w:color w:val="auto"/>
                <w:sz w:val="24"/>
                <w:u w:val="none"/>
              </w:rPr>
              <w:t>《环境影响评价技术导则 声环境》（HJ2.4-2021）</w:t>
            </w:r>
            <w:r>
              <w:rPr>
                <w:rFonts w:hint="eastAsia" w:ascii="Times New Roman" w:hAnsi="Times New Roman" w:cs="Times New Roman"/>
                <w:bCs/>
                <w:color w:val="auto"/>
                <w:sz w:val="24"/>
                <w:u w:val="none"/>
              </w:rPr>
              <w:t>中</w:t>
            </w:r>
            <w:r>
              <w:rPr>
                <w:rFonts w:ascii="Times New Roman" w:hAnsi="Times New Roman" w:cs="Times New Roman"/>
                <w:bCs/>
                <w:color w:val="auto"/>
                <w:sz w:val="24"/>
                <w:u w:val="none"/>
              </w:rPr>
              <w:t>噪声预测模型</w:t>
            </w:r>
            <w:r>
              <w:rPr>
                <w:rFonts w:hint="eastAsia" w:ascii="Times New Roman" w:hAnsi="Times New Roman" w:cs="Times New Roman"/>
                <w:bCs/>
                <w:color w:val="auto"/>
                <w:sz w:val="24"/>
                <w:u w:val="none"/>
              </w:rPr>
              <w:t>，</w:t>
            </w:r>
            <w:r>
              <w:rPr>
                <w:rFonts w:ascii="Times New Roman" w:hAnsi="Times New Roman" w:cs="Times New Roman"/>
                <w:bCs/>
                <w:color w:val="auto"/>
                <w:sz w:val="24"/>
                <w:u w:val="none"/>
              </w:rPr>
              <w:t>计算出各声源对</w:t>
            </w:r>
            <w:r>
              <w:rPr>
                <w:rFonts w:hint="eastAsia" w:ascii="Times New Roman" w:hAnsi="Times New Roman" w:cs="Times New Roman"/>
                <w:bCs/>
                <w:color w:val="auto"/>
                <w:sz w:val="24"/>
                <w:u w:val="none"/>
              </w:rPr>
              <w:t>厂界的噪声</w:t>
            </w:r>
            <w:r>
              <w:rPr>
                <w:rFonts w:ascii="Times New Roman" w:hAnsi="Times New Roman" w:cs="Times New Roman"/>
                <w:bCs/>
                <w:color w:val="auto"/>
                <w:sz w:val="24"/>
                <w:u w:val="none"/>
              </w:rPr>
              <w:t>贡献值</w:t>
            </w:r>
            <w:r>
              <w:rPr>
                <w:rFonts w:hint="eastAsia" w:ascii="Times New Roman" w:hAnsi="Times New Roman" w:cs="Times New Roman"/>
                <w:bCs/>
                <w:color w:val="auto"/>
                <w:sz w:val="24"/>
                <w:u w:val="none"/>
              </w:rPr>
              <w:t>。</w:t>
            </w:r>
          </w:p>
          <w:p>
            <w:pPr>
              <w:spacing w:line="520" w:lineRule="exact"/>
              <w:ind w:firstLine="480" w:firstLineChars="200"/>
              <w:rPr>
                <w:rFonts w:ascii="Times New Roman" w:hAnsi="Times New Roman" w:cs="Times New Roman"/>
                <w:bCs/>
                <w:color w:val="auto"/>
                <w:sz w:val="24"/>
                <w:u w:val="none"/>
              </w:rPr>
            </w:pPr>
            <w:r>
              <w:rPr>
                <w:rFonts w:ascii="Times New Roman" w:hAnsi="Times New Roman" w:cs="Times New Roman"/>
                <w:bCs/>
                <w:color w:val="auto"/>
                <w:sz w:val="24"/>
                <w:u w:val="none"/>
              </w:rPr>
              <w:t>根据本项目主要高噪声设备的分布状况和</w:t>
            </w:r>
            <w:r>
              <w:rPr>
                <w:rFonts w:hint="eastAsia" w:ascii="Times New Roman" w:hAnsi="Times New Roman" w:cs="Times New Roman"/>
                <w:bCs/>
                <w:color w:val="auto"/>
                <w:sz w:val="24"/>
                <w:u w:val="none"/>
              </w:rPr>
              <w:t>室</w:t>
            </w:r>
            <w:r>
              <w:rPr>
                <w:rFonts w:ascii="Times New Roman" w:hAnsi="Times New Roman" w:cs="Times New Roman"/>
                <w:bCs/>
                <w:color w:val="auto"/>
                <w:sz w:val="24"/>
                <w:u w:val="none"/>
              </w:rPr>
              <w:t>外源强，</w:t>
            </w:r>
            <w:r>
              <w:rPr>
                <w:rFonts w:hint="eastAsia" w:ascii="Times New Roman" w:hAnsi="Times New Roman" w:cs="Times New Roman"/>
                <w:bCs/>
                <w:color w:val="auto"/>
                <w:sz w:val="24"/>
                <w:u w:val="none"/>
              </w:rPr>
              <w:t>依据</w:t>
            </w:r>
            <w:r>
              <w:rPr>
                <w:rFonts w:ascii="Times New Roman" w:hAnsi="Times New Roman" w:cs="Times New Roman"/>
                <w:color w:val="auto"/>
                <w:sz w:val="24"/>
                <w:u w:val="none"/>
              </w:rPr>
              <w:t>《环境影响评价技术导则 声环境》（HJ2.4-2021）</w:t>
            </w:r>
            <w:r>
              <w:rPr>
                <w:rFonts w:hint="eastAsia" w:ascii="Times New Roman" w:hAnsi="Times New Roman" w:cs="Times New Roman"/>
                <w:bCs/>
                <w:color w:val="auto"/>
                <w:sz w:val="24"/>
                <w:u w:val="none"/>
              </w:rPr>
              <w:t>中</w:t>
            </w:r>
            <w:r>
              <w:rPr>
                <w:rFonts w:ascii="Times New Roman" w:hAnsi="Times New Roman" w:cs="Times New Roman"/>
                <w:bCs/>
                <w:color w:val="auto"/>
                <w:sz w:val="24"/>
                <w:u w:val="none"/>
              </w:rPr>
              <w:t>噪声预测模型</w:t>
            </w:r>
            <w:r>
              <w:rPr>
                <w:rFonts w:hint="eastAsia" w:ascii="Times New Roman" w:hAnsi="Times New Roman" w:cs="Times New Roman"/>
                <w:bCs/>
                <w:color w:val="auto"/>
                <w:sz w:val="24"/>
                <w:u w:val="none"/>
              </w:rPr>
              <w:t>，</w:t>
            </w:r>
            <w:r>
              <w:rPr>
                <w:rFonts w:ascii="Times New Roman" w:hAnsi="Times New Roman" w:cs="Times New Roman"/>
                <w:bCs/>
                <w:color w:val="auto"/>
                <w:sz w:val="24"/>
                <w:u w:val="none"/>
              </w:rPr>
              <w:t>计算出各声源对</w:t>
            </w:r>
            <w:r>
              <w:rPr>
                <w:rFonts w:hint="eastAsia" w:ascii="Times New Roman" w:hAnsi="Times New Roman" w:cs="Times New Roman"/>
                <w:bCs/>
                <w:color w:val="auto"/>
                <w:sz w:val="24"/>
                <w:u w:val="none"/>
              </w:rPr>
              <w:t>厂界的噪声</w:t>
            </w:r>
            <w:r>
              <w:rPr>
                <w:rFonts w:ascii="Times New Roman" w:hAnsi="Times New Roman" w:cs="Times New Roman"/>
                <w:bCs/>
                <w:color w:val="auto"/>
                <w:sz w:val="24"/>
                <w:u w:val="none"/>
              </w:rPr>
              <w:t>贡献值</w:t>
            </w:r>
            <w:r>
              <w:rPr>
                <w:rFonts w:hint="eastAsia" w:ascii="Times New Roman" w:hAnsi="Times New Roman" w:cs="Times New Roman"/>
                <w:bCs/>
                <w:color w:val="auto"/>
                <w:sz w:val="24"/>
                <w:u w:val="none"/>
              </w:rPr>
              <w:t>。</w:t>
            </w:r>
          </w:p>
          <w:p>
            <w:pPr>
              <w:spacing w:line="520" w:lineRule="exact"/>
              <w:ind w:firstLine="480" w:firstLineChars="200"/>
              <w:rPr>
                <w:rFonts w:ascii="Times New Roman" w:hAnsi="Times New Roman" w:cs="Times New Roman"/>
                <w:bCs/>
                <w:color w:val="auto"/>
                <w:sz w:val="24"/>
                <w:u w:val="none"/>
              </w:rPr>
            </w:pPr>
            <w:r>
              <w:rPr>
                <w:rFonts w:hint="eastAsia" w:ascii="Times New Roman" w:hAnsi="Times New Roman" w:cs="Times New Roman"/>
                <w:bCs/>
                <w:color w:val="auto"/>
                <w:sz w:val="24"/>
                <w:u w:val="none"/>
              </w:rPr>
              <w:t>点声源</w:t>
            </w:r>
            <w:r>
              <w:rPr>
                <w:rFonts w:ascii="Times New Roman" w:hAnsi="Times New Roman" w:cs="Times New Roman"/>
                <w:bCs/>
                <w:color w:val="auto"/>
                <w:sz w:val="24"/>
                <w:u w:val="none"/>
              </w:rPr>
              <w:t>的</w:t>
            </w:r>
            <w:r>
              <w:rPr>
                <w:rFonts w:hint="eastAsia" w:ascii="Times New Roman" w:hAnsi="Times New Roman" w:cs="Times New Roman"/>
                <w:bCs/>
                <w:color w:val="auto"/>
                <w:sz w:val="24"/>
                <w:u w:val="none"/>
              </w:rPr>
              <w:t>几何</w:t>
            </w:r>
            <w:r>
              <w:rPr>
                <w:rFonts w:ascii="Times New Roman" w:hAnsi="Times New Roman" w:cs="Times New Roman"/>
                <w:bCs/>
                <w:color w:val="auto"/>
                <w:sz w:val="24"/>
                <w:u w:val="none"/>
              </w:rPr>
              <w:t>发散衰减的</w:t>
            </w:r>
            <w:r>
              <w:rPr>
                <w:rFonts w:hint="eastAsia" w:ascii="Times New Roman" w:hAnsi="Times New Roman" w:cs="Times New Roman"/>
                <w:bCs/>
                <w:color w:val="auto"/>
                <w:sz w:val="24"/>
                <w:u w:val="none"/>
              </w:rPr>
              <w:t>基本公式</w:t>
            </w:r>
            <w:r>
              <w:rPr>
                <w:rFonts w:ascii="Times New Roman" w:hAnsi="Times New Roman" w:cs="Times New Roman"/>
                <w:bCs/>
                <w:color w:val="auto"/>
                <w:sz w:val="24"/>
                <w:u w:val="none"/>
              </w:rPr>
              <w:t>如下：</w:t>
            </w:r>
          </w:p>
          <w:p>
            <w:pPr>
              <w:spacing w:line="520" w:lineRule="exact"/>
              <w:ind w:firstLine="480" w:firstLineChars="200"/>
              <w:rPr>
                <w:rFonts w:ascii="Times New Roman" w:hAnsi="Times New Roman" w:cs="Times New Roman"/>
                <w:bCs/>
                <w:color w:val="auto"/>
                <w:sz w:val="24"/>
                <w:u w:val="none"/>
              </w:rPr>
            </w:pPr>
            <w:r>
              <w:rPr>
                <w:rFonts w:hint="eastAsia" w:ascii="Times New Roman" w:hAnsi="Times New Roman" w:cs="Times New Roman"/>
                <w:bCs/>
                <w:color w:val="auto"/>
                <w:sz w:val="24"/>
                <w:u w:val="none"/>
              </w:rPr>
              <w:t>式中</w:t>
            </w:r>
            <w:r>
              <w:rPr>
                <w:rFonts w:ascii="Times New Roman" w:hAnsi="Times New Roman" w:cs="Times New Roman"/>
                <w:bCs/>
                <w:color w:val="auto"/>
                <w:sz w:val="24"/>
                <w:u w:val="none"/>
              </w:rPr>
              <w:t>：L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w:t>
            </w:r>
            <w:r>
              <w:rPr>
                <w:rFonts w:ascii="Times New Roman" w:hAnsi="Times New Roman" w:cs="Times New Roman"/>
                <w:bCs/>
                <w:color w:val="auto"/>
                <w:sz w:val="24"/>
                <w:u w:val="none"/>
              </w:rPr>
              <w:t>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-20</w:t>
            </w:r>
            <w:r>
              <w:rPr>
                <w:rFonts w:ascii="Times New Roman" w:hAnsi="Times New Roman" w:cs="Times New Roman"/>
                <w:bCs/>
                <w:color w:val="auto"/>
                <w:sz w:val="24"/>
                <w:u w:val="none"/>
              </w:rPr>
              <w:t>lg（</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ascii="Times New Roman" w:hAnsi="Times New Roman" w:cs="Times New Roman"/>
                <w:bCs/>
                <w:color w:val="auto"/>
                <w:sz w:val="24"/>
                <w:u w:val="none"/>
              </w:rPr>
              <w:t>）</w:t>
            </w:r>
          </w:p>
          <w:p>
            <w:pPr>
              <w:spacing w:line="520" w:lineRule="exact"/>
              <w:ind w:firstLine="1200" w:firstLineChars="500"/>
              <w:rPr>
                <w:rFonts w:ascii="Times New Roman" w:hAnsi="Times New Roman" w:cs="Times New Roman"/>
                <w:bCs/>
                <w:color w:val="auto"/>
                <w:sz w:val="24"/>
                <w:u w:val="none"/>
              </w:rPr>
            </w:pPr>
            <w:r>
              <w:rPr>
                <w:rFonts w:ascii="Times New Roman" w:hAnsi="Times New Roman" w:cs="Times New Roman"/>
                <w:bCs/>
                <w:color w:val="auto"/>
                <w:sz w:val="24"/>
                <w:u w:val="none"/>
              </w:rPr>
              <w:t>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——预测点处声压级，dB；</w:t>
            </w:r>
          </w:p>
          <w:p>
            <w:pPr>
              <w:spacing w:line="520" w:lineRule="exact"/>
              <w:ind w:firstLine="480"/>
              <w:rPr>
                <w:rFonts w:ascii="Times New Roman" w:hAnsi="Times New Roman" w:cs="Times New Roman"/>
                <w:bCs/>
                <w:color w:val="auto"/>
                <w:sz w:val="24"/>
                <w:u w:val="none"/>
              </w:rPr>
            </w:pPr>
            <w:r>
              <w:rPr>
                <w:rFonts w:ascii="Times New Roman" w:hAnsi="Times New Roman" w:cs="Times New Roman"/>
                <w:bCs/>
                <w:color w:val="auto"/>
                <w:sz w:val="24"/>
                <w:u w:val="none"/>
              </w:rPr>
              <w:t xml:space="preserve">      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——参考位置r</w:t>
            </w:r>
            <w:r>
              <w:rPr>
                <w:rFonts w:ascii="Times New Roman" w:hAnsi="Times New Roman" w:cs="Times New Roman"/>
                <w:bCs/>
                <w:color w:val="auto"/>
                <w:sz w:val="24"/>
                <w:u w:val="none"/>
                <w:vertAlign w:val="subscript"/>
              </w:rPr>
              <w:t>0</w:t>
            </w:r>
            <w:r>
              <w:rPr>
                <w:rFonts w:hint="eastAsia" w:ascii="Times New Roman" w:hAnsi="Times New Roman" w:cs="Times New Roman"/>
                <w:bCs/>
                <w:color w:val="auto"/>
                <w:sz w:val="24"/>
                <w:u w:val="none"/>
              </w:rPr>
              <w:t>处的声压级，dB；</w:t>
            </w:r>
          </w:p>
          <w:p>
            <w:pPr>
              <w:spacing w:line="520" w:lineRule="exact"/>
              <w:ind w:firstLine="480"/>
              <w:rPr>
                <w:rFonts w:ascii="Times New Roman" w:hAnsi="Times New Roman" w:cs="Times New Roman"/>
                <w:bCs/>
                <w:color w:val="auto"/>
                <w:sz w:val="24"/>
                <w:u w:val="none"/>
              </w:rPr>
            </w:pPr>
            <w:r>
              <w:rPr>
                <w:rFonts w:ascii="Times New Roman" w:hAnsi="Times New Roman" w:cs="Times New Roman"/>
                <w:bCs/>
                <w:color w:val="auto"/>
                <w:sz w:val="24"/>
                <w:u w:val="none"/>
              </w:rPr>
              <w:t xml:space="preserve">      r——</w:t>
            </w:r>
            <w:r>
              <w:rPr>
                <w:rFonts w:hint="eastAsia" w:ascii="Times New Roman" w:hAnsi="Times New Roman" w:cs="Times New Roman"/>
                <w:bCs/>
                <w:color w:val="auto"/>
                <w:sz w:val="24"/>
                <w:u w:val="none"/>
              </w:rPr>
              <w:t>预测点距声源的距离，</w:t>
            </w:r>
            <w:r>
              <w:rPr>
                <w:rFonts w:ascii="Times New Roman" w:hAnsi="Times New Roman" w:cs="Times New Roman"/>
                <w:bCs/>
                <w:color w:val="auto"/>
                <w:sz w:val="24"/>
                <w:u w:val="none"/>
              </w:rPr>
              <w:t>m；</w:t>
            </w:r>
          </w:p>
          <w:p>
            <w:pPr>
              <w:spacing w:line="520" w:lineRule="exact"/>
              <w:ind w:firstLine="1200" w:firstLineChars="500"/>
              <w:rPr>
                <w:rFonts w:ascii="Times New Roman" w:hAnsi="Times New Roman" w:cs="Times New Roman"/>
                <w:bCs/>
                <w:color w:val="auto"/>
                <w:sz w:val="24"/>
                <w:u w:val="none"/>
              </w:rPr>
            </w:pPr>
            <w:r>
              <w:rPr>
                <w:rFonts w:hint="eastAsia"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hint="eastAsia" w:ascii="Times New Roman" w:hAnsi="Times New Roman" w:cs="Times New Roman"/>
                <w:bCs/>
                <w:color w:val="auto"/>
                <w:sz w:val="24"/>
                <w:u w:val="none"/>
              </w:rPr>
              <w:t>——参考位置距声源的距离，</w:t>
            </w:r>
            <w:r>
              <w:rPr>
                <w:rFonts w:ascii="Times New Roman" w:hAnsi="Times New Roman" w:cs="Times New Roman"/>
                <w:bCs/>
                <w:color w:val="auto"/>
                <w:sz w:val="24"/>
                <w:u w:val="none"/>
              </w:rPr>
              <w:t>m。</w:t>
            </w:r>
          </w:p>
          <w:p>
            <w:pPr>
              <w:spacing w:line="520" w:lineRule="exact"/>
              <w:ind w:firstLine="420" w:firstLineChars="200"/>
              <w:rPr>
                <w:rFonts w:ascii="Times New Roman" w:hAnsi="Times New Roman" w:cs="Times New Roman"/>
                <w:bCs/>
                <w:color w:val="auto"/>
                <w:sz w:val="24"/>
                <w:u w:val="none"/>
              </w:rPr>
            </w:pPr>
            <w:r>
              <w:rPr>
                <w:rFonts w:ascii="Times New Roman" w:hAnsi="Times New Roman" w:cs="Times New Roman"/>
                <w:color w:val="auto"/>
                <w:u w:val="none"/>
              </w:rPr>
              <w:drawing>
                <wp:anchor distT="0" distB="0" distL="114300" distR="114300" simplePos="0" relativeHeight="251698176" behindDoc="0" locked="0" layoutInCell="1" allowOverlap="1">
                  <wp:simplePos x="0" y="0"/>
                  <wp:positionH relativeFrom="column">
                    <wp:posOffset>862965</wp:posOffset>
                  </wp:positionH>
                  <wp:positionV relativeFrom="paragraph">
                    <wp:posOffset>412750</wp:posOffset>
                  </wp:positionV>
                  <wp:extent cx="2837180" cy="544830"/>
                  <wp:effectExtent l="0" t="0" r="1270" b="7620"/>
                  <wp:wrapTopAndBottom/>
                  <wp:docPr id="45" name="图片 45" descr="C:\Users\ADMINI~1\AppData\Local\Temp\ksohtml11864\wps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1\AppData\Local\Temp\ksohtml11864\wps2.wmf"/>
                          <pic:cNvPicPr>
                            <a:picLocks noChangeAspect="1" noChangeArrowheads="1"/>
                          </pic:cNvPicPr>
                        </pic:nvPicPr>
                        <pic:blipFill>
                          <a:blip r:embed="rId25"/>
                          <a:srcRect/>
                          <a:stretch>
                            <a:fillRect/>
                          </a:stretch>
                        </pic:blipFill>
                        <pic:spPr>
                          <a:xfrm>
                            <a:off x="0" y="0"/>
                            <a:ext cx="2837180" cy="544830"/>
                          </a:xfrm>
                          <a:prstGeom prst="rect">
                            <a:avLst/>
                          </a:prstGeom>
                          <a:noFill/>
                          <a:ln>
                            <a:noFill/>
                          </a:ln>
                        </pic:spPr>
                      </pic:pic>
                    </a:graphicData>
                  </a:graphic>
                </wp:anchor>
              </w:drawing>
            </w:r>
            <w:r>
              <w:rPr>
                <w:rFonts w:hint="eastAsia" w:ascii="Times New Roman" w:hAnsi="Times New Roman" w:cs="Times New Roman"/>
                <w:bCs/>
                <w:color w:val="auto"/>
                <w:sz w:val="24"/>
                <w:u w:val="none"/>
              </w:rPr>
              <w:t>拟建</w:t>
            </w:r>
            <w:r>
              <w:rPr>
                <w:rFonts w:ascii="Times New Roman" w:hAnsi="Times New Roman" w:cs="Times New Roman"/>
                <w:bCs/>
                <w:color w:val="auto"/>
                <w:sz w:val="24"/>
                <w:u w:val="none"/>
              </w:rPr>
              <w:t>工程声源在预测点产生的贡献值（L</w:t>
            </w:r>
            <w:r>
              <w:rPr>
                <w:rFonts w:ascii="Times New Roman" w:hAnsi="Times New Roman" w:cs="Times New Roman"/>
                <w:bCs/>
                <w:color w:val="auto"/>
                <w:sz w:val="24"/>
                <w:u w:val="none"/>
                <w:vertAlign w:val="subscript"/>
              </w:rPr>
              <w:t>eqg</w:t>
            </w:r>
            <w:r>
              <w:rPr>
                <w:rFonts w:ascii="Times New Roman" w:hAnsi="Times New Roman" w:cs="Times New Roman"/>
                <w:bCs/>
                <w:color w:val="auto"/>
                <w:sz w:val="24"/>
                <w:u w:val="none"/>
              </w:rPr>
              <w:t>）计算公式：</w:t>
            </w:r>
          </w:p>
          <w:p>
            <w:pPr>
              <w:spacing w:line="500" w:lineRule="exact"/>
              <w:ind w:firstLine="720" w:firstLineChars="300"/>
              <w:rPr>
                <w:rFonts w:ascii="Times New Roman" w:hAnsi="Times New Roman" w:cs="Times New Roman"/>
                <w:bCs/>
                <w:color w:val="auto"/>
                <w:sz w:val="24"/>
                <w:u w:val="none"/>
              </w:rPr>
            </w:pPr>
            <w:r>
              <w:rPr>
                <w:rFonts w:ascii="Times New Roman" w:hAnsi="Times New Roman" w:cs="Times New Roman"/>
                <w:bCs/>
                <w:color w:val="auto"/>
                <w:sz w:val="24"/>
                <w:u w:val="none"/>
              </w:rPr>
              <w:t>式中：</w:t>
            </w:r>
            <w:r>
              <w:rPr>
                <w:rFonts w:ascii="Times New Roman" w:hAnsi="Times New Roman" w:cs="Times New Roman"/>
                <w:bCs/>
                <w:i/>
                <w:color w:val="auto"/>
                <w:sz w:val="24"/>
                <w:u w:val="none"/>
              </w:rPr>
              <w:t>L</w:t>
            </w:r>
            <w:r>
              <w:rPr>
                <w:rFonts w:ascii="Times New Roman" w:hAnsi="Times New Roman" w:cs="Times New Roman"/>
                <w:bCs/>
                <w:color w:val="auto"/>
                <w:sz w:val="24"/>
                <w:u w:val="none"/>
                <w:vertAlign w:val="subscript"/>
              </w:rPr>
              <w:t>eqg</w:t>
            </w:r>
            <w:r>
              <w:rPr>
                <w:rFonts w:hint="eastAsia" w:ascii="Times New Roman" w:hAnsi="Times New Roman" w:cs="Times New Roman"/>
                <w:bCs/>
                <w:color w:val="auto"/>
                <w:sz w:val="24"/>
                <w:u w:val="none"/>
              </w:rPr>
              <w:t>——建设</w:t>
            </w:r>
            <w:r>
              <w:rPr>
                <w:rFonts w:ascii="Times New Roman" w:hAnsi="Times New Roman" w:cs="Times New Roman"/>
                <w:bCs/>
                <w:color w:val="auto"/>
                <w:sz w:val="24"/>
                <w:u w:val="none"/>
              </w:rPr>
              <w:t>项目</w:t>
            </w:r>
            <w:r>
              <w:rPr>
                <w:rFonts w:hint="eastAsia" w:ascii="Times New Roman" w:hAnsi="Times New Roman" w:cs="Times New Roman"/>
                <w:bCs/>
                <w:color w:val="auto"/>
                <w:sz w:val="24"/>
                <w:u w:val="none"/>
              </w:rPr>
              <w:t>声源在</w:t>
            </w:r>
            <w:r>
              <w:rPr>
                <w:rFonts w:ascii="Times New Roman" w:hAnsi="Times New Roman" w:cs="Times New Roman"/>
                <w:bCs/>
                <w:color w:val="auto"/>
                <w:sz w:val="24"/>
                <w:u w:val="none"/>
              </w:rPr>
              <w:t>预测的产生的</w:t>
            </w:r>
            <w:r>
              <w:rPr>
                <w:rFonts w:hint="eastAsia" w:ascii="Times New Roman" w:hAnsi="Times New Roman" w:cs="Times New Roman"/>
                <w:bCs/>
                <w:color w:val="auto"/>
                <w:sz w:val="24"/>
                <w:u w:val="none"/>
              </w:rPr>
              <w:t>噪声</w:t>
            </w:r>
            <w:r>
              <w:rPr>
                <w:rFonts w:ascii="Times New Roman" w:hAnsi="Times New Roman" w:cs="Times New Roman"/>
                <w:bCs/>
                <w:color w:val="auto"/>
                <w:sz w:val="24"/>
                <w:u w:val="none"/>
              </w:rPr>
              <w:t>贡献值，dB；</w:t>
            </w:r>
          </w:p>
          <w:p>
            <w:pPr>
              <w:spacing w:line="500" w:lineRule="exact"/>
              <w:ind w:firstLine="480" w:firstLineChars="200"/>
              <w:rPr>
                <w:rFonts w:ascii="Times New Roman" w:hAnsi="Times New Roman" w:cs="Times New Roman"/>
                <w:bCs/>
                <w:color w:val="auto"/>
                <w:sz w:val="24"/>
                <w:u w:val="none"/>
              </w:rPr>
            </w:pPr>
            <w:r>
              <w:rPr>
                <w:rFonts w:ascii="Times New Roman" w:hAnsi="Times New Roman" w:cs="Times New Roman"/>
                <w:bCs/>
                <w:color w:val="auto"/>
                <w:sz w:val="24"/>
                <w:u w:val="none"/>
              </w:rPr>
              <w:t xml:space="preserve">        </w:t>
            </w:r>
            <w:r>
              <w:rPr>
                <w:rFonts w:ascii="Times New Roman" w:hAnsi="Times New Roman" w:cs="Times New Roman"/>
                <w:bCs/>
                <w:i/>
                <w:color w:val="auto"/>
                <w:sz w:val="24"/>
                <w:u w:val="none"/>
              </w:rPr>
              <w:t>T</w:t>
            </w:r>
            <w:r>
              <w:rPr>
                <w:rFonts w:hint="eastAsia" w:ascii="Times New Roman" w:hAnsi="Times New Roman" w:cs="Times New Roman"/>
                <w:bCs/>
                <w:color w:val="auto"/>
                <w:sz w:val="24"/>
                <w:u w:val="none"/>
              </w:rPr>
              <w:t>——用于计算等效声级的时间</w:t>
            </w:r>
            <w:r>
              <w:rPr>
                <w:rFonts w:ascii="Times New Roman" w:hAnsi="Times New Roman" w:cs="Times New Roman"/>
                <w:bCs/>
                <w:color w:val="auto"/>
                <w:sz w:val="24"/>
                <w:u w:val="none"/>
              </w:rPr>
              <w:t>，s；</w:t>
            </w:r>
          </w:p>
          <w:p>
            <w:pPr>
              <w:spacing w:line="500" w:lineRule="exact"/>
              <w:ind w:firstLine="480" w:firstLineChars="200"/>
              <w:rPr>
                <w:rFonts w:ascii="Times New Roman" w:hAnsi="Times New Roman" w:cs="Times New Roman"/>
                <w:bCs/>
                <w:color w:val="auto"/>
                <w:sz w:val="24"/>
                <w:u w:val="none"/>
              </w:rPr>
            </w:pPr>
            <w:r>
              <w:rPr>
                <w:rFonts w:hint="eastAsia" w:ascii="Times New Roman" w:hAnsi="Times New Roman" w:cs="Times New Roman"/>
                <w:bCs/>
                <w:color w:val="auto"/>
                <w:sz w:val="24"/>
                <w:u w:val="none"/>
              </w:rPr>
              <w:t xml:space="preserve">    </w:t>
            </w:r>
            <w:r>
              <w:rPr>
                <w:rFonts w:ascii="Times New Roman" w:hAnsi="Times New Roman" w:cs="Times New Roman"/>
                <w:bCs/>
                <w:color w:val="auto"/>
                <w:sz w:val="24"/>
                <w:u w:val="none"/>
              </w:rPr>
              <w:t xml:space="preserve"> </w:t>
            </w:r>
            <w:r>
              <w:rPr>
                <w:rFonts w:hint="eastAsia" w:ascii="Times New Roman" w:hAnsi="Times New Roman" w:cs="Times New Roman"/>
                <w:bCs/>
                <w:color w:val="auto"/>
                <w:sz w:val="24"/>
                <w:u w:val="none"/>
              </w:rPr>
              <w:t xml:space="preserve">   </w:t>
            </w:r>
            <w:r>
              <w:rPr>
                <w:rFonts w:ascii="Times New Roman" w:hAnsi="Times New Roman" w:cs="Times New Roman"/>
                <w:bCs/>
                <w:color w:val="auto"/>
                <w:sz w:val="24"/>
                <w:u w:val="none"/>
              </w:rPr>
              <w:t>N——</w:t>
            </w:r>
            <w:r>
              <w:rPr>
                <w:rFonts w:hint="eastAsia" w:ascii="Times New Roman" w:hAnsi="Times New Roman" w:cs="Times New Roman"/>
                <w:bCs/>
                <w:color w:val="auto"/>
                <w:sz w:val="24"/>
                <w:u w:val="none"/>
              </w:rPr>
              <w:t>室外</w:t>
            </w:r>
            <w:r>
              <w:rPr>
                <w:rFonts w:ascii="Times New Roman" w:hAnsi="Times New Roman" w:cs="Times New Roman"/>
                <w:bCs/>
                <w:color w:val="auto"/>
                <w:sz w:val="24"/>
                <w:u w:val="none"/>
              </w:rPr>
              <w:t>声源</w:t>
            </w:r>
            <w:r>
              <w:rPr>
                <w:rFonts w:hint="eastAsia" w:ascii="Times New Roman" w:hAnsi="Times New Roman" w:cs="Times New Roman"/>
                <w:bCs/>
                <w:color w:val="auto"/>
                <w:sz w:val="24"/>
                <w:u w:val="none"/>
              </w:rPr>
              <w:t>个数；</w:t>
            </w:r>
          </w:p>
          <w:p>
            <w:pPr>
              <w:spacing w:line="500" w:lineRule="exact"/>
              <w:ind w:firstLine="480" w:firstLineChars="200"/>
              <w:rPr>
                <w:rFonts w:ascii="Times New Roman" w:hAnsi="Times New Roman" w:cs="Times New Roman"/>
                <w:bCs/>
                <w:color w:val="auto"/>
                <w:sz w:val="24"/>
                <w:u w:val="none"/>
              </w:rPr>
            </w:pPr>
            <w:r>
              <w:rPr>
                <w:rFonts w:ascii="Times New Roman" w:hAnsi="Times New Roman" w:cs="Times New Roman"/>
                <w:bCs/>
                <w:color w:val="auto"/>
                <w:sz w:val="24"/>
                <w:u w:val="none"/>
              </w:rPr>
              <w:t xml:space="preserve">        </w:t>
            </w:r>
            <w:r>
              <w:rPr>
                <w:rFonts w:ascii="Times New Roman" w:hAnsi="Times New Roman" w:cs="Times New Roman"/>
                <w:bCs/>
                <w:i/>
                <w:color w:val="auto"/>
                <w:sz w:val="24"/>
                <w:u w:val="none"/>
              </w:rPr>
              <w:t>t</w:t>
            </w:r>
            <w:r>
              <w:rPr>
                <w:rFonts w:ascii="Times New Roman" w:hAnsi="Times New Roman" w:cs="Times New Roman"/>
                <w:bCs/>
                <w:i/>
                <w:color w:val="auto"/>
                <w:sz w:val="24"/>
                <w:u w:val="none"/>
                <w:vertAlign w:val="subscript"/>
              </w:rPr>
              <w:t>i</w:t>
            </w:r>
            <w:r>
              <w:rPr>
                <w:rFonts w:hint="eastAsia" w:ascii="Times New Roman" w:hAnsi="Times New Roman" w:cs="Times New Roman"/>
                <w:bCs/>
                <w:i/>
                <w:color w:val="auto"/>
                <w:sz w:val="24"/>
                <w:u w:val="none"/>
              </w:rPr>
              <w:t>——</w:t>
            </w:r>
            <w:r>
              <w:rPr>
                <w:rFonts w:ascii="Times New Roman" w:hAnsi="Times New Roman" w:cs="Times New Roman"/>
                <w:bCs/>
                <w:color w:val="auto"/>
                <w:sz w:val="24"/>
                <w:u w:val="none"/>
              </w:rPr>
              <w:t>在T</w:t>
            </w:r>
            <w:r>
              <w:rPr>
                <w:rFonts w:hint="eastAsia" w:ascii="Times New Roman" w:hAnsi="Times New Roman" w:cs="Times New Roman"/>
                <w:bCs/>
                <w:color w:val="auto"/>
                <w:sz w:val="24"/>
                <w:u w:val="none"/>
              </w:rPr>
              <w:t>时间内</w:t>
            </w:r>
            <w:r>
              <w:rPr>
                <w:rFonts w:ascii="Times New Roman" w:hAnsi="Times New Roman" w:cs="Times New Roman"/>
                <w:bCs/>
                <w:i/>
                <w:color w:val="auto"/>
                <w:sz w:val="24"/>
                <w:u w:val="none"/>
              </w:rPr>
              <w:t>i</w:t>
            </w:r>
            <w:r>
              <w:rPr>
                <w:rFonts w:ascii="Times New Roman" w:hAnsi="Times New Roman" w:cs="Times New Roman"/>
                <w:bCs/>
                <w:color w:val="auto"/>
                <w:sz w:val="24"/>
                <w:u w:val="none"/>
              </w:rPr>
              <w:t>声源内</w:t>
            </w:r>
            <w:r>
              <w:rPr>
                <w:rFonts w:hint="eastAsia" w:ascii="Times New Roman" w:hAnsi="Times New Roman" w:cs="Times New Roman"/>
                <w:bCs/>
                <w:color w:val="auto"/>
                <w:sz w:val="24"/>
                <w:u w:val="none"/>
              </w:rPr>
              <w:t>工作时间</w:t>
            </w:r>
            <w:r>
              <w:rPr>
                <w:rFonts w:ascii="Times New Roman" w:hAnsi="Times New Roman" w:cs="Times New Roman"/>
                <w:bCs/>
                <w:color w:val="auto"/>
                <w:sz w:val="24"/>
                <w:u w:val="none"/>
              </w:rPr>
              <w:t>，s；</w:t>
            </w:r>
          </w:p>
          <w:p>
            <w:pPr>
              <w:spacing w:line="500" w:lineRule="exact"/>
              <w:ind w:firstLine="480" w:firstLineChars="200"/>
              <w:rPr>
                <w:rFonts w:ascii="Times New Roman" w:hAnsi="Times New Roman" w:cs="Times New Roman"/>
                <w:bCs/>
                <w:color w:val="auto"/>
                <w:sz w:val="24"/>
                <w:u w:val="none"/>
              </w:rPr>
            </w:pPr>
            <w:r>
              <w:rPr>
                <w:rFonts w:ascii="Times New Roman" w:hAnsi="Times New Roman" w:cs="Times New Roman"/>
                <w:bCs/>
                <w:color w:val="auto"/>
                <w:sz w:val="24"/>
                <w:u w:val="none"/>
              </w:rPr>
              <w:t xml:space="preserve">        M——</w:t>
            </w:r>
            <w:r>
              <w:rPr>
                <w:rFonts w:hint="eastAsia" w:ascii="Times New Roman" w:hAnsi="Times New Roman" w:cs="Times New Roman"/>
                <w:bCs/>
                <w:color w:val="auto"/>
                <w:sz w:val="24"/>
                <w:u w:val="none"/>
              </w:rPr>
              <w:t>等效室外声源个数；</w:t>
            </w:r>
          </w:p>
          <w:p>
            <w:pPr>
              <w:spacing w:line="500" w:lineRule="exact"/>
              <w:ind w:firstLine="480" w:firstLineChars="200"/>
              <w:rPr>
                <w:rFonts w:ascii="Times New Roman" w:hAnsi="Times New Roman" w:cs="Times New Roman"/>
                <w:bCs/>
                <w:color w:val="auto"/>
                <w:sz w:val="24"/>
                <w:u w:val="none"/>
              </w:rPr>
            </w:pPr>
            <w:r>
              <w:rPr>
                <w:rFonts w:ascii="Times New Roman" w:hAnsi="Times New Roman" w:cs="Times New Roman"/>
                <w:bCs/>
                <w:color w:val="auto"/>
                <w:sz w:val="24"/>
                <w:u w:val="none"/>
              </w:rPr>
              <w:t xml:space="preserve">        </w:t>
            </w:r>
            <w:r>
              <w:rPr>
                <w:rFonts w:ascii="Times New Roman" w:hAnsi="Times New Roman" w:cs="Times New Roman"/>
                <w:bCs/>
                <w:i/>
                <w:color w:val="auto"/>
                <w:sz w:val="24"/>
                <w:u w:val="none"/>
              </w:rPr>
              <w:t>t</w:t>
            </w:r>
            <w:r>
              <w:rPr>
                <w:rFonts w:ascii="Times New Roman" w:hAnsi="Times New Roman" w:cs="Times New Roman"/>
                <w:bCs/>
                <w:i/>
                <w:color w:val="auto"/>
                <w:sz w:val="24"/>
                <w:u w:val="none"/>
                <w:vertAlign w:val="subscript"/>
              </w:rPr>
              <w:t>i</w:t>
            </w:r>
            <w:r>
              <w:rPr>
                <w:rFonts w:hint="eastAsia" w:ascii="Times New Roman" w:hAnsi="Times New Roman" w:cs="Times New Roman"/>
                <w:bCs/>
                <w:i/>
                <w:color w:val="auto"/>
                <w:sz w:val="24"/>
                <w:u w:val="none"/>
              </w:rPr>
              <w:t>——</w:t>
            </w:r>
            <w:r>
              <w:rPr>
                <w:rFonts w:ascii="Times New Roman" w:hAnsi="Times New Roman" w:cs="Times New Roman"/>
                <w:bCs/>
                <w:color w:val="auto"/>
                <w:sz w:val="24"/>
                <w:u w:val="none"/>
              </w:rPr>
              <w:t>在T</w:t>
            </w:r>
            <w:r>
              <w:rPr>
                <w:rFonts w:hint="eastAsia" w:ascii="Times New Roman" w:hAnsi="Times New Roman" w:cs="Times New Roman"/>
                <w:bCs/>
                <w:color w:val="auto"/>
                <w:sz w:val="24"/>
                <w:u w:val="none"/>
              </w:rPr>
              <w:t>时间内</w:t>
            </w:r>
            <w:r>
              <w:rPr>
                <w:rFonts w:ascii="Times New Roman" w:hAnsi="Times New Roman" w:cs="Times New Roman"/>
                <w:bCs/>
                <w:i/>
                <w:color w:val="auto"/>
                <w:sz w:val="24"/>
                <w:u w:val="none"/>
              </w:rPr>
              <w:t>j</w:t>
            </w:r>
            <w:r>
              <w:rPr>
                <w:rFonts w:ascii="Times New Roman" w:hAnsi="Times New Roman" w:cs="Times New Roman"/>
                <w:bCs/>
                <w:color w:val="auto"/>
                <w:sz w:val="24"/>
                <w:u w:val="none"/>
              </w:rPr>
              <w:t>声源内</w:t>
            </w:r>
            <w:r>
              <w:rPr>
                <w:rFonts w:hint="eastAsia" w:ascii="Times New Roman" w:hAnsi="Times New Roman" w:cs="Times New Roman"/>
                <w:bCs/>
                <w:color w:val="auto"/>
                <w:sz w:val="24"/>
                <w:u w:val="none"/>
              </w:rPr>
              <w:t>工作时间</w:t>
            </w:r>
            <w:r>
              <w:rPr>
                <w:rFonts w:ascii="Times New Roman" w:hAnsi="Times New Roman" w:cs="Times New Roman"/>
                <w:bCs/>
                <w:color w:val="auto"/>
                <w:sz w:val="24"/>
                <w:u w:val="none"/>
              </w:rPr>
              <w:t>，s</w:t>
            </w:r>
            <w:r>
              <w:rPr>
                <w:rFonts w:hint="eastAsia" w:ascii="Times New Roman" w:hAnsi="Times New Roman" w:cs="Times New Roman"/>
                <w:bCs/>
                <w:color w:val="auto"/>
                <w:sz w:val="24"/>
                <w:u w:val="none"/>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color w:val="auto"/>
                <w:sz w:val="24"/>
                <w:u w:val="none"/>
              </w:rPr>
            </w:pPr>
            <w:r>
              <w:rPr>
                <w:rFonts w:hint="eastAsia" w:ascii="Times New Roman" w:hAnsi="Times New Roman" w:cs="Times New Roman"/>
                <w:color w:val="auto"/>
                <w:sz w:val="24"/>
                <w:u w:val="none"/>
              </w:rPr>
              <w:t>根据本项目噪声源在</w:t>
            </w:r>
            <w:r>
              <w:rPr>
                <w:rFonts w:hint="eastAsia" w:ascii="Times New Roman" w:hAnsi="Times New Roman" w:cs="Times New Roman"/>
                <w:color w:val="auto"/>
                <w:sz w:val="24"/>
                <w:u w:val="none"/>
                <w:lang w:val="en-US" w:eastAsia="zh-CN"/>
              </w:rPr>
              <w:t>站</w:t>
            </w:r>
            <w:r>
              <w:rPr>
                <w:rFonts w:hint="eastAsia" w:ascii="Times New Roman" w:hAnsi="Times New Roman" w:cs="Times New Roman"/>
                <w:color w:val="auto"/>
                <w:sz w:val="24"/>
                <w:u w:val="none"/>
              </w:rPr>
              <w:t>区内的分布，选择主要高噪声源对厂界的影响进行预测。</w:t>
            </w:r>
            <w:r>
              <w:rPr>
                <w:rFonts w:ascii="Times New Roman" w:hAnsi="Times New Roman" w:cs="Times New Roman"/>
                <w:color w:val="auto"/>
                <w:sz w:val="24"/>
                <w:u w:val="none"/>
              </w:rPr>
              <w:t>经基础减振、消声等措施治理后源强可将</w:t>
            </w:r>
            <w:r>
              <w:rPr>
                <w:rFonts w:hint="eastAsia" w:ascii="Times New Roman" w:hAnsi="Times New Roman" w:cs="Times New Roman"/>
                <w:color w:val="auto"/>
                <w:sz w:val="24"/>
                <w:u w:val="none"/>
              </w:rPr>
              <w:t>1</w:t>
            </w:r>
            <w:r>
              <w:rPr>
                <w:rFonts w:ascii="Times New Roman" w:hAnsi="Times New Roman" w:cs="Times New Roman"/>
                <w:color w:val="auto"/>
                <w:sz w:val="24"/>
                <w:u w:val="none"/>
              </w:rPr>
              <w:t>5dB（</w:t>
            </w:r>
            <w:r>
              <w:rPr>
                <w:rFonts w:hint="eastAsia" w:ascii="Times New Roman" w:hAnsi="Times New Roman" w:cs="Times New Roman"/>
                <w:color w:val="auto"/>
                <w:sz w:val="24"/>
                <w:u w:val="none"/>
              </w:rPr>
              <w:t>A</w:t>
            </w:r>
            <w:r>
              <w:rPr>
                <w:rFonts w:ascii="Times New Roman" w:hAnsi="Times New Roman" w:cs="Times New Roman"/>
                <w:color w:val="auto"/>
                <w:sz w:val="24"/>
                <w:u w:val="none"/>
              </w:rPr>
              <w:t>）</w:t>
            </w:r>
            <w:r>
              <w:rPr>
                <w:rFonts w:hint="eastAsia" w:ascii="Times New Roman" w:hAnsi="Times New Roman" w:cs="Times New Roman"/>
                <w:color w:val="auto"/>
                <w:sz w:val="24"/>
                <w:u w:val="none"/>
              </w:rPr>
              <w:t>以上</w:t>
            </w:r>
            <w:r>
              <w:rPr>
                <w:rFonts w:ascii="Times New Roman" w:hAnsi="Times New Roman" w:cs="Times New Roman"/>
                <w:color w:val="auto"/>
                <w:sz w:val="24"/>
                <w:u w:val="none"/>
              </w:rPr>
              <w:t>，评价以</w:t>
            </w:r>
            <w:r>
              <w:rPr>
                <w:rFonts w:hint="eastAsia" w:ascii="Times New Roman" w:hAnsi="Times New Roman" w:cs="Times New Roman"/>
                <w:color w:val="auto"/>
                <w:sz w:val="24"/>
                <w:u w:val="none"/>
                <w:lang w:val="en-US" w:eastAsia="zh-CN"/>
              </w:rPr>
              <w:t>20</w:t>
            </w:r>
            <w:r>
              <w:rPr>
                <w:rFonts w:ascii="Times New Roman" w:hAnsi="Times New Roman" w:cs="Times New Roman"/>
                <w:color w:val="auto"/>
                <w:sz w:val="24"/>
                <w:u w:val="none"/>
              </w:rPr>
              <w:t>dB（</w:t>
            </w:r>
            <w:r>
              <w:rPr>
                <w:rFonts w:hint="eastAsia" w:ascii="Times New Roman" w:hAnsi="Times New Roman" w:cs="Times New Roman"/>
                <w:color w:val="auto"/>
                <w:sz w:val="24"/>
                <w:u w:val="none"/>
              </w:rPr>
              <w:t>A</w:t>
            </w:r>
            <w:r>
              <w:rPr>
                <w:rFonts w:ascii="Times New Roman" w:hAnsi="Times New Roman" w:cs="Times New Roman"/>
                <w:color w:val="auto"/>
                <w:sz w:val="24"/>
                <w:u w:val="none"/>
              </w:rPr>
              <w:t>）</w:t>
            </w:r>
            <w:r>
              <w:rPr>
                <w:rFonts w:hint="eastAsia" w:ascii="Times New Roman" w:hAnsi="Times New Roman" w:cs="Times New Roman"/>
                <w:color w:val="auto"/>
                <w:sz w:val="24"/>
                <w:u w:val="none"/>
                <w:lang w:val="en-US" w:eastAsia="zh-CN"/>
              </w:rPr>
              <w:t>计算</w:t>
            </w:r>
            <w:r>
              <w:rPr>
                <w:rFonts w:ascii="Times New Roman" w:hAnsi="Times New Roman" w:cs="Times New Roman"/>
                <w:color w:val="auto"/>
                <w:sz w:val="24"/>
                <w:u w:val="none"/>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（4）预测结果</w:t>
            </w:r>
          </w:p>
          <w:p>
            <w:pPr>
              <w:pStyle w:val="60"/>
              <w:keepNext w:val="0"/>
              <w:keepLines w:val="0"/>
              <w:pageBreakBefore w:val="0"/>
              <w:widowControl w:val="0"/>
              <w:kinsoku/>
              <w:wordWrap/>
              <w:overflowPunct/>
              <w:topLinePunct w:val="0"/>
              <w:autoSpaceDE/>
              <w:autoSpaceDN/>
              <w:bidi w:val="0"/>
              <w:adjustRightInd/>
              <w:snapToGrid/>
              <w:spacing w:line="460" w:lineRule="exact"/>
              <w:rPr>
                <w:rFonts w:hint="default" w:ascii="Times New Roman" w:hAnsi="Times New Roman" w:cs="Times New Roman"/>
                <w:color w:val="auto"/>
                <w:kern w:val="2"/>
                <w:szCs w:val="24"/>
                <w:u w:val="none"/>
              </w:rPr>
            </w:pPr>
            <w:r>
              <w:rPr>
                <w:rFonts w:hint="default" w:ascii="Times New Roman" w:hAnsi="Times New Roman" w:cs="Times New Roman"/>
                <w:color w:val="auto"/>
                <w:kern w:val="2"/>
                <w:sz w:val="24"/>
                <w:szCs w:val="24"/>
                <w:u w:val="none"/>
              </w:rPr>
              <w:t>经调查，项目</w:t>
            </w:r>
            <w:r>
              <w:rPr>
                <w:rFonts w:hint="eastAsia" w:cs="Times New Roman"/>
                <w:color w:val="auto"/>
                <w:kern w:val="2"/>
                <w:sz w:val="24"/>
                <w:szCs w:val="24"/>
                <w:u w:val="none"/>
                <w:lang w:val="en-US" w:eastAsia="zh-CN"/>
              </w:rPr>
              <w:t>风机每天运行约为6小时</w:t>
            </w:r>
            <w:r>
              <w:rPr>
                <w:rFonts w:hint="default" w:ascii="Times New Roman" w:hAnsi="Times New Roman" w:cs="Times New Roman"/>
                <w:color w:val="auto"/>
                <w:kern w:val="2"/>
                <w:sz w:val="24"/>
                <w:szCs w:val="24"/>
                <w:u w:val="none"/>
              </w:rPr>
              <w:t>，因此本次评价预测项目噪声源对厂界四周噪声贡献情况。噪声预测结果见下表。</w:t>
            </w:r>
          </w:p>
          <w:p>
            <w:pPr>
              <w:pStyle w:val="18"/>
              <w:spacing w:after="0" w:line="520" w:lineRule="exact"/>
              <w:ind w:left="0" w:leftChars="0" w:firstLine="480" w:firstLineChars="200"/>
              <w:jc w:val="center"/>
              <w:rPr>
                <w:rFonts w:hint="eastAsia" w:ascii="Times New Roman" w:hAnsi="Times New Roman" w:eastAsia="黑体" w:cs="Times New Roman"/>
                <w:color w:val="auto"/>
                <w:sz w:val="24"/>
                <w:szCs w:val="24"/>
                <w:u w:val="singl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ascii="Times New Roman" w:hAnsi="Times New Roman" w:eastAsia="黑体" w:cs="Times New Roman"/>
                <w:b w:val="0"/>
                <w:bCs w:val="0"/>
                <w:color w:val="auto"/>
                <w:sz w:val="24"/>
                <w:szCs w:val="24"/>
                <w:u w:val="none"/>
                <w:lang w:val="en-US" w:eastAsia="zh-CN"/>
              </w:rPr>
              <w:t>40</w:t>
            </w:r>
            <w:r>
              <w:rPr>
                <w:rFonts w:hint="default" w:ascii="Times New Roman" w:hAnsi="Times New Roman" w:eastAsia="黑体" w:cs="Times New Roman"/>
                <w:b w:val="0"/>
                <w:bCs w:val="0"/>
                <w:color w:val="auto"/>
                <w:sz w:val="24"/>
                <w:szCs w:val="24"/>
                <w:u w:val="none"/>
                <w:lang w:val="en-US" w:eastAsia="zh-CN"/>
              </w:rPr>
              <w:t xml:space="preserve"> </w:t>
            </w:r>
            <w:r>
              <w:rPr>
                <w:rFonts w:hint="eastAsia" w:ascii="Times New Roman" w:hAnsi="Times New Roman" w:eastAsia="黑体" w:cs="Times New Roman"/>
                <w:color w:val="auto"/>
                <w:kern w:val="2"/>
                <w:sz w:val="24"/>
                <w:szCs w:val="24"/>
                <w:u w:val="single"/>
                <w:lang w:val="en-US" w:eastAsia="zh-CN" w:bidi="ar-SA"/>
              </w:rPr>
              <w:t>本项目实施后厂界噪声预测结果一览表 单位：dB（A）</w:t>
            </w:r>
          </w:p>
          <w:tbl>
            <w:tblPr>
              <w:tblStyle w:val="28"/>
              <w:tblW w:w="867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7"/>
              <w:gridCol w:w="2719"/>
              <w:gridCol w:w="1034"/>
              <w:gridCol w:w="1000"/>
              <w:gridCol w:w="966"/>
              <w:gridCol w:w="1441"/>
              <w:gridCol w:w="7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8" w:hRule="atLeast"/>
              </w:trPr>
              <w:tc>
                <w:tcPr>
                  <w:tcW w:w="757" w:type="dxa"/>
                  <w:tcBorders>
                    <w:left w:val="single" w:color="auto" w:sz="0" w:space="0"/>
                  </w:tcBorders>
                  <w:noWrap w:val="0"/>
                  <w:vAlign w:val="center"/>
                </w:tcPr>
                <w:p>
                  <w:pPr>
                    <w:adjustRightInd w:val="0"/>
                    <w:snapToGrid w:val="0"/>
                    <w:spacing w:line="240" w:lineRule="auto"/>
                    <w:jc w:val="center"/>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预测方位</w:t>
                  </w:r>
                </w:p>
              </w:tc>
              <w:tc>
                <w:tcPr>
                  <w:tcW w:w="2719" w:type="dxa"/>
                  <w:noWrap w:val="0"/>
                  <w:vAlign w:val="center"/>
                </w:tcPr>
                <w:p>
                  <w:pPr>
                    <w:adjustRightInd w:val="0"/>
                    <w:snapToGrid w:val="0"/>
                    <w:spacing w:line="24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声源</w:t>
                  </w:r>
                </w:p>
              </w:tc>
              <w:tc>
                <w:tcPr>
                  <w:tcW w:w="1034" w:type="dxa"/>
                  <w:noWrap w:val="0"/>
                  <w:vAlign w:val="center"/>
                </w:tcPr>
                <w:p>
                  <w:pPr>
                    <w:adjustRightInd w:val="0"/>
                    <w:snapToGrid w:val="0"/>
                    <w:spacing w:line="24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治理后源强</w:t>
                  </w:r>
                </w:p>
              </w:tc>
              <w:tc>
                <w:tcPr>
                  <w:tcW w:w="1000" w:type="dxa"/>
                  <w:noWrap w:val="0"/>
                  <w:vAlign w:val="center"/>
                </w:tcPr>
                <w:p>
                  <w:pPr>
                    <w:adjustRightInd w:val="0"/>
                    <w:snapToGrid w:val="0"/>
                    <w:spacing w:line="24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与厂界距离（m）</w:t>
                  </w:r>
                </w:p>
              </w:tc>
              <w:tc>
                <w:tcPr>
                  <w:tcW w:w="966" w:type="dxa"/>
                  <w:noWrap w:val="0"/>
                  <w:vAlign w:val="center"/>
                </w:tcPr>
                <w:p>
                  <w:pPr>
                    <w:adjustRightInd w:val="0"/>
                    <w:snapToGrid w:val="0"/>
                    <w:spacing w:line="24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贡献值</w:t>
                  </w:r>
                </w:p>
              </w:tc>
              <w:tc>
                <w:tcPr>
                  <w:tcW w:w="1441" w:type="dxa"/>
                  <w:noWrap w:val="0"/>
                  <w:vAlign w:val="center"/>
                </w:tcPr>
                <w:p>
                  <w:pPr>
                    <w:adjustRightInd w:val="0"/>
                    <w:snapToGrid w:val="0"/>
                    <w:spacing w:line="240" w:lineRule="auto"/>
                    <w:jc w:val="center"/>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标准限值</w:t>
                  </w:r>
                </w:p>
                <w:p>
                  <w:pPr>
                    <w:adjustRightInd w:val="0"/>
                    <w:snapToGrid w:val="0"/>
                    <w:spacing w:line="240" w:lineRule="auto"/>
                    <w:jc w:val="center"/>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（dB（A）（夜/昼）</w:t>
                  </w:r>
                </w:p>
              </w:tc>
              <w:tc>
                <w:tcPr>
                  <w:tcW w:w="760" w:type="dxa"/>
                  <w:tcBorders>
                    <w:right w:val="single" w:color="auto" w:sz="4" w:space="0"/>
                  </w:tcBorders>
                  <w:noWrap w:val="0"/>
                  <w:vAlign w:val="center"/>
                </w:tcPr>
                <w:p>
                  <w:pPr>
                    <w:adjustRightInd w:val="0"/>
                    <w:snapToGrid w:val="0"/>
                    <w:spacing w:line="240" w:lineRule="auto"/>
                    <w:jc w:val="center"/>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57" w:type="dxa"/>
                  <w:tcBorders>
                    <w:left w:val="single" w:color="auto"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东</w:t>
                  </w:r>
                </w:p>
              </w:tc>
              <w:tc>
                <w:tcPr>
                  <w:tcW w:w="271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 w:val="21"/>
                      <w:szCs w:val="21"/>
                      <w:u w:val="single"/>
                      <w:lang w:val="en-US" w:eastAsia="zh-CN"/>
                    </w:rPr>
                    <w:t>水喷淋塔风机</w:t>
                  </w:r>
                </w:p>
              </w:tc>
              <w:tc>
                <w:tcPr>
                  <w:tcW w:w="1034" w:type="dxa"/>
                  <w:noWrap w:val="0"/>
                  <w:vAlign w:val="center"/>
                </w:tcPr>
                <w:p>
                  <w:pPr>
                    <w:adjustRightInd w:val="0"/>
                    <w:snapToGrid w:val="0"/>
                    <w:spacing w:line="36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65</w:t>
                  </w:r>
                </w:p>
              </w:tc>
              <w:tc>
                <w:tcPr>
                  <w:tcW w:w="1000" w:type="dxa"/>
                  <w:noWrap w:val="0"/>
                  <w:vAlign w:val="center"/>
                </w:tcPr>
                <w:p>
                  <w:pPr>
                    <w:adjustRightInd w:val="0"/>
                    <w:snapToGrid w:val="0"/>
                    <w:spacing w:line="36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36</w:t>
                  </w:r>
                </w:p>
              </w:tc>
              <w:tc>
                <w:tcPr>
                  <w:tcW w:w="966" w:type="dxa"/>
                  <w:noWrap w:val="0"/>
                  <w:vAlign w:val="center"/>
                </w:tcPr>
                <w:p>
                  <w:pPr>
                    <w:adjustRightInd w:val="0"/>
                    <w:snapToGrid w:val="0"/>
                    <w:spacing w:line="360" w:lineRule="auto"/>
                    <w:jc w:val="center"/>
                    <w:rPr>
                      <w:rFonts w:hint="default" w:ascii="Times New Roman" w:hAnsi="Times New Roman" w:eastAsia="宋体" w:cs="Times New Roman"/>
                      <w:color w:val="auto"/>
                      <w:szCs w:val="21"/>
                      <w:highlight w:val="yellow"/>
                      <w:u w:val="single"/>
                      <w:lang w:val="en-US" w:eastAsia="zh-CN"/>
                    </w:rPr>
                  </w:pPr>
                  <w:r>
                    <w:rPr>
                      <w:rFonts w:hint="eastAsia" w:ascii="Times New Roman" w:hAnsi="Times New Roman" w:cs="Times New Roman"/>
                      <w:color w:val="auto"/>
                      <w:szCs w:val="21"/>
                      <w:highlight w:val="none"/>
                      <w:u w:val="single"/>
                      <w:lang w:val="en-US" w:eastAsia="zh-CN"/>
                    </w:rPr>
                    <w:t>4</w:t>
                  </w:r>
                  <w:r>
                    <w:rPr>
                      <w:rFonts w:hint="eastAsia" w:cs="Times New Roman"/>
                      <w:color w:val="auto"/>
                      <w:szCs w:val="21"/>
                      <w:highlight w:val="none"/>
                      <w:u w:val="single"/>
                      <w:lang w:val="en-US" w:eastAsia="zh-CN"/>
                    </w:rPr>
                    <w:t>1</w:t>
                  </w:r>
                </w:p>
              </w:tc>
              <w:tc>
                <w:tcPr>
                  <w:tcW w:w="1441" w:type="dxa"/>
                  <w:noWrap w:val="0"/>
                  <w:vAlign w:val="center"/>
                </w:tcPr>
                <w:p>
                  <w:pPr>
                    <w:adjustRightInd w:val="0"/>
                    <w:snapToGrid w:val="0"/>
                    <w:spacing w:line="360" w:lineRule="auto"/>
                    <w:jc w:val="center"/>
                    <w:rPr>
                      <w:rFonts w:hint="default" w:ascii="Times New Roman" w:hAnsi="Times New Roman" w:eastAsia="宋体" w:cs="Times New Roman"/>
                      <w:color w:val="auto"/>
                      <w:szCs w:val="21"/>
                      <w:u w:val="single"/>
                      <w:lang w:val="en-US" w:eastAsia="zh-CN"/>
                    </w:rPr>
                  </w:pPr>
                  <w:r>
                    <w:rPr>
                      <w:rFonts w:hint="eastAsia" w:ascii="Times New Roman" w:hAnsi="Times New Roman" w:eastAsia="宋体" w:cs="Times New Roman"/>
                      <w:color w:val="auto"/>
                      <w:szCs w:val="21"/>
                      <w:u w:val="single"/>
                      <w:lang w:val="en-US" w:eastAsia="zh-CN"/>
                    </w:rPr>
                    <w:t>50/60</w:t>
                  </w:r>
                </w:p>
              </w:tc>
              <w:tc>
                <w:tcPr>
                  <w:tcW w:w="760" w:type="dxa"/>
                  <w:tcBorders>
                    <w:right w:val="single" w:color="auto" w:sz="4" w:space="0"/>
                  </w:tcBorders>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57" w:type="dxa"/>
                  <w:tcBorders>
                    <w:left w:val="single" w:color="auto" w:sz="4" w:space="0"/>
                  </w:tcBorders>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南</w:t>
                  </w:r>
                </w:p>
              </w:tc>
              <w:tc>
                <w:tcPr>
                  <w:tcW w:w="271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 w:val="21"/>
                      <w:szCs w:val="21"/>
                      <w:u w:val="single"/>
                      <w:lang w:val="en-US" w:eastAsia="zh-CN"/>
                    </w:rPr>
                    <w:t>水喷淋塔风机</w:t>
                  </w:r>
                </w:p>
              </w:tc>
              <w:tc>
                <w:tcPr>
                  <w:tcW w:w="1034" w:type="dxa"/>
                  <w:noWrap w:val="0"/>
                  <w:vAlign w:val="center"/>
                </w:tcPr>
                <w:p>
                  <w:pPr>
                    <w:adjustRightInd w:val="0"/>
                    <w:snapToGrid w:val="0"/>
                    <w:spacing w:line="360" w:lineRule="auto"/>
                    <w:jc w:val="center"/>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65</w:t>
                  </w:r>
                </w:p>
              </w:tc>
              <w:tc>
                <w:tcPr>
                  <w:tcW w:w="1000" w:type="dxa"/>
                  <w:noWrap w:val="0"/>
                  <w:vAlign w:val="center"/>
                </w:tcPr>
                <w:p>
                  <w:pPr>
                    <w:adjustRightInd w:val="0"/>
                    <w:snapToGrid w:val="0"/>
                    <w:spacing w:line="36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2</w:t>
                  </w:r>
                  <w:r>
                    <w:rPr>
                      <w:rFonts w:hint="eastAsia" w:cs="Times New Roman"/>
                      <w:color w:val="auto"/>
                      <w:szCs w:val="21"/>
                      <w:u w:val="single"/>
                      <w:lang w:val="en-US" w:eastAsia="zh-CN"/>
                    </w:rPr>
                    <w:t>0</w:t>
                  </w:r>
                </w:p>
              </w:tc>
              <w:tc>
                <w:tcPr>
                  <w:tcW w:w="966" w:type="dxa"/>
                  <w:noWrap w:val="0"/>
                  <w:vAlign w:val="center"/>
                </w:tcPr>
                <w:p>
                  <w:pPr>
                    <w:adjustRightInd w:val="0"/>
                    <w:snapToGrid w:val="0"/>
                    <w:spacing w:line="360" w:lineRule="auto"/>
                    <w:jc w:val="center"/>
                    <w:rPr>
                      <w:rFonts w:hint="default" w:ascii="Times New Roman" w:hAnsi="Times New Roman" w:eastAsia="宋体" w:cs="Times New Roman"/>
                      <w:color w:val="auto"/>
                      <w:szCs w:val="21"/>
                      <w:highlight w:val="yellow"/>
                      <w:u w:val="single"/>
                      <w:lang w:val="en-US" w:eastAsia="zh-CN"/>
                    </w:rPr>
                  </w:pPr>
                  <w:r>
                    <w:rPr>
                      <w:rFonts w:hint="eastAsia" w:ascii="Times New Roman" w:hAnsi="Times New Roman" w:cs="Times New Roman"/>
                      <w:color w:val="auto"/>
                      <w:szCs w:val="21"/>
                      <w:highlight w:val="none"/>
                      <w:u w:val="single"/>
                      <w:lang w:val="en-US" w:eastAsia="zh-CN"/>
                    </w:rPr>
                    <w:t>4</w:t>
                  </w:r>
                  <w:r>
                    <w:rPr>
                      <w:rFonts w:hint="eastAsia" w:cs="Times New Roman"/>
                      <w:color w:val="auto"/>
                      <w:szCs w:val="21"/>
                      <w:highlight w:val="none"/>
                      <w:u w:val="single"/>
                      <w:lang w:val="en-US" w:eastAsia="zh-CN"/>
                    </w:rPr>
                    <w:t>4</w:t>
                  </w:r>
                </w:p>
              </w:tc>
              <w:tc>
                <w:tcPr>
                  <w:tcW w:w="1441" w:type="dxa"/>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val="en-US" w:eastAsia="zh-CN"/>
                    </w:rPr>
                  </w:pPr>
                  <w:r>
                    <w:rPr>
                      <w:rFonts w:hint="eastAsia" w:ascii="Times New Roman" w:hAnsi="Times New Roman" w:eastAsia="宋体" w:cs="Times New Roman"/>
                      <w:color w:val="auto"/>
                      <w:szCs w:val="21"/>
                      <w:u w:val="single"/>
                      <w:lang w:val="en-US" w:eastAsia="zh-CN"/>
                    </w:rPr>
                    <w:t>50/60</w:t>
                  </w:r>
                </w:p>
              </w:tc>
              <w:tc>
                <w:tcPr>
                  <w:tcW w:w="760" w:type="dxa"/>
                  <w:tcBorders>
                    <w:right w:val="single" w:color="auto" w:sz="4" w:space="0"/>
                  </w:tcBorders>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eastAsia="zh-CN"/>
                    </w:rPr>
                  </w:pPr>
                  <w:r>
                    <w:rPr>
                      <w:rFonts w:hint="eastAsia" w:ascii="Times New Roman" w:hAnsi="Times New Roman" w:cs="Times New Roman"/>
                      <w:color w:val="auto"/>
                      <w:szCs w:val="21"/>
                      <w:u w:val="singl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57" w:type="dxa"/>
                  <w:tcBorders>
                    <w:left w:val="single" w:color="auto" w:sz="4" w:space="0"/>
                  </w:tcBorders>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西</w:t>
                  </w:r>
                </w:p>
              </w:tc>
              <w:tc>
                <w:tcPr>
                  <w:tcW w:w="271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 w:val="21"/>
                      <w:szCs w:val="21"/>
                      <w:u w:val="single"/>
                      <w:lang w:val="en-US" w:eastAsia="zh-CN"/>
                    </w:rPr>
                    <w:t>水喷淋塔风机</w:t>
                  </w:r>
                </w:p>
              </w:tc>
              <w:tc>
                <w:tcPr>
                  <w:tcW w:w="1034" w:type="dxa"/>
                  <w:noWrap w:val="0"/>
                  <w:vAlign w:val="center"/>
                </w:tcPr>
                <w:p>
                  <w:pPr>
                    <w:adjustRightInd w:val="0"/>
                    <w:snapToGrid w:val="0"/>
                    <w:spacing w:line="360" w:lineRule="auto"/>
                    <w:jc w:val="center"/>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65</w:t>
                  </w:r>
                </w:p>
              </w:tc>
              <w:tc>
                <w:tcPr>
                  <w:tcW w:w="1000" w:type="dxa"/>
                  <w:noWrap w:val="0"/>
                  <w:vAlign w:val="center"/>
                </w:tcPr>
                <w:p>
                  <w:pPr>
                    <w:adjustRightInd w:val="0"/>
                    <w:snapToGrid w:val="0"/>
                    <w:spacing w:line="360" w:lineRule="auto"/>
                    <w:jc w:val="center"/>
                    <w:rPr>
                      <w:rFonts w:hint="default"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36</w:t>
                  </w:r>
                </w:p>
              </w:tc>
              <w:tc>
                <w:tcPr>
                  <w:tcW w:w="966" w:type="dxa"/>
                  <w:noWrap w:val="0"/>
                  <w:vAlign w:val="center"/>
                </w:tcPr>
                <w:p>
                  <w:pPr>
                    <w:adjustRightInd w:val="0"/>
                    <w:snapToGrid w:val="0"/>
                    <w:spacing w:line="360" w:lineRule="auto"/>
                    <w:jc w:val="center"/>
                    <w:rPr>
                      <w:rFonts w:hint="default" w:ascii="Times New Roman" w:hAnsi="Times New Roman" w:eastAsia="宋体" w:cs="Times New Roman"/>
                      <w:color w:val="auto"/>
                      <w:szCs w:val="21"/>
                      <w:highlight w:val="yellow"/>
                      <w:u w:val="single"/>
                      <w:lang w:val="en-US" w:eastAsia="zh-CN"/>
                    </w:rPr>
                  </w:pPr>
                  <w:r>
                    <w:rPr>
                      <w:rFonts w:hint="eastAsia" w:ascii="Times New Roman" w:hAnsi="Times New Roman" w:cs="Times New Roman"/>
                      <w:color w:val="auto"/>
                      <w:szCs w:val="21"/>
                      <w:highlight w:val="none"/>
                      <w:u w:val="single"/>
                      <w:lang w:val="en-US" w:eastAsia="zh-CN"/>
                    </w:rPr>
                    <w:t>4</w:t>
                  </w:r>
                  <w:r>
                    <w:rPr>
                      <w:rFonts w:hint="eastAsia" w:cs="Times New Roman"/>
                      <w:color w:val="auto"/>
                      <w:szCs w:val="21"/>
                      <w:highlight w:val="none"/>
                      <w:u w:val="single"/>
                      <w:lang w:val="en-US" w:eastAsia="zh-CN"/>
                    </w:rPr>
                    <w:t>1</w:t>
                  </w:r>
                </w:p>
              </w:tc>
              <w:tc>
                <w:tcPr>
                  <w:tcW w:w="1441" w:type="dxa"/>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val="en-US" w:eastAsia="zh-CN"/>
                    </w:rPr>
                  </w:pPr>
                  <w:r>
                    <w:rPr>
                      <w:rFonts w:hint="eastAsia" w:ascii="Times New Roman" w:hAnsi="Times New Roman" w:eastAsia="宋体" w:cs="Times New Roman"/>
                      <w:color w:val="auto"/>
                      <w:szCs w:val="21"/>
                      <w:u w:val="single"/>
                      <w:lang w:val="en-US" w:eastAsia="zh-CN"/>
                    </w:rPr>
                    <w:t>50/60</w:t>
                  </w:r>
                </w:p>
              </w:tc>
              <w:tc>
                <w:tcPr>
                  <w:tcW w:w="760" w:type="dxa"/>
                  <w:tcBorders>
                    <w:right w:val="single" w:color="auto" w:sz="4" w:space="0"/>
                  </w:tcBorders>
                  <w:noWrap w:val="0"/>
                  <w:vAlign w:val="center"/>
                </w:tcPr>
                <w:p>
                  <w:pPr>
                    <w:adjustRightInd w:val="0"/>
                    <w:snapToGrid w:val="0"/>
                    <w:spacing w:line="360" w:lineRule="auto"/>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57" w:type="dxa"/>
                  <w:tcBorders>
                    <w:left w:val="single" w:color="auto" w:sz="4" w:space="0"/>
                  </w:tcBorders>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北</w:t>
                  </w:r>
                </w:p>
              </w:tc>
              <w:tc>
                <w:tcPr>
                  <w:tcW w:w="271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 w:val="21"/>
                      <w:szCs w:val="21"/>
                      <w:u w:val="single"/>
                      <w:lang w:val="en-US" w:eastAsia="zh-CN"/>
                    </w:rPr>
                    <w:t>水喷淋塔风机</w:t>
                  </w:r>
                </w:p>
              </w:tc>
              <w:tc>
                <w:tcPr>
                  <w:tcW w:w="1034" w:type="dxa"/>
                  <w:noWrap w:val="0"/>
                  <w:vAlign w:val="center"/>
                </w:tcPr>
                <w:p>
                  <w:pPr>
                    <w:adjustRightInd w:val="0"/>
                    <w:snapToGrid w:val="0"/>
                    <w:spacing w:line="360" w:lineRule="auto"/>
                    <w:jc w:val="center"/>
                    <w:rPr>
                      <w:rFonts w:hint="eastAsia" w:ascii="Times New Roman" w:hAnsi="Times New Roman" w:cs="Times New Roman"/>
                      <w:color w:val="auto"/>
                      <w:szCs w:val="21"/>
                      <w:u w:val="single"/>
                      <w:lang w:val="en-US" w:eastAsia="zh-CN"/>
                    </w:rPr>
                  </w:pPr>
                  <w:r>
                    <w:rPr>
                      <w:rFonts w:hint="eastAsia" w:ascii="Times New Roman" w:hAnsi="Times New Roman" w:cs="Times New Roman"/>
                      <w:color w:val="auto"/>
                      <w:szCs w:val="21"/>
                      <w:u w:val="single"/>
                      <w:lang w:val="en-US" w:eastAsia="zh-CN"/>
                    </w:rPr>
                    <w:t>65</w:t>
                  </w:r>
                </w:p>
              </w:tc>
              <w:tc>
                <w:tcPr>
                  <w:tcW w:w="1000" w:type="dxa"/>
                  <w:noWrap w:val="0"/>
                  <w:vAlign w:val="center"/>
                </w:tcPr>
                <w:p>
                  <w:pPr>
                    <w:adjustRightInd w:val="0"/>
                    <w:snapToGrid w:val="0"/>
                    <w:spacing w:line="360" w:lineRule="auto"/>
                    <w:jc w:val="center"/>
                    <w:rPr>
                      <w:rFonts w:hint="default" w:ascii="Times New Roman" w:hAnsi="Times New Roman" w:cs="Times New Roman"/>
                      <w:color w:val="auto"/>
                      <w:szCs w:val="21"/>
                      <w:u w:val="single"/>
                      <w:lang w:val="en-US" w:eastAsia="zh-CN"/>
                    </w:rPr>
                  </w:pPr>
                  <w:r>
                    <w:rPr>
                      <w:rFonts w:hint="eastAsia" w:cs="Times New Roman"/>
                      <w:color w:val="auto"/>
                      <w:szCs w:val="21"/>
                      <w:u w:val="single"/>
                      <w:lang w:val="en-US" w:eastAsia="zh-CN"/>
                    </w:rPr>
                    <w:t>56</w:t>
                  </w:r>
                </w:p>
              </w:tc>
              <w:tc>
                <w:tcPr>
                  <w:tcW w:w="966" w:type="dxa"/>
                  <w:noWrap w:val="0"/>
                  <w:vAlign w:val="center"/>
                </w:tcPr>
                <w:p>
                  <w:pPr>
                    <w:adjustRightInd w:val="0"/>
                    <w:snapToGrid w:val="0"/>
                    <w:spacing w:line="360" w:lineRule="auto"/>
                    <w:jc w:val="center"/>
                    <w:rPr>
                      <w:rFonts w:hint="default" w:ascii="Times New Roman" w:hAnsi="Times New Roman" w:eastAsia="宋体" w:cs="Times New Roman"/>
                      <w:color w:val="auto"/>
                      <w:szCs w:val="21"/>
                      <w:u w:val="single"/>
                      <w:lang w:val="en-US" w:eastAsia="zh-CN"/>
                    </w:rPr>
                  </w:pPr>
                  <w:r>
                    <w:rPr>
                      <w:rFonts w:hint="eastAsia" w:cs="Times New Roman"/>
                      <w:color w:val="auto"/>
                      <w:szCs w:val="21"/>
                      <w:highlight w:val="none"/>
                      <w:u w:val="single"/>
                      <w:lang w:val="en-US" w:eastAsia="zh-CN"/>
                    </w:rPr>
                    <w:t>38</w:t>
                  </w:r>
                </w:p>
              </w:tc>
              <w:tc>
                <w:tcPr>
                  <w:tcW w:w="1441" w:type="dxa"/>
                  <w:noWrap w:val="0"/>
                  <w:vAlign w:val="center"/>
                </w:tcPr>
                <w:p>
                  <w:pPr>
                    <w:adjustRightInd w:val="0"/>
                    <w:snapToGrid w:val="0"/>
                    <w:spacing w:line="360" w:lineRule="auto"/>
                    <w:jc w:val="center"/>
                    <w:rPr>
                      <w:rFonts w:hint="eastAsia" w:ascii="Times New Roman" w:hAnsi="Times New Roman" w:eastAsia="宋体" w:cs="Times New Roman"/>
                      <w:color w:val="auto"/>
                      <w:szCs w:val="21"/>
                      <w:u w:val="single"/>
                      <w:lang w:val="en-US" w:eastAsia="zh-CN"/>
                    </w:rPr>
                  </w:pPr>
                  <w:r>
                    <w:rPr>
                      <w:rFonts w:hint="eastAsia" w:ascii="Times New Roman" w:hAnsi="Times New Roman" w:eastAsia="宋体" w:cs="Times New Roman"/>
                      <w:color w:val="auto"/>
                      <w:szCs w:val="21"/>
                      <w:u w:val="single"/>
                      <w:lang w:val="en-US" w:eastAsia="zh-CN"/>
                    </w:rPr>
                    <w:t>50/60</w:t>
                  </w:r>
                </w:p>
              </w:tc>
              <w:tc>
                <w:tcPr>
                  <w:tcW w:w="760" w:type="dxa"/>
                  <w:tcBorders>
                    <w:right w:val="single" w:color="auto" w:sz="4" w:space="0"/>
                  </w:tcBorders>
                  <w:noWrap w:val="0"/>
                  <w:vAlign w:val="center"/>
                </w:tcPr>
                <w:p>
                  <w:pPr>
                    <w:adjustRightInd w:val="0"/>
                    <w:snapToGrid w:val="0"/>
                    <w:spacing w:line="360" w:lineRule="auto"/>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lang w:val="en-US" w:eastAsia="zh-CN"/>
                    </w:rPr>
                    <w:t>达标</w:t>
                  </w:r>
                </w:p>
              </w:tc>
            </w:tr>
          </w:tbl>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rFonts w:hint="default" w:ascii="Times New Roman" w:hAnsi="Times New Roman" w:cs="Times New Roman"/>
                <w:color w:val="auto"/>
                <w:sz w:val="24"/>
                <w:u w:val="none"/>
              </w:rPr>
            </w:pPr>
            <w:r>
              <w:rPr>
                <w:rFonts w:hint="eastAsia" w:ascii="Times New Roman" w:hAnsi="Times New Roman" w:cs="Times New Roman"/>
                <w:color w:val="auto"/>
                <w:sz w:val="24"/>
                <w:u w:val="none"/>
                <w:lang w:val="en-US" w:eastAsia="zh-CN"/>
              </w:rPr>
              <w:t>经叠加背景值后，</w:t>
            </w:r>
            <w:r>
              <w:rPr>
                <w:rFonts w:hint="default" w:ascii="Times New Roman" w:hAnsi="Times New Roman" w:cs="Times New Roman"/>
                <w:color w:val="auto"/>
                <w:sz w:val="24"/>
                <w:u w:val="none"/>
              </w:rPr>
              <w:t>根据噪声预测分析，本项目</w:t>
            </w:r>
            <w:r>
              <w:rPr>
                <w:rFonts w:hint="default" w:ascii="Times New Roman" w:hAnsi="Times New Roman" w:cs="Times New Roman"/>
                <w:color w:val="auto"/>
                <w:sz w:val="24"/>
                <w:u w:val="none"/>
                <w:lang w:eastAsia="zh-CN"/>
              </w:rPr>
              <w:t>东、西、</w:t>
            </w:r>
            <w:r>
              <w:rPr>
                <w:rFonts w:hint="eastAsia" w:ascii="Times New Roman" w:hAnsi="Times New Roman" w:cs="Times New Roman"/>
                <w:color w:val="auto"/>
                <w:sz w:val="24"/>
                <w:u w:val="none"/>
                <w:lang w:val="en-US" w:eastAsia="zh-CN"/>
              </w:rPr>
              <w:t>南、</w:t>
            </w:r>
            <w:r>
              <w:rPr>
                <w:rFonts w:hint="default" w:ascii="Times New Roman" w:hAnsi="Times New Roman" w:cs="Times New Roman"/>
                <w:color w:val="auto"/>
                <w:sz w:val="24"/>
                <w:u w:val="none"/>
                <w:lang w:eastAsia="zh-CN"/>
              </w:rPr>
              <w:t>北厂</w:t>
            </w:r>
            <w:r>
              <w:rPr>
                <w:rFonts w:hint="default" w:ascii="Times New Roman" w:hAnsi="Times New Roman" w:cs="Times New Roman"/>
                <w:color w:val="auto"/>
                <w:sz w:val="24"/>
                <w:u w:val="none"/>
              </w:rPr>
              <w:t>界昼间噪声预测值可满足《工业企业厂界环境噪声排放标准》（GB 12348-2008）</w:t>
            </w:r>
            <w:r>
              <w:rPr>
                <w:rFonts w:hint="eastAsia" w:cs="Times New Roman"/>
                <w:color w:val="auto"/>
                <w:sz w:val="24"/>
                <w:u w:val="none"/>
                <w:lang w:val="en-US" w:eastAsia="zh-CN"/>
              </w:rPr>
              <w:t>2</w:t>
            </w:r>
            <w:r>
              <w:rPr>
                <w:rFonts w:hint="eastAsia" w:ascii="Times New Roman" w:hAnsi="Times New Roman" w:cs="Times New Roman"/>
                <w:color w:val="auto"/>
                <w:sz w:val="24"/>
                <w:u w:val="none"/>
                <w:lang w:val="en-US" w:eastAsia="zh-CN"/>
              </w:rPr>
              <w:t>类</w:t>
            </w:r>
            <w:r>
              <w:rPr>
                <w:rFonts w:hint="default" w:ascii="Times New Roman" w:hAnsi="Times New Roman" w:cs="Times New Roman"/>
                <w:color w:val="auto"/>
                <w:sz w:val="24"/>
                <w:u w:val="none"/>
              </w:rPr>
              <w:t>排放限值要求。</w:t>
            </w:r>
          </w:p>
          <w:p>
            <w:pPr>
              <w:pStyle w:val="89"/>
              <w:keepNext w:val="0"/>
              <w:keepLines w:val="0"/>
              <w:pageBreakBefore w:val="0"/>
              <w:widowControl w:val="0"/>
              <w:kinsoku/>
              <w:wordWrap/>
              <w:overflowPunct/>
              <w:topLinePunct w:val="0"/>
              <w:bidi w:val="0"/>
              <w:spacing w:line="520" w:lineRule="exact"/>
              <w:ind w:firstLine="480"/>
              <w:textAlignment w:val="auto"/>
              <w:rPr>
                <w:rFonts w:hint="eastAsia" w:ascii="Times New Roman" w:hAnsi="Times New Roman" w:cs="Times New Roman"/>
                <w:b/>
                <w:bCs/>
                <w:color w:val="auto"/>
                <w:u w:val="none"/>
                <w:lang w:val="en-US" w:eastAsia="zh-CN"/>
              </w:rPr>
            </w:pPr>
            <w:r>
              <w:rPr>
                <w:rFonts w:hint="eastAsia" w:hAnsi="宋体"/>
                <w:color w:val="auto"/>
                <w:sz w:val="24"/>
                <w:szCs w:val="24"/>
              </w:rPr>
              <w:t>风机产生的噪声经</w:t>
            </w:r>
            <w:r>
              <w:rPr>
                <w:rFonts w:hint="eastAsia" w:hAnsi="宋体"/>
                <w:color w:val="auto"/>
                <w:sz w:val="24"/>
                <w:szCs w:val="24"/>
                <w:lang w:val="en-US" w:eastAsia="zh-CN"/>
              </w:rPr>
              <w:t>消声</w:t>
            </w:r>
            <w:r>
              <w:rPr>
                <w:rFonts w:hint="eastAsia" w:hAnsi="宋体"/>
                <w:color w:val="auto"/>
                <w:sz w:val="24"/>
                <w:szCs w:val="24"/>
              </w:rPr>
              <w:t>后，对厂界处的噪声贡献值很小，现有工程在厂界处的噪声远小于《工业企业厂界环境噪声排放标准》(GB12348-2008)2 类标准，</w:t>
            </w:r>
            <w:r>
              <w:rPr>
                <w:rFonts w:hAnsi="宋体"/>
                <w:color w:val="auto"/>
                <w:sz w:val="24"/>
                <w:szCs w:val="24"/>
              </w:rPr>
              <w:t>采取上述相应的措施后，噪声</w:t>
            </w:r>
            <w:r>
              <w:rPr>
                <w:rFonts w:hint="eastAsia" w:hAnsi="宋体"/>
                <w:color w:val="auto"/>
                <w:sz w:val="24"/>
                <w:szCs w:val="24"/>
                <w:lang w:val="en-US" w:eastAsia="zh-CN"/>
              </w:rPr>
              <w:t>将</w:t>
            </w:r>
            <w:r>
              <w:rPr>
                <w:rFonts w:hAnsi="宋体"/>
                <w:color w:val="auto"/>
                <w:sz w:val="24"/>
                <w:szCs w:val="24"/>
              </w:rPr>
              <w:t>得到有效控制，</w:t>
            </w:r>
            <w:r>
              <w:rPr>
                <w:rFonts w:hint="eastAsia" w:hAnsi="宋体"/>
                <w:color w:val="auto"/>
                <w:sz w:val="24"/>
                <w:szCs w:val="24"/>
                <w:lang w:val="en-US" w:eastAsia="zh-CN"/>
              </w:rPr>
              <w:t>运营期</w:t>
            </w:r>
            <w:r>
              <w:rPr>
                <w:rFonts w:hAnsi="宋体"/>
                <w:color w:val="auto"/>
                <w:sz w:val="24"/>
                <w:szCs w:val="24"/>
              </w:rPr>
              <w:t>噪声对周围环境影响较小。</w:t>
            </w:r>
            <w:r>
              <w:rPr>
                <w:rFonts w:hint="eastAsia" w:hAnsi="宋体"/>
                <w:color w:val="auto"/>
                <w:sz w:val="24"/>
                <w:szCs w:val="24"/>
                <w:lang w:val="en-US" w:eastAsia="zh-CN"/>
              </w:rPr>
              <w:t>运营期运输车辆</w:t>
            </w:r>
            <w:r>
              <w:rPr>
                <w:rFonts w:hAnsi="宋体"/>
                <w:color w:val="auto"/>
                <w:sz w:val="24"/>
                <w:szCs w:val="24"/>
              </w:rPr>
              <w:t>噪声具有临时性、阶段性和不固定性等特点，随着</w:t>
            </w:r>
            <w:r>
              <w:rPr>
                <w:rFonts w:hint="eastAsia" w:hAnsi="宋体"/>
                <w:color w:val="auto"/>
                <w:sz w:val="24"/>
                <w:szCs w:val="24"/>
                <w:lang w:val="en-US" w:eastAsia="zh-CN"/>
              </w:rPr>
              <w:t>运输、装卸</w:t>
            </w:r>
            <w:r>
              <w:rPr>
                <w:rFonts w:hAnsi="宋体"/>
                <w:color w:val="auto"/>
                <w:sz w:val="24"/>
                <w:szCs w:val="24"/>
              </w:rPr>
              <w:t>的结束，项目</w:t>
            </w:r>
            <w:r>
              <w:rPr>
                <w:rFonts w:hint="eastAsia" w:hAnsi="宋体"/>
                <w:color w:val="auto"/>
                <w:sz w:val="24"/>
                <w:szCs w:val="24"/>
                <w:lang w:val="en-US" w:eastAsia="zh-CN"/>
              </w:rPr>
              <w:t>运营期</w:t>
            </w:r>
            <w:r>
              <w:rPr>
                <w:rFonts w:hAnsi="宋体"/>
                <w:color w:val="auto"/>
                <w:sz w:val="24"/>
                <w:szCs w:val="24"/>
              </w:rPr>
              <w:t>噪声对周围声环境的影响就会</w:t>
            </w:r>
            <w:r>
              <w:rPr>
                <w:rFonts w:hint="eastAsia" w:hAnsi="宋体"/>
                <w:color w:val="auto"/>
                <w:sz w:val="24"/>
                <w:szCs w:val="24"/>
                <w:lang w:val="en-US" w:eastAsia="zh-CN"/>
              </w:rPr>
              <w:t>减少</w:t>
            </w:r>
            <w:r>
              <w:rPr>
                <w:rFonts w:hint="eastAsia" w:hAnsi="宋体"/>
                <w:color w:val="auto"/>
                <w:sz w:val="24"/>
                <w:szCs w:val="24"/>
                <w:lang w:eastAsia="zh-CN"/>
              </w:rPr>
              <w:t>，</w:t>
            </w:r>
            <w:r>
              <w:rPr>
                <w:rFonts w:hint="eastAsia" w:hAnsi="宋体"/>
                <w:color w:val="auto"/>
                <w:sz w:val="24"/>
                <w:szCs w:val="24"/>
                <w:lang w:val="en-US" w:eastAsia="zh-CN"/>
              </w:rPr>
              <w:t>因此，本项目新增噪声污染较小，因此运行后仍可达到《工业企业厂界环境噪声排放标准》GB12348-2008)2类标准，对周围声环境质量影响较小。</w:t>
            </w:r>
          </w:p>
          <w:p>
            <w:pPr>
              <w:pStyle w:val="89"/>
              <w:keepNext w:val="0"/>
              <w:keepLines w:val="0"/>
              <w:pageBreakBefore w:val="0"/>
              <w:widowControl w:val="0"/>
              <w:kinsoku/>
              <w:wordWrap/>
              <w:overflowPunct/>
              <w:topLinePunct w:val="0"/>
              <w:bidi w:val="0"/>
              <w:spacing w:line="520" w:lineRule="exact"/>
              <w:ind w:firstLine="480"/>
              <w:textAlignment w:val="auto"/>
              <w:rPr>
                <w:rFonts w:hint="default" w:ascii="Times New Roman" w:hAnsi="Times New Roman" w:cs="Times New Roman"/>
                <w:b/>
                <w:bCs/>
                <w:color w:val="auto"/>
                <w:u w:val="none"/>
              </w:rPr>
            </w:pPr>
            <w:r>
              <w:rPr>
                <w:rFonts w:hint="eastAsia" w:ascii="Times New Roman" w:hAnsi="Times New Roman" w:cs="Times New Roman"/>
                <w:b/>
                <w:bCs/>
                <w:color w:val="auto"/>
                <w:u w:val="none"/>
                <w:lang w:val="en-US" w:eastAsia="zh-CN"/>
              </w:rPr>
              <w:t>3.3</w:t>
            </w:r>
            <w:r>
              <w:rPr>
                <w:rFonts w:hint="default" w:ascii="Times New Roman" w:hAnsi="Times New Roman" w:cs="Times New Roman"/>
                <w:b/>
                <w:bCs/>
                <w:color w:val="auto"/>
                <w:u w:val="none"/>
              </w:rPr>
              <w:t>监测要求</w:t>
            </w:r>
          </w:p>
          <w:p>
            <w:pPr>
              <w:pStyle w:val="70"/>
              <w:keepNext w:val="0"/>
              <w:keepLines w:val="0"/>
              <w:pageBreakBefore w:val="0"/>
              <w:widowControl w:val="0"/>
              <w:kinsoku/>
              <w:wordWrap/>
              <w:overflowPunct/>
              <w:topLinePunct w:val="0"/>
              <w:bidi w:val="0"/>
              <w:spacing w:line="520" w:lineRule="exact"/>
              <w:ind w:firstLine="480"/>
              <w:textAlignment w:val="auto"/>
              <w:rPr>
                <w:rFonts w:hint="default" w:ascii="Times New Roman" w:hAnsi="Times New Roman" w:cs="Times New Roman"/>
                <w:color w:val="auto"/>
                <w:u w:val="none"/>
              </w:rPr>
            </w:pPr>
            <w:r>
              <w:rPr>
                <w:rFonts w:hint="default" w:ascii="Times New Roman" w:hAnsi="Times New Roman" w:cs="Times New Roman"/>
                <w:color w:val="auto"/>
                <w:u w:val="none"/>
              </w:rPr>
              <w:t>本项目运行期噪声监测计划见下表。</w:t>
            </w:r>
          </w:p>
          <w:p>
            <w:pPr>
              <w:pStyle w:val="7"/>
              <w:keepNext w:val="0"/>
              <w:keepLines w:val="0"/>
              <w:pageBreakBefore w:val="0"/>
              <w:widowControl w:val="0"/>
              <w:numPr>
                <w:ilvl w:val="0"/>
                <w:numId w:val="0"/>
              </w:numPr>
              <w:kinsoku/>
              <w:wordWrap/>
              <w:overflowPunct/>
              <w:topLinePunct w:val="0"/>
              <w:autoSpaceDE/>
              <w:autoSpaceDN/>
              <w:bidi w:val="0"/>
              <w:spacing w:line="520" w:lineRule="exact"/>
              <w:jc w:val="center"/>
              <w:textAlignment w:val="auto"/>
              <w:rPr>
                <w:rFonts w:hint="default" w:ascii="Times New Roman" w:hAnsi="Times New Roman" w:eastAsia="黑体" w:cs="Times New Roman"/>
                <w:b w:val="0"/>
                <w:bCs w:val="0"/>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41</w:t>
            </w:r>
            <w:r>
              <w:rPr>
                <w:rFonts w:hint="default" w:ascii="Times New Roman" w:hAnsi="Times New Roman" w:eastAsia="黑体" w:cs="Times New Roman"/>
                <w:b w:val="0"/>
                <w:bCs w:val="0"/>
                <w:color w:val="auto"/>
                <w:sz w:val="24"/>
                <w:szCs w:val="24"/>
                <w:u w:val="none"/>
                <w:lang w:val="en-US" w:eastAsia="zh-CN"/>
              </w:rPr>
              <w:t xml:space="preserve"> 营运期监测计划</w:t>
            </w:r>
          </w:p>
          <w:tbl>
            <w:tblPr>
              <w:tblStyle w:val="2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91"/>
              <w:gridCol w:w="1732"/>
              <w:gridCol w:w="1393"/>
              <w:gridCol w:w="4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8" w:type="pct"/>
                  <w:tcBorders>
                    <w:top w:val="single" w:color="auto" w:sz="4" w:space="0"/>
                    <w:left w:val="single" w:color="auto" w:sz="0"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监测点</w:t>
                  </w:r>
                </w:p>
              </w:tc>
              <w:tc>
                <w:tcPr>
                  <w:tcW w:w="1016" w:type="pct"/>
                  <w:tcBorders>
                    <w:top w:val="single" w:color="auto" w:sz="4"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监测项目</w:t>
                  </w:r>
                </w:p>
              </w:tc>
              <w:tc>
                <w:tcPr>
                  <w:tcW w:w="817" w:type="pct"/>
                  <w:tcBorders>
                    <w:top w:val="single" w:color="auto" w:sz="4"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监测频率</w:t>
                  </w:r>
                </w:p>
              </w:tc>
              <w:tc>
                <w:tcPr>
                  <w:tcW w:w="2407" w:type="pct"/>
                  <w:tcBorders>
                    <w:top w:val="single" w:color="auto" w:sz="4" w:space="0"/>
                    <w:right w:val="single" w:color="auto" w:sz="4"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8" w:type="pct"/>
                  <w:tcBorders>
                    <w:left w:val="single" w:color="auto" w:sz="4" w:space="0"/>
                    <w:bottom w:val="single" w:color="auto" w:sz="4"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四周厂界</w:t>
                  </w:r>
                </w:p>
              </w:tc>
              <w:tc>
                <w:tcPr>
                  <w:tcW w:w="1016" w:type="pct"/>
                  <w:tcBorders>
                    <w:bottom w:val="single" w:color="auto" w:sz="4"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等效连续A声级</w:t>
                  </w:r>
                </w:p>
              </w:tc>
              <w:tc>
                <w:tcPr>
                  <w:tcW w:w="817" w:type="pct"/>
                  <w:tcBorders>
                    <w:bottom w:val="single" w:color="auto" w:sz="4"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每季度1次</w:t>
                  </w:r>
                </w:p>
              </w:tc>
              <w:tc>
                <w:tcPr>
                  <w:tcW w:w="2407" w:type="pct"/>
                  <w:tcBorders>
                    <w:bottom w:val="single" w:color="auto" w:sz="4" w:space="0"/>
                    <w:right w:val="single" w:color="auto" w:sz="4" w:space="0"/>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《工业企业厂界环境噪声排放标准》（GB12348-2008）中</w:t>
                  </w:r>
                  <w:r>
                    <w:rPr>
                      <w:rFonts w:hint="eastAsia" w:cs="Times New Roman"/>
                      <w:color w:val="auto"/>
                      <w:sz w:val="21"/>
                      <w:szCs w:val="21"/>
                      <w:u w:val="none"/>
                      <w:lang w:val="en-US" w:eastAsia="zh-CN"/>
                    </w:rPr>
                    <w:t>2</w:t>
                  </w:r>
                  <w:r>
                    <w:rPr>
                      <w:rFonts w:hint="eastAsia" w:ascii="Times New Roman" w:hAnsi="Times New Roman" w:cs="Times New Roman"/>
                      <w:color w:val="auto"/>
                      <w:sz w:val="21"/>
                      <w:szCs w:val="21"/>
                      <w:u w:val="none"/>
                      <w:lang w:eastAsia="zh-CN"/>
                    </w:rPr>
                    <w:t>类</w:t>
                  </w:r>
                  <w:r>
                    <w:rPr>
                      <w:rFonts w:hint="default" w:ascii="Times New Roman" w:hAnsi="Times New Roman" w:cs="Times New Roman"/>
                      <w:color w:val="auto"/>
                      <w:sz w:val="21"/>
                      <w:szCs w:val="21"/>
                      <w:u w:val="none"/>
                    </w:rPr>
                    <w:t>标准</w:t>
                  </w:r>
                </w:p>
              </w:tc>
            </w:tr>
          </w:tbl>
          <w:p>
            <w:pPr>
              <w:spacing w:line="520" w:lineRule="exact"/>
              <w:textAlignment w:val="baseline"/>
              <w:rPr>
                <w:rFonts w:hint="default"/>
                <w:color w:val="auto"/>
                <w:lang w:val="en-US" w:eastAsia="zh-CN"/>
              </w:rPr>
            </w:pPr>
          </w:p>
        </w:tc>
      </w:tr>
    </w:tbl>
    <w:p>
      <w:pPr>
        <w:adjustRightInd w:val="0"/>
        <w:snapToGrid w:val="0"/>
        <w:spacing w:line="360" w:lineRule="auto"/>
        <w:rPr>
          <w:rFonts w:ascii="Times New Roman" w:hAnsi="Times New Roman" w:cs="Times New Roman"/>
          <w:b/>
          <w:color w:val="auto"/>
          <w:kern w:val="0"/>
          <w:sz w:val="28"/>
          <w:szCs w:val="28"/>
        </w:rPr>
        <w:sectPr>
          <w:pgSz w:w="11907" w:h="16840"/>
          <w:pgMar w:top="1134" w:right="1417" w:bottom="1134"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8"/>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8"/>
        <w:gridCol w:w="87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64" w:hRule="atLeast"/>
          <w:jc w:val="center"/>
        </w:trPr>
        <w:tc>
          <w:tcPr>
            <w:tcW w:w="227" w:type="pct"/>
            <w:noWrap w:val="0"/>
            <w:tcMar>
              <w:left w:w="28" w:type="dxa"/>
              <w:right w:w="28" w:type="dxa"/>
            </w:tcMar>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
                <w:bCs/>
                <w:color w:val="auto"/>
                <w:sz w:val="24"/>
                <w:szCs w:val="24"/>
              </w:rPr>
              <w:t>运营期环境影响和保护措施</w:t>
            </w:r>
          </w:p>
        </w:tc>
        <w:tc>
          <w:tcPr>
            <w:tcW w:w="4772" w:type="pct"/>
            <w:noWrap w:val="0"/>
            <w:vAlign w:val="top"/>
          </w:tcPr>
          <w:p>
            <w:pPr>
              <w:keepNext w:val="0"/>
              <w:keepLines w:val="0"/>
              <w:pageBreakBefore w:val="0"/>
              <w:kinsoku/>
              <w:wordWrap/>
              <w:overflowPunct/>
              <w:topLinePunct w:val="0"/>
              <w:bidi w:val="0"/>
              <w:adjustRightInd w:val="0"/>
              <w:snapToGrid w:val="0"/>
              <w:spacing w:line="360" w:lineRule="auto"/>
              <w:ind w:firstLine="482" w:firstLineChars="200"/>
              <w:textAlignment w:val="auto"/>
              <w:rPr>
                <w:rFonts w:hint="eastAsia" w:eastAsia="宋体" w:cs="Times New Roman"/>
                <w:b/>
                <w:bCs/>
                <w:color w:val="auto"/>
                <w:sz w:val="24"/>
                <w:szCs w:val="24"/>
                <w:u w:val="none"/>
                <w:lang w:val="en-US" w:eastAsia="zh-CN"/>
              </w:rPr>
            </w:pPr>
            <w:r>
              <w:rPr>
                <w:rFonts w:hint="eastAsia" w:ascii="Times New Roman" w:hAnsi="Times New Roman" w:cs="Times New Roman"/>
                <w:b/>
                <w:bCs/>
                <w:color w:val="auto"/>
                <w:sz w:val="24"/>
                <w:szCs w:val="24"/>
                <w:u w:val="none"/>
                <w:lang w:val="en-US" w:eastAsia="zh-CN"/>
              </w:rPr>
              <w:t>4</w:t>
            </w:r>
            <w:r>
              <w:rPr>
                <w:rFonts w:hint="default" w:ascii="Times New Roman" w:hAnsi="Times New Roman" w:cs="Times New Roman"/>
                <w:b/>
                <w:bCs/>
                <w:color w:val="auto"/>
                <w:sz w:val="24"/>
                <w:szCs w:val="24"/>
                <w:u w:val="none"/>
              </w:rPr>
              <w:t>固体废物影响分析</w:t>
            </w:r>
          </w:p>
          <w:p>
            <w:pPr>
              <w:autoSpaceDE w:val="0"/>
              <w:autoSpaceDN w:val="0"/>
              <w:adjustRightInd w:val="0"/>
              <w:spacing w:line="360" w:lineRule="auto"/>
              <w:ind w:firstLine="480" w:firstLineChars="200"/>
              <w:outlineLvl w:val="0"/>
              <w:rPr>
                <w:rFonts w:hint="default" w:ascii="宋体" w:hAnsi="宋体" w:eastAsia="宋体" w:cs="宋体"/>
                <w:color w:val="auto"/>
                <w:sz w:val="24"/>
                <w:szCs w:val="24"/>
                <w:u w:val="none"/>
                <w:lang w:val="en-US" w:eastAsia="zh-CN"/>
              </w:rPr>
            </w:pPr>
            <w:r>
              <w:rPr>
                <w:rFonts w:hint="eastAsia" w:ascii="宋体" w:hAnsi="宋体" w:eastAsia="宋体" w:cs="宋体"/>
                <w:color w:val="auto"/>
                <w:sz w:val="24"/>
                <w:szCs w:val="24"/>
                <w:u w:val="none"/>
                <w:lang w:val="en-US" w:eastAsia="zh-CN"/>
              </w:rPr>
              <w:t>因本项目为扩建飞灰仓库，飞灰是</w:t>
            </w:r>
            <w:r>
              <w:rPr>
                <w:rFonts w:hint="eastAsia" w:ascii="宋体" w:hAnsi="宋体" w:cs="宋体"/>
                <w:color w:val="auto"/>
                <w:sz w:val="24"/>
                <w:szCs w:val="24"/>
                <w:u w:val="none"/>
                <w:lang w:val="en-US" w:eastAsia="zh-CN"/>
              </w:rPr>
              <w:t>本项目</w:t>
            </w:r>
            <w:r>
              <w:rPr>
                <w:rFonts w:hint="eastAsia" w:ascii="宋体" w:hAnsi="宋体" w:eastAsia="宋体" w:cs="宋体"/>
                <w:color w:val="auto"/>
                <w:sz w:val="24"/>
                <w:szCs w:val="24"/>
                <w:u w:val="none"/>
                <w:lang w:val="en-US" w:eastAsia="zh-CN"/>
              </w:rPr>
              <w:t>现有工程</w:t>
            </w:r>
            <w:r>
              <w:rPr>
                <w:rFonts w:ascii="宋体" w:hAnsi="宋体" w:eastAsia="宋体" w:cs="宋体"/>
                <w:color w:val="auto"/>
                <w:sz w:val="24"/>
                <w:szCs w:val="24"/>
                <w:u w:val="none"/>
                <w:lang w:val="en-US"/>
              </w:rPr>
              <w:t>对焚烧炉所产生的烟气进行处理，布袋除尘器所收集的中和反应物、某些未完全反应的碱剂及活性炭形成飞灰</w:t>
            </w:r>
            <w:r>
              <w:rPr>
                <w:rFonts w:hint="eastAsia" w:ascii="宋体" w:hAnsi="宋体" w:eastAsia="宋体" w:cs="宋体"/>
                <w:color w:val="auto"/>
                <w:sz w:val="24"/>
                <w:szCs w:val="24"/>
                <w:u w:val="none"/>
                <w:lang w:val="en-US" w:eastAsia="zh-CN"/>
              </w:rPr>
              <w:t>，</w:t>
            </w:r>
            <w:r>
              <w:rPr>
                <w:rFonts w:hint="eastAsia" w:ascii="宋体" w:hAnsi="宋体" w:eastAsia="宋体" w:cs="宋体"/>
                <w:color w:val="auto"/>
                <w:sz w:val="24"/>
                <w:szCs w:val="24"/>
                <w:u w:val="none"/>
                <w:lang w:val="de-DE" w:eastAsia="zh-CN"/>
              </w:rPr>
              <w:t>根据</w:t>
            </w:r>
            <w:r>
              <w:rPr>
                <w:rFonts w:ascii="宋体" w:hAnsi="宋体" w:eastAsia="宋体" w:cs="宋体"/>
                <w:color w:val="auto"/>
                <w:sz w:val="24"/>
                <w:szCs w:val="24"/>
                <w:u w:val="none"/>
                <w:lang w:val="de-DE"/>
              </w:rPr>
              <w:t>《国家危险废物名录》</w:t>
            </w:r>
            <w:r>
              <w:rPr>
                <w:rFonts w:hint="eastAsia" w:ascii="宋体" w:hAnsi="宋体" w:eastAsia="宋体" w:cs="宋体"/>
                <w:color w:val="auto"/>
                <w:sz w:val="24"/>
                <w:szCs w:val="24"/>
                <w:u w:val="none"/>
                <w:lang w:val="de-DE" w:eastAsia="zh-CN"/>
              </w:rPr>
              <w:t>（</w:t>
            </w:r>
            <w:r>
              <w:rPr>
                <w:rFonts w:hint="eastAsia" w:ascii="Times New Roman" w:hAnsi="Times New Roman" w:eastAsia="宋体" w:cs="Times New Roman"/>
                <w:color w:val="auto"/>
                <w:kern w:val="2"/>
                <w:sz w:val="24"/>
                <w:szCs w:val="24"/>
                <w:lang w:val="en-US" w:eastAsia="zh-CN" w:bidi="ar-SA"/>
              </w:rPr>
              <w:t>2021</w:t>
            </w:r>
            <w:r>
              <w:rPr>
                <w:rFonts w:hint="eastAsia" w:ascii="宋体" w:hAnsi="宋体" w:cs="宋体"/>
                <w:color w:val="auto"/>
                <w:sz w:val="24"/>
                <w:szCs w:val="24"/>
                <w:u w:val="none"/>
                <w:lang w:val="en-US" w:eastAsia="zh-CN"/>
              </w:rPr>
              <w:t>版</w:t>
            </w:r>
            <w:r>
              <w:rPr>
                <w:rFonts w:hint="eastAsia" w:ascii="宋体" w:hAnsi="宋体" w:eastAsia="宋体" w:cs="宋体"/>
                <w:color w:val="auto"/>
                <w:sz w:val="24"/>
                <w:szCs w:val="24"/>
                <w:u w:val="none"/>
                <w:lang w:val="de-DE" w:eastAsia="zh-CN"/>
              </w:rPr>
              <w:t>）生活垃圾焚烧飞灰危废</w:t>
            </w:r>
            <w:r>
              <w:rPr>
                <w:rFonts w:ascii="宋体" w:hAnsi="宋体" w:eastAsia="宋体" w:cs="宋体"/>
                <w:color w:val="auto"/>
                <w:sz w:val="24"/>
                <w:szCs w:val="24"/>
                <w:u w:val="none"/>
                <w:lang w:val="de-DE"/>
              </w:rPr>
              <w:t>编号</w:t>
            </w:r>
            <w:r>
              <w:rPr>
                <w:rFonts w:hint="eastAsia" w:ascii="宋体" w:hAnsi="宋体" w:eastAsia="宋体" w:cs="宋体"/>
                <w:color w:val="auto"/>
                <w:sz w:val="24"/>
                <w:szCs w:val="24"/>
                <w:u w:val="none"/>
                <w:lang w:val="de-DE" w:eastAsia="zh-CN"/>
              </w:rPr>
              <w:t>为</w:t>
            </w:r>
            <w:r>
              <w:rPr>
                <w:rFonts w:hint="default" w:ascii="Times New Roman" w:hAnsi="Times New Roman" w:eastAsia="宋体" w:cs="Times New Roman"/>
                <w:color w:val="auto"/>
                <w:kern w:val="2"/>
                <w:sz w:val="24"/>
                <w:szCs w:val="24"/>
                <w:lang w:val="de-DE" w:eastAsia="zh-CN" w:bidi="ar-SA"/>
              </w:rPr>
              <w:t>HW18</w:t>
            </w:r>
            <w:r>
              <w:rPr>
                <w:rFonts w:hint="eastAsia" w:ascii="Times New Roman" w:hAnsi="Times New Roman" w:eastAsia="宋体" w:cs="Times New Roman"/>
                <w:color w:val="auto"/>
                <w:kern w:val="2"/>
                <w:sz w:val="24"/>
                <w:szCs w:val="24"/>
                <w:lang w:val="de-DE" w:eastAsia="zh-CN" w:bidi="ar-SA"/>
              </w:rPr>
              <w:t>，</w:t>
            </w:r>
            <w:r>
              <w:rPr>
                <w:rFonts w:hint="default" w:ascii="Times New Roman" w:hAnsi="Times New Roman" w:eastAsia="宋体" w:cs="Times New Roman"/>
                <w:color w:val="auto"/>
                <w:kern w:val="2"/>
                <w:sz w:val="24"/>
                <w:szCs w:val="24"/>
                <w:lang w:val="de-DE" w:eastAsia="zh-CN" w:bidi="ar-SA"/>
              </w:rPr>
              <w:t>772-002-18</w:t>
            </w:r>
            <w:r>
              <w:rPr>
                <w:rFonts w:ascii="宋体" w:hAnsi="宋体" w:eastAsia="宋体" w:cs="宋体"/>
                <w:color w:val="auto"/>
                <w:sz w:val="24"/>
                <w:szCs w:val="24"/>
                <w:u w:val="none"/>
                <w:lang w:val="de-DE"/>
              </w:rPr>
              <w:t>，</w:t>
            </w:r>
            <w:r>
              <w:rPr>
                <w:rFonts w:hint="eastAsia" w:ascii="宋体" w:hAnsi="宋体" w:eastAsia="宋体" w:cs="宋体"/>
                <w:color w:val="auto"/>
                <w:sz w:val="24"/>
                <w:szCs w:val="24"/>
                <w:u w:val="none"/>
                <w:lang w:val="de-DE" w:eastAsia="zh-CN"/>
              </w:rPr>
              <w:t>为有毒性危险废物</w:t>
            </w:r>
            <w:r>
              <w:rPr>
                <w:rFonts w:ascii="宋体" w:hAnsi="宋体" w:eastAsia="宋体" w:cs="宋体"/>
                <w:color w:val="auto"/>
                <w:sz w:val="24"/>
                <w:szCs w:val="24"/>
                <w:u w:val="none"/>
                <w:lang w:val="de-DE"/>
              </w:rPr>
              <w:t>。</w:t>
            </w:r>
            <w:r>
              <w:rPr>
                <w:rFonts w:hint="eastAsia" w:ascii="宋体" w:hAnsi="宋体" w:cs="宋体"/>
                <w:color w:val="auto"/>
                <w:sz w:val="24"/>
                <w:szCs w:val="24"/>
                <w:u w:val="none"/>
                <w:lang w:val="en-US" w:eastAsia="zh-CN"/>
              </w:rPr>
              <w:t>因此扩建本飞灰库对飞灰进行规范储存。</w:t>
            </w:r>
          </w:p>
          <w:p>
            <w:pPr>
              <w:pStyle w:val="76"/>
              <w:ind w:firstLine="480"/>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根据《国家危险废物名录》（2021年版），将本项目</w:t>
            </w:r>
            <w:r>
              <w:rPr>
                <w:rFonts w:hint="eastAsia" w:ascii="宋体" w:hAnsi="宋体" w:eastAsia="宋体" w:cs="宋体"/>
                <w:color w:val="auto"/>
                <w:kern w:val="2"/>
                <w:sz w:val="24"/>
                <w:szCs w:val="24"/>
                <w:u w:val="none"/>
                <w:lang w:val="en-US" w:eastAsia="zh-CN" w:bidi="ar-SA"/>
              </w:rPr>
              <w:t>拟储存</w:t>
            </w:r>
            <w:r>
              <w:rPr>
                <w:rFonts w:hint="default" w:ascii="宋体" w:hAnsi="宋体" w:eastAsia="宋体" w:cs="宋体"/>
                <w:color w:val="auto"/>
                <w:kern w:val="2"/>
                <w:sz w:val="24"/>
                <w:szCs w:val="24"/>
                <w:u w:val="none"/>
                <w:lang w:val="en-US" w:eastAsia="zh-CN" w:bidi="ar-SA"/>
              </w:rPr>
              <w:t>的</w:t>
            </w:r>
            <w:r>
              <w:rPr>
                <w:rFonts w:hint="eastAsia" w:ascii="宋体" w:hAnsi="宋体" w:cs="宋体"/>
                <w:color w:val="auto"/>
                <w:kern w:val="2"/>
                <w:sz w:val="24"/>
                <w:szCs w:val="24"/>
                <w:u w:val="none"/>
                <w:lang w:val="en-US" w:eastAsia="zh-CN" w:bidi="ar-SA"/>
              </w:rPr>
              <w:t>飞灰</w:t>
            </w:r>
            <w:r>
              <w:rPr>
                <w:rFonts w:hint="default" w:ascii="Times New Roman" w:hAnsi="Times New Roman" w:cs="Times New Roman"/>
                <w:color w:val="auto"/>
                <w:sz w:val="24"/>
                <w:szCs w:val="24"/>
              </w:rPr>
              <w:t>进行汇总及分类，具体见下表</w:t>
            </w:r>
            <w:r>
              <w:rPr>
                <w:rFonts w:hint="eastAsia" w:cs="Times New Roman"/>
                <w:color w:val="auto"/>
                <w:sz w:val="24"/>
                <w:szCs w:val="24"/>
                <w:lang w:eastAsia="zh-CN"/>
              </w:rPr>
              <w:t>：</w:t>
            </w:r>
          </w:p>
          <w:p>
            <w:pPr>
              <w:bidi w:val="0"/>
              <w:jc w:val="center"/>
              <w:rPr>
                <w:rFonts w:hint="eastAsia" w:ascii="Times New Roman" w:hAnsi="黑体" w:eastAsia="黑体" w:cs="Times New Roman"/>
                <w:color w:val="auto"/>
                <w:kern w:val="2"/>
                <w:sz w:val="24"/>
                <w:lang w:val="en-US" w:eastAsia="zh-CN" w:bidi="ar-SA"/>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42</w:t>
            </w:r>
            <w:r>
              <w:rPr>
                <w:rFonts w:hint="default" w:ascii="Times New Roman" w:hAnsi="Times New Roman" w:eastAsia="黑体" w:cs="Times New Roman"/>
                <w:b w:val="0"/>
                <w:bCs w:val="0"/>
                <w:color w:val="auto"/>
                <w:sz w:val="24"/>
                <w:szCs w:val="24"/>
                <w:u w:val="none"/>
                <w:lang w:val="en-US" w:eastAsia="zh-CN"/>
              </w:rPr>
              <w:t xml:space="preserve"> </w:t>
            </w:r>
            <w:r>
              <w:rPr>
                <w:rFonts w:hint="eastAsia" w:eastAsia="黑体" w:cs="Times New Roman"/>
                <w:b w:val="0"/>
                <w:bCs w:val="0"/>
                <w:color w:val="auto"/>
                <w:sz w:val="24"/>
                <w:szCs w:val="24"/>
                <w:u w:val="none"/>
                <w:lang w:val="en-US" w:eastAsia="zh-CN"/>
              </w:rPr>
              <w:t xml:space="preserve">    </w:t>
            </w:r>
            <w:r>
              <w:rPr>
                <w:rFonts w:hint="eastAsia" w:ascii="Times New Roman" w:hAnsi="黑体" w:eastAsia="黑体" w:cs="Times New Roman"/>
                <w:color w:val="auto"/>
                <w:kern w:val="2"/>
                <w:sz w:val="24"/>
                <w:lang w:val="en-US" w:eastAsia="zh-CN" w:bidi="ar-SA"/>
              </w:rPr>
              <w:t>本项目固废产生及处置情况一览表</w:t>
            </w:r>
          </w:p>
          <w:tbl>
            <w:tblPr>
              <w:tblStyle w:val="28"/>
              <w:tblW w:w="835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70"/>
              <w:gridCol w:w="1974"/>
              <w:gridCol w:w="1002"/>
              <w:gridCol w:w="1417"/>
              <w:gridCol w:w="26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19" w:hRule="atLeast"/>
                <w:jc w:val="center"/>
              </w:trPr>
              <w:tc>
                <w:tcPr>
                  <w:tcW w:w="1270" w:type="dxa"/>
                  <w:tcBorders>
                    <w:top w:val="single" w:color="auto" w:sz="4" w:space="0"/>
                    <w:left w:val="single" w:color="auto" w:sz="0" w:space="0"/>
                  </w:tcBorders>
                  <w:vAlign w:val="center"/>
                </w:tcPr>
                <w:p>
                  <w:pPr>
                    <w:pStyle w:val="14"/>
                    <w:adjustRightInd w:val="0"/>
                    <w:snapToGrid w:val="0"/>
                    <w:spacing w:line="360" w:lineRule="exact"/>
                    <w:ind w:left="-105" w:leftChars="-50" w:right="-105" w:rightChars="-50" w:firstLine="0" w:firstLineChars="0"/>
                    <w:jc w:val="center"/>
                    <w:rPr>
                      <w:b/>
                      <w:color w:val="auto"/>
                      <w:sz w:val="21"/>
                      <w:szCs w:val="21"/>
                    </w:rPr>
                  </w:pPr>
                  <w:r>
                    <w:rPr>
                      <w:rFonts w:hint="eastAsia"/>
                      <w:b/>
                      <w:color w:val="auto"/>
                      <w:sz w:val="21"/>
                      <w:szCs w:val="21"/>
                    </w:rPr>
                    <w:t>产生环节</w:t>
                  </w:r>
                </w:p>
              </w:tc>
              <w:tc>
                <w:tcPr>
                  <w:tcW w:w="1974" w:type="dxa"/>
                  <w:tcBorders>
                    <w:top w:val="single" w:color="auto" w:sz="4" w:space="0"/>
                  </w:tcBorders>
                  <w:vAlign w:val="center"/>
                </w:tcPr>
                <w:p>
                  <w:pPr>
                    <w:pStyle w:val="14"/>
                    <w:adjustRightInd w:val="0"/>
                    <w:snapToGrid w:val="0"/>
                    <w:spacing w:line="360" w:lineRule="exact"/>
                    <w:ind w:left="-105" w:leftChars="-50" w:right="-105" w:rightChars="-50" w:firstLine="0" w:firstLineChars="0"/>
                    <w:jc w:val="center"/>
                    <w:rPr>
                      <w:b/>
                      <w:color w:val="auto"/>
                      <w:sz w:val="21"/>
                      <w:szCs w:val="21"/>
                    </w:rPr>
                  </w:pPr>
                  <w:r>
                    <w:rPr>
                      <w:rFonts w:hint="eastAsia"/>
                      <w:b/>
                      <w:color w:val="auto"/>
                      <w:sz w:val="21"/>
                      <w:szCs w:val="21"/>
                    </w:rPr>
                    <w:t>固废名称</w:t>
                  </w:r>
                </w:p>
              </w:tc>
              <w:tc>
                <w:tcPr>
                  <w:tcW w:w="1002" w:type="dxa"/>
                  <w:tcBorders>
                    <w:top w:val="single" w:color="auto" w:sz="4" w:space="0"/>
                  </w:tcBorders>
                  <w:vAlign w:val="center"/>
                </w:tcPr>
                <w:p>
                  <w:pPr>
                    <w:pStyle w:val="14"/>
                    <w:adjustRightInd w:val="0"/>
                    <w:snapToGrid w:val="0"/>
                    <w:spacing w:line="360" w:lineRule="exact"/>
                    <w:ind w:left="-105" w:leftChars="-50" w:right="-105" w:rightChars="-50" w:firstLine="0" w:firstLineChars="0"/>
                    <w:jc w:val="center"/>
                    <w:rPr>
                      <w:b/>
                      <w:color w:val="auto"/>
                      <w:sz w:val="21"/>
                      <w:szCs w:val="21"/>
                    </w:rPr>
                  </w:pPr>
                  <w:r>
                    <w:rPr>
                      <w:rFonts w:hint="eastAsia"/>
                      <w:b/>
                      <w:color w:val="auto"/>
                      <w:sz w:val="21"/>
                      <w:szCs w:val="21"/>
                    </w:rPr>
                    <w:t>固废属性</w:t>
                  </w:r>
                </w:p>
              </w:tc>
              <w:tc>
                <w:tcPr>
                  <w:tcW w:w="1417" w:type="dxa"/>
                  <w:tcBorders>
                    <w:top w:val="single" w:color="auto" w:sz="4" w:space="0"/>
                  </w:tcBorders>
                  <w:vAlign w:val="center"/>
                </w:tcPr>
                <w:p>
                  <w:pPr>
                    <w:pStyle w:val="14"/>
                    <w:adjustRightInd w:val="0"/>
                    <w:snapToGrid w:val="0"/>
                    <w:spacing w:line="360" w:lineRule="exact"/>
                    <w:ind w:left="-105" w:leftChars="-50" w:right="-105" w:rightChars="-50" w:firstLine="0" w:firstLineChars="0"/>
                    <w:jc w:val="center"/>
                    <w:rPr>
                      <w:b/>
                      <w:color w:val="auto"/>
                      <w:sz w:val="21"/>
                      <w:szCs w:val="21"/>
                    </w:rPr>
                  </w:pPr>
                  <w:r>
                    <w:rPr>
                      <w:rFonts w:hint="eastAsia"/>
                      <w:b/>
                      <w:color w:val="auto"/>
                      <w:sz w:val="21"/>
                      <w:szCs w:val="21"/>
                      <w:highlight w:val="none"/>
                      <w:lang w:val="en-US" w:eastAsia="zh-CN"/>
                    </w:rPr>
                    <w:t>储存</w:t>
                  </w:r>
                  <w:r>
                    <w:rPr>
                      <w:rFonts w:hint="eastAsia"/>
                      <w:b/>
                      <w:color w:val="auto"/>
                      <w:sz w:val="21"/>
                      <w:szCs w:val="21"/>
                      <w:highlight w:val="none"/>
                    </w:rPr>
                    <w:t>量</w:t>
                  </w:r>
                  <w:r>
                    <w:rPr>
                      <w:rFonts w:hint="eastAsia"/>
                      <w:b/>
                      <w:color w:val="auto"/>
                      <w:sz w:val="21"/>
                      <w:szCs w:val="21"/>
                    </w:rPr>
                    <w:t>(t)</w:t>
                  </w:r>
                </w:p>
              </w:tc>
              <w:tc>
                <w:tcPr>
                  <w:tcW w:w="2687" w:type="dxa"/>
                  <w:tcBorders>
                    <w:top w:val="single" w:color="auto" w:sz="4" w:space="0"/>
                    <w:right w:val="single" w:color="auto" w:sz="4" w:space="0"/>
                  </w:tcBorders>
                  <w:vAlign w:val="center"/>
                </w:tcPr>
                <w:p>
                  <w:pPr>
                    <w:pStyle w:val="14"/>
                    <w:adjustRightInd w:val="0"/>
                    <w:snapToGrid w:val="0"/>
                    <w:spacing w:line="360" w:lineRule="exact"/>
                    <w:ind w:left="-105" w:leftChars="-50" w:right="-105" w:rightChars="-50" w:firstLine="0" w:firstLineChars="0"/>
                    <w:jc w:val="center"/>
                    <w:rPr>
                      <w:b/>
                      <w:color w:val="auto"/>
                      <w:sz w:val="21"/>
                      <w:szCs w:val="21"/>
                    </w:rPr>
                  </w:pPr>
                  <w:r>
                    <w:rPr>
                      <w:rFonts w:hint="eastAsia"/>
                      <w:b/>
                      <w:color w:val="auto"/>
                      <w:sz w:val="21"/>
                      <w:szCs w:val="21"/>
                    </w:rPr>
                    <w:t>处置方式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90" w:hRule="atLeast"/>
                <w:jc w:val="center"/>
              </w:trPr>
              <w:tc>
                <w:tcPr>
                  <w:tcW w:w="1270" w:type="dxa"/>
                  <w:tcBorders>
                    <w:left w:val="single" w:color="auto" w:sz="4" w:space="0"/>
                  </w:tcBorders>
                  <w:vAlign w:val="center"/>
                </w:tcPr>
                <w:p>
                  <w:pPr>
                    <w:pStyle w:val="14"/>
                    <w:adjustRightInd w:val="0"/>
                    <w:snapToGrid w:val="0"/>
                    <w:spacing w:line="360" w:lineRule="exact"/>
                    <w:ind w:left="-105" w:leftChars="-50" w:right="-105" w:rightChars="-5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烟气</w:t>
                  </w:r>
                  <w:r>
                    <w:rPr>
                      <w:rFonts w:hint="eastAsia" w:ascii="Times New Roman" w:hAnsi="Times New Roman" w:eastAsia="宋体" w:cs="Times New Roman"/>
                      <w:color w:val="auto"/>
                      <w:sz w:val="21"/>
                      <w:szCs w:val="21"/>
                      <w:lang w:val="en-US" w:eastAsia="zh-CN"/>
                    </w:rPr>
                    <w:t>处理</w:t>
                  </w:r>
                </w:p>
              </w:tc>
              <w:tc>
                <w:tcPr>
                  <w:tcW w:w="1974" w:type="dxa"/>
                  <w:vAlign w:val="center"/>
                </w:tcPr>
                <w:p>
                  <w:pPr>
                    <w:pStyle w:val="14"/>
                    <w:adjustRightInd w:val="0"/>
                    <w:snapToGrid w:val="0"/>
                    <w:spacing w:line="360" w:lineRule="exact"/>
                    <w:ind w:left="-105" w:leftChars="-50" w:right="-105" w:rightChars="-50" w:firstLine="0" w:firstLineChars="0"/>
                    <w:jc w:val="center"/>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飞灰（</w:t>
                  </w:r>
                  <w:r>
                    <w:rPr>
                      <w:rFonts w:hint="default" w:cs="Times New Roman"/>
                      <w:color w:val="auto"/>
                      <w:sz w:val="21"/>
                      <w:szCs w:val="21"/>
                      <w:u w:val="none"/>
                      <w:lang w:val="de-DE" w:eastAsia="zh-CN"/>
                    </w:rPr>
                    <w:t>HW18</w:t>
                  </w:r>
                  <w:r>
                    <w:rPr>
                      <w:rFonts w:hint="eastAsia" w:cs="Times New Roman"/>
                      <w:color w:val="auto"/>
                      <w:sz w:val="21"/>
                      <w:szCs w:val="21"/>
                      <w:u w:val="none"/>
                      <w:lang w:val="de-DE" w:eastAsia="zh-CN"/>
                    </w:rPr>
                    <w:t>，</w:t>
                  </w:r>
                  <w:r>
                    <w:rPr>
                      <w:rFonts w:hint="default" w:cs="Times New Roman"/>
                      <w:color w:val="auto"/>
                      <w:sz w:val="21"/>
                      <w:szCs w:val="21"/>
                      <w:u w:val="none"/>
                      <w:lang w:val="de-DE" w:eastAsia="zh-CN"/>
                    </w:rPr>
                    <w:t>772-002-18</w:t>
                  </w:r>
                  <w:r>
                    <w:rPr>
                      <w:rFonts w:hint="eastAsia" w:cs="Times New Roman"/>
                      <w:color w:val="auto"/>
                      <w:sz w:val="21"/>
                      <w:szCs w:val="21"/>
                      <w:u w:val="none"/>
                      <w:lang w:val="en-US" w:eastAsia="zh-CN"/>
                    </w:rPr>
                    <w:t>）</w:t>
                  </w:r>
                </w:p>
              </w:tc>
              <w:tc>
                <w:tcPr>
                  <w:tcW w:w="1002" w:type="dxa"/>
                  <w:vAlign w:val="center"/>
                </w:tcPr>
                <w:p>
                  <w:pPr>
                    <w:pStyle w:val="14"/>
                    <w:adjustRightInd w:val="0"/>
                    <w:snapToGrid w:val="0"/>
                    <w:spacing w:line="360" w:lineRule="exact"/>
                    <w:ind w:left="-105" w:leftChars="-50" w:right="-105" w:rightChars="-50" w:firstLine="0" w:firstLineChars="0"/>
                    <w:jc w:val="center"/>
                    <w:rPr>
                      <w:rFonts w:hint="eastAsia" w:ascii="Times New Roman" w:hAnsi="Times New Roman" w:eastAsia="宋体" w:cs="Times New Roman"/>
                      <w:color w:val="auto"/>
                      <w:sz w:val="21"/>
                      <w:szCs w:val="21"/>
                      <w:u w:val="single"/>
                      <w:lang w:val="en-US" w:eastAsia="zh-CN"/>
                    </w:rPr>
                  </w:pPr>
                  <w:r>
                    <w:rPr>
                      <w:rFonts w:hint="eastAsia" w:ascii="Times New Roman" w:hAnsi="Times New Roman" w:eastAsia="宋体" w:cs="Times New Roman"/>
                      <w:color w:val="auto"/>
                      <w:sz w:val="21"/>
                      <w:szCs w:val="21"/>
                      <w:u w:val="none"/>
                      <w:lang w:val="en-US" w:eastAsia="zh-CN"/>
                    </w:rPr>
                    <w:t>危险废物</w:t>
                  </w:r>
                </w:p>
              </w:tc>
              <w:tc>
                <w:tcPr>
                  <w:tcW w:w="1417" w:type="dxa"/>
                  <w:vAlign w:val="center"/>
                </w:tcPr>
                <w:p>
                  <w:pPr>
                    <w:pStyle w:val="14"/>
                    <w:adjustRightInd w:val="0"/>
                    <w:snapToGrid w:val="0"/>
                    <w:spacing w:line="360" w:lineRule="exact"/>
                    <w:ind w:left="-105" w:leftChars="-50" w:right="-105" w:rightChars="-50" w:firstLine="0" w:firstLineChars="0"/>
                    <w:jc w:val="center"/>
                    <w:rPr>
                      <w:rFonts w:hint="default" w:cs="Times New Roman"/>
                      <w:color w:val="auto"/>
                      <w:sz w:val="21"/>
                      <w:szCs w:val="21"/>
                      <w:u w:val="none"/>
                      <w:lang w:val="en-US" w:eastAsia="zh-CN"/>
                    </w:rPr>
                  </w:pPr>
                  <w:r>
                    <w:rPr>
                      <w:rFonts w:hint="eastAsia" w:cs="Times New Roman"/>
                      <w:color w:val="auto"/>
                      <w:sz w:val="21"/>
                      <w:szCs w:val="21"/>
                      <w:u w:val="none"/>
                      <w:lang w:val="en-US" w:eastAsia="zh-CN"/>
                    </w:rPr>
                    <w:t>8000</w:t>
                  </w:r>
                </w:p>
              </w:tc>
              <w:tc>
                <w:tcPr>
                  <w:tcW w:w="2687" w:type="dxa"/>
                  <w:tcBorders>
                    <w:right w:val="single" w:color="auto" w:sz="4" w:space="0"/>
                  </w:tcBorders>
                  <w:vAlign w:val="center"/>
                </w:tcPr>
                <w:p>
                  <w:pPr>
                    <w:pStyle w:val="14"/>
                    <w:adjustRightInd w:val="0"/>
                    <w:snapToGrid w:val="0"/>
                    <w:spacing w:line="360" w:lineRule="exact"/>
                    <w:ind w:left="-105" w:leftChars="-50" w:right="-105" w:rightChars="-50" w:firstLine="0" w:firstLineChars="0"/>
                    <w:jc w:val="center"/>
                    <w:rPr>
                      <w:rFonts w:hint="eastAsia" w:ascii="宋体" w:hAnsi="宋体" w:eastAsia="宋体" w:cs="宋体"/>
                      <w:color w:val="auto"/>
                      <w:kern w:val="2"/>
                      <w:sz w:val="21"/>
                      <w:szCs w:val="21"/>
                      <w:lang w:val="en-US" w:eastAsia="zh-CN" w:bidi="ar-SA"/>
                    </w:rPr>
                  </w:pPr>
                  <w:r>
                    <w:rPr>
                      <w:rFonts w:hint="eastAsia" w:ascii="Times New Roman" w:hAnsi="Times New Roman" w:eastAsia="宋体" w:cs="Times New Roman"/>
                      <w:b w:val="0"/>
                      <w:bCs w:val="0"/>
                      <w:color w:val="auto"/>
                      <w:sz w:val="21"/>
                      <w:szCs w:val="21"/>
                      <w:u w:val="single"/>
                      <w:lang w:val="en-US" w:eastAsia="zh-CN"/>
                    </w:rPr>
                    <w:t>危废间暂存后</w:t>
                  </w:r>
                  <w:r>
                    <w:rPr>
                      <w:rFonts w:hint="eastAsia" w:ascii="Times New Roman" w:hAnsi="Times New Roman" w:eastAsia="宋体" w:cs="Times New Roman"/>
                      <w:b w:val="0"/>
                      <w:bCs w:val="0"/>
                      <w:color w:val="auto"/>
                      <w:sz w:val="21"/>
                      <w:szCs w:val="21"/>
                      <w:u w:val="single"/>
                      <w:lang w:val="de-DE" w:eastAsia="zh-CN"/>
                    </w:rPr>
                    <w:t>运至</w:t>
                  </w:r>
                  <w:r>
                    <w:rPr>
                      <w:rFonts w:hint="eastAsia" w:ascii="Times New Roman" w:hAnsi="Times New Roman" w:eastAsia="宋体" w:cs="Times New Roman"/>
                      <w:b w:val="0"/>
                      <w:bCs w:val="0"/>
                      <w:color w:val="auto"/>
                      <w:sz w:val="21"/>
                      <w:szCs w:val="21"/>
                      <w:u w:val="single"/>
                      <w:lang w:val="en-US" w:eastAsia="zh-CN"/>
                    </w:rPr>
                    <w:t>本公司拟建飞灰填埋厂进行填埋</w:t>
                  </w:r>
                </w:p>
              </w:tc>
            </w:tr>
          </w:tbl>
          <w:p>
            <w:pPr>
              <w:autoSpaceDE w:val="0"/>
              <w:autoSpaceDN w:val="0"/>
              <w:adjustRightInd w:val="0"/>
              <w:snapToGrid w:val="0"/>
              <w:spacing w:line="520" w:lineRule="exact"/>
              <w:ind w:firstLine="502" w:firstLineChars="200"/>
              <w:rPr>
                <w:rFonts w:hint="default" w:ascii="Times New Roman" w:hAnsi="Times New Roman" w:cs="Times New Roman"/>
                <w:b/>
                <w:bCs/>
                <w:color w:val="auto"/>
                <w:spacing w:val="5"/>
                <w:sz w:val="24"/>
              </w:rPr>
            </w:pPr>
            <w:r>
              <w:rPr>
                <w:rFonts w:hint="eastAsia" w:cs="Times New Roman"/>
                <w:b/>
                <w:bCs/>
                <w:color w:val="auto"/>
                <w:spacing w:val="5"/>
                <w:sz w:val="24"/>
                <w:lang w:val="en-US" w:eastAsia="zh-CN"/>
              </w:rPr>
              <w:t>4.1</w:t>
            </w:r>
            <w:r>
              <w:rPr>
                <w:rFonts w:hint="default" w:ascii="Times New Roman" w:hAnsi="Times New Roman" w:cs="Times New Roman"/>
                <w:b/>
                <w:bCs/>
                <w:color w:val="auto"/>
                <w:spacing w:val="5"/>
                <w:sz w:val="24"/>
              </w:rPr>
              <w:t>贮存、利用、处置方式和去向情况</w:t>
            </w:r>
          </w:p>
          <w:p>
            <w:pPr>
              <w:autoSpaceDE w:val="0"/>
              <w:autoSpaceDN w:val="0"/>
              <w:adjustRightInd w:val="0"/>
              <w:snapToGrid w:val="0"/>
              <w:spacing w:line="520" w:lineRule="exact"/>
              <w:ind w:firstLine="500" w:firstLineChars="200"/>
              <w:rPr>
                <w:rFonts w:hint="default" w:ascii="Times New Roman" w:hAnsi="Times New Roman" w:eastAsia="宋体" w:cs="Times New Roman"/>
                <w:color w:val="auto"/>
                <w:spacing w:val="5"/>
                <w:sz w:val="24"/>
                <w:highlight w:val="none"/>
                <w:lang w:val="en-US" w:eastAsia="zh-CN"/>
              </w:rPr>
            </w:pPr>
            <w:r>
              <w:rPr>
                <w:rFonts w:hint="default" w:ascii="Times New Roman" w:hAnsi="Times New Roman" w:cs="Times New Roman"/>
                <w:color w:val="auto"/>
                <w:spacing w:val="5"/>
                <w:sz w:val="24"/>
                <w:highlight w:val="none"/>
              </w:rPr>
              <w:t>本项目</w:t>
            </w:r>
            <w:r>
              <w:rPr>
                <w:rFonts w:hint="eastAsia" w:cs="Times New Roman"/>
                <w:color w:val="auto"/>
                <w:spacing w:val="5"/>
                <w:sz w:val="24"/>
                <w:highlight w:val="none"/>
                <w:lang w:val="en-US" w:eastAsia="zh-CN"/>
              </w:rPr>
              <w:t>现有工程</w:t>
            </w:r>
            <w:r>
              <w:rPr>
                <w:rFonts w:hint="default" w:ascii="Times New Roman" w:hAnsi="Times New Roman" w:cs="Times New Roman"/>
                <w:color w:val="auto"/>
                <w:spacing w:val="5"/>
                <w:sz w:val="24"/>
                <w:highlight w:val="none"/>
              </w:rPr>
              <w:t>产生的</w:t>
            </w:r>
            <w:r>
              <w:rPr>
                <w:rFonts w:hint="eastAsia" w:ascii="Times New Roman" w:hAnsi="Times New Roman" w:cs="Times New Roman"/>
                <w:color w:val="auto"/>
                <w:spacing w:val="5"/>
                <w:sz w:val="24"/>
                <w:highlight w:val="none"/>
                <w:lang w:val="en-US" w:eastAsia="zh-CN"/>
              </w:rPr>
              <w:t>危险废物</w:t>
            </w:r>
            <w:r>
              <w:rPr>
                <w:rFonts w:hint="eastAsia" w:cs="Times New Roman"/>
                <w:color w:val="auto"/>
                <w:spacing w:val="5"/>
                <w:sz w:val="24"/>
                <w:highlight w:val="none"/>
                <w:lang w:val="en-US" w:eastAsia="zh-CN"/>
              </w:rPr>
              <w:t>飞灰将由本项目拟建</w:t>
            </w:r>
            <w:r>
              <w:rPr>
                <w:rFonts w:hint="eastAsia" w:ascii="Times New Roman" w:hAnsi="Times New Roman" w:cs="Times New Roman"/>
                <w:color w:val="auto"/>
                <w:spacing w:val="5"/>
                <w:sz w:val="24"/>
                <w:highlight w:val="none"/>
                <w:lang w:val="en-US" w:eastAsia="zh-CN"/>
              </w:rPr>
              <w:t>危废间</w:t>
            </w:r>
            <w:r>
              <w:rPr>
                <w:rFonts w:hint="eastAsia" w:cs="Times New Roman"/>
                <w:color w:val="auto"/>
                <w:spacing w:val="5"/>
                <w:sz w:val="24"/>
                <w:highlight w:val="none"/>
                <w:lang w:val="en-US" w:eastAsia="zh-CN"/>
              </w:rPr>
              <w:t>（飞灰暂存间）</w:t>
            </w:r>
            <w:r>
              <w:rPr>
                <w:rFonts w:hint="eastAsia" w:ascii="Times New Roman" w:hAnsi="Times New Roman" w:cs="Times New Roman"/>
                <w:color w:val="auto"/>
                <w:spacing w:val="5"/>
                <w:sz w:val="24"/>
                <w:highlight w:val="none"/>
                <w:lang w:val="en-US" w:eastAsia="zh-CN"/>
              </w:rPr>
              <w:t>暂存后交由有资质单位回收处理</w:t>
            </w:r>
            <w:r>
              <w:rPr>
                <w:rFonts w:hint="eastAsia" w:cs="Times New Roman"/>
                <w:color w:val="auto"/>
                <w:spacing w:val="5"/>
                <w:sz w:val="24"/>
                <w:highlight w:val="none"/>
                <w:lang w:val="en-US" w:eastAsia="zh-CN"/>
              </w:rPr>
              <w:t>。</w:t>
            </w:r>
          </w:p>
          <w:p>
            <w:pPr>
              <w:pStyle w:val="60"/>
              <w:keepNext w:val="0"/>
              <w:keepLines w:val="0"/>
              <w:pageBreakBefore w:val="0"/>
              <w:kinsoku/>
              <w:wordWrap/>
              <w:overflowPunct/>
              <w:topLinePunct w:val="0"/>
              <w:bidi w:val="0"/>
              <w:spacing w:line="520" w:lineRule="exact"/>
              <w:ind w:firstLine="480" w:firstLineChars="200"/>
              <w:textAlignment w:val="auto"/>
              <w:rPr>
                <w:rFonts w:hint="default" w:ascii="Times New Roman" w:hAnsi="Times New Roman" w:cs="Times New Roman"/>
                <w:b w:val="0"/>
                <w:bCs w:val="0"/>
                <w:color w:val="auto"/>
                <w:sz w:val="24"/>
                <w:szCs w:val="24"/>
                <w:highlight w:val="yellow"/>
                <w:u w:val="none"/>
              </w:rPr>
            </w:pPr>
            <w:r>
              <w:rPr>
                <w:rFonts w:hint="default" w:ascii="Times New Roman" w:hAnsi="Times New Roman" w:cs="Times New Roman"/>
                <w:b w:val="0"/>
                <w:bCs w:val="0"/>
                <w:color w:val="auto"/>
                <w:sz w:val="24"/>
                <w:szCs w:val="24"/>
                <w:highlight w:val="none"/>
                <w:u w:val="none"/>
              </w:rPr>
              <w:t>项目危废特性汇总见下表。</w:t>
            </w:r>
          </w:p>
          <w:p>
            <w:pPr>
              <w:pStyle w:val="7"/>
              <w:keepNext w:val="0"/>
              <w:keepLines w:val="0"/>
              <w:pageBreakBefore w:val="0"/>
              <w:widowControl w:val="0"/>
              <w:numPr>
                <w:ilvl w:val="0"/>
                <w:numId w:val="0"/>
              </w:numPr>
              <w:kinsoku/>
              <w:wordWrap/>
              <w:overflowPunct/>
              <w:topLinePunct w:val="0"/>
              <w:bidi w:val="0"/>
              <w:spacing w:line="520" w:lineRule="exact"/>
              <w:ind w:firstLine="480" w:firstLineChars="200"/>
              <w:jc w:val="center"/>
              <w:textAlignment w:val="auto"/>
              <w:rPr>
                <w:rFonts w:hint="default" w:ascii="Times New Roman" w:hAnsi="Times New Roman" w:eastAsia="黑体" w:cs="Times New Roman"/>
                <w:b w:val="0"/>
                <w:bCs w:val="0"/>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 xml:space="preserve">43   </w:t>
            </w:r>
            <w:r>
              <w:rPr>
                <w:rFonts w:hint="default" w:ascii="Times New Roman" w:hAnsi="Times New Roman" w:eastAsia="黑体" w:cs="Times New Roman"/>
                <w:b w:val="0"/>
                <w:bCs w:val="0"/>
                <w:color w:val="auto"/>
                <w:sz w:val="24"/>
                <w:szCs w:val="24"/>
                <w:u w:val="none"/>
                <w:lang w:val="en-US" w:eastAsia="zh-CN"/>
              </w:rPr>
              <w:t>项目危险废物汇总表</w:t>
            </w:r>
          </w:p>
          <w:tbl>
            <w:tblPr>
              <w:tblStyle w:val="28"/>
              <w:tblW w:w="857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1"/>
              <w:gridCol w:w="711"/>
              <w:gridCol w:w="822"/>
              <w:gridCol w:w="799"/>
              <w:gridCol w:w="736"/>
              <w:gridCol w:w="709"/>
              <w:gridCol w:w="477"/>
              <w:gridCol w:w="655"/>
              <w:gridCol w:w="750"/>
              <w:gridCol w:w="764"/>
              <w:gridCol w:w="791"/>
              <w:gridCol w:w="9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1" w:type="dxa"/>
                  <w:tcBorders>
                    <w:top w:val="single" w:color="auto" w:sz="4" w:space="0"/>
                    <w:left w:val="single" w:color="auto" w:sz="0"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序号</w:t>
                  </w:r>
                </w:p>
              </w:tc>
              <w:tc>
                <w:tcPr>
                  <w:tcW w:w="711"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危险废物名称</w:t>
                  </w:r>
                </w:p>
              </w:tc>
              <w:tc>
                <w:tcPr>
                  <w:tcW w:w="822"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危险废物类别</w:t>
                  </w:r>
                </w:p>
              </w:tc>
              <w:tc>
                <w:tcPr>
                  <w:tcW w:w="799"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危险废物代码</w:t>
                  </w:r>
                </w:p>
              </w:tc>
              <w:tc>
                <w:tcPr>
                  <w:tcW w:w="736"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产生量（</w:t>
                  </w:r>
                  <w:r>
                    <w:rPr>
                      <w:rFonts w:hint="default" w:ascii="Times New Roman" w:hAnsi="Times New Roman" w:cs="Times New Roman"/>
                      <w:b/>
                      <w:bCs/>
                      <w:color w:val="auto"/>
                      <w:kern w:val="0"/>
                      <w:sz w:val="21"/>
                      <w:szCs w:val="21"/>
                      <w:u w:val="none"/>
                      <w:lang w:val="en-US" w:eastAsia="zh-CN"/>
                    </w:rPr>
                    <w:t>t/a</w:t>
                  </w:r>
                  <w:r>
                    <w:rPr>
                      <w:rFonts w:hint="default" w:ascii="Times New Roman" w:hAnsi="Times New Roman" w:cs="Times New Roman"/>
                      <w:b/>
                      <w:bCs/>
                      <w:color w:val="auto"/>
                      <w:kern w:val="0"/>
                      <w:sz w:val="21"/>
                      <w:szCs w:val="21"/>
                      <w:u w:val="none"/>
                    </w:rPr>
                    <w:t>）</w:t>
                  </w:r>
                </w:p>
              </w:tc>
              <w:tc>
                <w:tcPr>
                  <w:tcW w:w="709"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产生工序</w:t>
                  </w:r>
                </w:p>
              </w:tc>
              <w:tc>
                <w:tcPr>
                  <w:tcW w:w="477"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形态</w:t>
                  </w:r>
                </w:p>
              </w:tc>
              <w:tc>
                <w:tcPr>
                  <w:tcW w:w="655"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主要成分</w:t>
                  </w:r>
                </w:p>
              </w:tc>
              <w:tc>
                <w:tcPr>
                  <w:tcW w:w="750"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有害成分</w:t>
                  </w:r>
                </w:p>
              </w:tc>
              <w:tc>
                <w:tcPr>
                  <w:tcW w:w="764"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产废周期</w:t>
                  </w:r>
                </w:p>
              </w:tc>
              <w:tc>
                <w:tcPr>
                  <w:tcW w:w="791" w:type="dxa"/>
                  <w:tcBorders>
                    <w:top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w:t>
                  </w:r>
                </w:p>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特性</w:t>
                  </w:r>
                </w:p>
              </w:tc>
              <w:tc>
                <w:tcPr>
                  <w:tcW w:w="928" w:type="dxa"/>
                  <w:tcBorders>
                    <w:top w:val="single" w:color="auto" w:sz="4" w:space="0"/>
                    <w:right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1" w:type="dxa"/>
                  <w:tcBorders>
                    <w:left w:val="single" w:color="auto" w:sz="4" w:space="0"/>
                    <w:bottom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val="en-US" w:eastAsia="zh-CN"/>
                    </w:rPr>
                    <w:t>1</w:t>
                  </w:r>
                </w:p>
              </w:tc>
              <w:tc>
                <w:tcPr>
                  <w:tcW w:w="711" w:type="dxa"/>
                  <w:tcBorders>
                    <w:bottom w:val="single" w:color="auto" w:sz="4" w:space="0"/>
                    <w:tl2br w:val="nil"/>
                    <w:tr2bl w:val="nil"/>
                  </w:tcBorders>
                  <w:noWrap w:val="0"/>
                  <w:vAlign w:val="center"/>
                </w:tcPr>
                <w:p>
                  <w:pPr>
                    <w:pStyle w:val="49"/>
                    <w:bidi w:val="0"/>
                    <w:rPr>
                      <w:rFonts w:hint="default" w:ascii="Times New Roman" w:hAnsi="Times New Roman" w:eastAsia="宋体" w:cs="Times New Roman"/>
                      <w:color w:val="auto"/>
                      <w:sz w:val="21"/>
                      <w:szCs w:val="21"/>
                      <w:lang w:val="en-US" w:eastAsia="zh-CN"/>
                    </w:rPr>
                  </w:pPr>
                  <w:r>
                    <w:rPr>
                      <w:rFonts w:hint="eastAsia" w:cs="Times New Roman"/>
                      <w:color w:val="auto"/>
                      <w:sz w:val="21"/>
                      <w:szCs w:val="21"/>
                      <w:u w:val="none"/>
                      <w:lang w:val="en-US" w:eastAsia="zh-CN"/>
                    </w:rPr>
                    <w:t>飞灰</w:t>
                  </w:r>
                </w:p>
              </w:tc>
              <w:tc>
                <w:tcPr>
                  <w:tcW w:w="822" w:type="dxa"/>
                  <w:tcBorders>
                    <w:bottom w:val="single" w:color="auto" w:sz="4" w:space="0"/>
                    <w:tl2br w:val="nil"/>
                    <w:tr2bl w:val="nil"/>
                  </w:tcBorders>
                  <w:noWrap w:val="0"/>
                  <w:vAlign w:val="center"/>
                </w:tcPr>
                <w:p>
                  <w:pPr>
                    <w:pStyle w:val="49"/>
                    <w:bidi w:val="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de-DE" w:eastAsia="zh-CN" w:bidi="ar-SA"/>
                    </w:rPr>
                    <w:t>HW18</w:t>
                  </w:r>
                </w:p>
              </w:tc>
              <w:tc>
                <w:tcPr>
                  <w:tcW w:w="799" w:type="dxa"/>
                  <w:tcBorders>
                    <w:bottom w:val="single" w:color="auto" w:sz="4" w:space="0"/>
                    <w:tl2br w:val="nil"/>
                    <w:tr2bl w:val="nil"/>
                  </w:tcBorders>
                  <w:noWrap w:val="0"/>
                  <w:vAlign w:val="center"/>
                </w:tcPr>
                <w:p>
                  <w:pPr>
                    <w:pStyle w:val="49"/>
                    <w:bidi w:val="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de-DE" w:eastAsia="zh-CN" w:bidi="ar-SA"/>
                    </w:rPr>
                    <w:t>772-002-18</w:t>
                  </w:r>
                </w:p>
              </w:tc>
              <w:tc>
                <w:tcPr>
                  <w:tcW w:w="736" w:type="dxa"/>
                  <w:tcBorders>
                    <w:bottom w:val="single" w:color="auto" w:sz="4" w:space="0"/>
                    <w:tl2br w:val="nil"/>
                    <w:tr2bl w:val="nil"/>
                  </w:tcBorders>
                  <w:noWrap w:val="0"/>
                  <w:vAlign w:val="center"/>
                </w:tcPr>
                <w:p>
                  <w:pPr>
                    <w:pStyle w:val="14"/>
                    <w:adjustRightInd w:val="0"/>
                    <w:snapToGrid w:val="0"/>
                    <w:spacing w:line="360" w:lineRule="exact"/>
                    <w:ind w:left="-105" w:leftChars="-50" w:right="-105" w:rightChars="-5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8000</w:t>
                  </w:r>
                </w:p>
              </w:tc>
              <w:tc>
                <w:tcPr>
                  <w:tcW w:w="709" w:type="dxa"/>
                  <w:tcBorders>
                    <w:bottom w:val="single" w:color="auto" w:sz="4" w:space="0"/>
                    <w:tl2br w:val="nil"/>
                    <w:tr2bl w:val="nil"/>
                  </w:tcBorders>
                  <w:noWrap w:val="0"/>
                  <w:vAlign w:val="center"/>
                </w:tcPr>
                <w:p>
                  <w:pPr>
                    <w:pStyle w:val="76"/>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烟气</w:t>
                  </w:r>
                  <w:r>
                    <w:rPr>
                      <w:rFonts w:hint="eastAsia" w:ascii="Times New Roman" w:hAnsi="Times New Roman" w:eastAsia="宋体" w:cs="Times New Roman"/>
                      <w:color w:val="auto"/>
                      <w:sz w:val="21"/>
                      <w:szCs w:val="21"/>
                      <w:lang w:val="en-US" w:eastAsia="zh-CN"/>
                    </w:rPr>
                    <w:t>处理</w:t>
                  </w:r>
                </w:p>
              </w:tc>
              <w:tc>
                <w:tcPr>
                  <w:tcW w:w="477" w:type="dxa"/>
                  <w:tcBorders>
                    <w:bottom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val="en-US" w:eastAsia="zh-CN"/>
                    </w:rPr>
                    <w:t>固态</w:t>
                  </w:r>
                </w:p>
              </w:tc>
              <w:tc>
                <w:tcPr>
                  <w:tcW w:w="655" w:type="dxa"/>
                  <w:tcBorders>
                    <w:bottom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color w:val="auto"/>
                      <w:lang w:val="en-US"/>
                    </w:rPr>
                    <w:t>布袋除尘器所收集的中和反应物、某些未完全反应的碱剂及活性炭</w:t>
                  </w:r>
                </w:p>
              </w:tc>
              <w:tc>
                <w:tcPr>
                  <w:tcW w:w="750" w:type="dxa"/>
                  <w:tcBorders>
                    <w:bottom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cs="Times New Roman"/>
                      <w:b w:val="0"/>
                      <w:bCs w:val="0"/>
                      <w:color w:val="auto"/>
                      <w:kern w:val="0"/>
                      <w:sz w:val="21"/>
                      <w:szCs w:val="21"/>
                      <w:u w:val="none"/>
                    </w:rPr>
                  </w:pPr>
                  <w:r>
                    <w:rPr>
                      <w:color w:val="auto"/>
                      <w:lang w:val="de-DE"/>
                    </w:rPr>
                    <w:t>铜Cu、锌Zn、铅Pb、铬Cr、镍Ni、汞Hg、镉Cd及二噁英类物质等</w:t>
                  </w:r>
                </w:p>
              </w:tc>
              <w:tc>
                <w:tcPr>
                  <w:tcW w:w="764" w:type="dxa"/>
                  <w:tcBorders>
                    <w:bottom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val="en-US" w:eastAsia="zh-CN"/>
                    </w:rPr>
                    <w:t>/</w:t>
                  </w:r>
                </w:p>
              </w:tc>
              <w:tc>
                <w:tcPr>
                  <w:tcW w:w="791" w:type="dxa"/>
                  <w:tcBorders>
                    <w:bottom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u w:val="none"/>
                    </w:rPr>
                  </w:pPr>
                  <w:r>
                    <w:rPr>
                      <w:rFonts w:hint="eastAsia" w:ascii="Times New Roman" w:hAnsi="Times New Roman"/>
                      <w:color w:val="auto"/>
                      <w:kern w:val="0"/>
                      <w:sz w:val="21"/>
                      <w:szCs w:val="21"/>
                      <w:lang w:val="en-US" w:eastAsia="zh-CN"/>
                    </w:rPr>
                    <w:t>T</w:t>
                  </w:r>
                </w:p>
              </w:tc>
              <w:tc>
                <w:tcPr>
                  <w:tcW w:w="928" w:type="dxa"/>
                  <w:tcBorders>
                    <w:right w:val="single" w:color="auto" w:sz="4" w:space="0"/>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320" w:lineRule="exact"/>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cs="Times New Roman"/>
                      <w:b w:val="0"/>
                      <w:bCs w:val="0"/>
                      <w:color w:val="auto"/>
                      <w:sz w:val="21"/>
                      <w:szCs w:val="21"/>
                      <w:u w:val="single"/>
                      <w:lang w:val="en-US" w:eastAsia="zh-CN"/>
                    </w:rPr>
                    <w:t>危废间暂存后</w:t>
                  </w:r>
                  <w:r>
                    <w:rPr>
                      <w:color w:val="auto"/>
                      <w:u w:val="single"/>
                      <w:lang w:val="de-DE"/>
                    </w:rPr>
                    <w:t>运至</w:t>
                  </w:r>
                  <w:r>
                    <w:rPr>
                      <w:rFonts w:hint="eastAsia"/>
                      <w:color w:val="auto"/>
                      <w:u w:val="single"/>
                      <w:lang w:val="en-US" w:eastAsia="zh-CN"/>
                    </w:rPr>
                    <w:t>本公司拟建</w:t>
                  </w:r>
                  <w:r>
                    <w:rPr>
                      <w:rFonts w:hint="eastAsia" w:ascii="Times New Roman" w:hAnsi="Times New Roman" w:eastAsia="宋体" w:cs="Times New Roman"/>
                      <w:b w:val="0"/>
                      <w:bCs w:val="0"/>
                      <w:color w:val="auto"/>
                      <w:sz w:val="21"/>
                      <w:szCs w:val="21"/>
                      <w:u w:val="single"/>
                      <w:lang w:val="en-US" w:eastAsia="zh-CN"/>
                    </w:rPr>
                    <w:t>飞灰填埋厂进行填埋</w:t>
                  </w:r>
                </w:p>
              </w:tc>
            </w:tr>
          </w:tbl>
          <w:p>
            <w:pPr>
              <w:adjustRightInd w:val="0"/>
              <w:snapToGrid w:val="0"/>
              <w:spacing w:line="460" w:lineRule="exact"/>
              <w:ind w:firstLine="480" w:firstLineChars="200"/>
              <w:rPr>
                <w:rFonts w:hint="default" w:ascii="Times New Roman" w:hAnsi="Times New Roman" w:cs="Times New Roman"/>
                <w:color w:val="auto"/>
                <w:sz w:val="24"/>
                <w:szCs w:val="20"/>
                <w:u w:val="none"/>
              </w:rPr>
            </w:pPr>
            <w:r>
              <w:rPr>
                <w:rFonts w:hint="default" w:ascii="Times New Roman" w:hAnsi="Times New Roman" w:cs="Times New Roman"/>
                <w:color w:val="auto"/>
                <w:sz w:val="24"/>
                <w:szCs w:val="20"/>
                <w:u w:val="none"/>
              </w:rPr>
              <w:t>项目危废贮存场所基本情况一览表见下表。</w:t>
            </w:r>
          </w:p>
          <w:p>
            <w:pPr>
              <w:pStyle w:val="7"/>
              <w:keepNext w:val="0"/>
              <w:keepLines w:val="0"/>
              <w:pageBreakBefore w:val="0"/>
              <w:widowControl w:val="0"/>
              <w:numPr>
                <w:ilvl w:val="0"/>
                <w:numId w:val="0"/>
              </w:numPr>
              <w:kinsoku/>
              <w:wordWrap/>
              <w:overflowPunct/>
              <w:topLinePunct w:val="0"/>
              <w:bidi w:val="0"/>
              <w:spacing w:line="520" w:lineRule="exact"/>
              <w:ind w:firstLine="480" w:firstLineChars="200"/>
              <w:jc w:val="center"/>
              <w:textAlignment w:val="auto"/>
              <w:rPr>
                <w:rFonts w:hint="default" w:ascii="Times New Roman" w:hAnsi="Times New Roman" w:eastAsia="黑体" w:cs="Times New Roman"/>
                <w:b w:val="0"/>
                <w:bCs w:val="0"/>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 xml:space="preserve">44    </w:t>
            </w:r>
            <w:r>
              <w:rPr>
                <w:rFonts w:hint="default" w:ascii="Times New Roman" w:hAnsi="Times New Roman" w:eastAsia="黑体" w:cs="Times New Roman"/>
                <w:b w:val="0"/>
                <w:bCs w:val="0"/>
                <w:color w:val="auto"/>
                <w:sz w:val="24"/>
                <w:szCs w:val="24"/>
                <w:u w:val="none"/>
                <w:lang w:val="en-US" w:eastAsia="zh-CN"/>
              </w:rPr>
              <w:t>项目危废贮存场所基本情况</w:t>
            </w:r>
          </w:p>
          <w:tbl>
            <w:tblPr>
              <w:tblStyle w:val="2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2"/>
              <w:gridCol w:w="1026"/>
              <w:gridCol w:w="969"/>
              <w:gridCol w:w="823"/>
              <w:gridCol w:w="1233"/>
              <w:gridCol w:w="679"/>
              <w:gridCol w:w="892"/>
              <w:gridCol w:w="753"/>
              <w:gridCol w:w="835"/>
              <w:gridCol w:w="9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tcBorders>
                    <w:top w:val="single" w:color="auto" w:sz="4" w:space="0"/>
                    <w:left w:val="single" w:color="auto" w:sz="0"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序号</w:t>
                  </w:r>
                </w:p>
              </w:tc>
              <w:tc>
                <w:tcPr>
                  <w:tcW w:w="598"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贮存场所（设施）名称</w:t>
                  </w:r>
                </w:p>
              </w:tc>
              <w:tc>
                <w:tcPr>
                  <w:tcW w:w="565"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危险废物名称</w:t>
                  </w:r>
                </w:p>
              </w:tc>
              <w:tc>
                <w:tcPr>
                  <w:tcW w:w="480"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危险废物类别</w:t>
                  </w:r>
                </w:p>
              </w:tc>
              <w:tc>
                <w:tcPr>
                  <w:tcW w:w="719"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危险废物代码</w:t>
                  </w:r>
                </w:p>
              </w:tc>
              <w:tc>
                <w:tcPr>
                  <w:tcW w:w="396"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位置</w:t>
                  </w:r>
                </w:p>
              </w:tc>
              <w:tc>
                <w:tcPr>
                  <w:tcW w:w="520"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占地面积（m</w:t>
                  </w:r>
                  <w:r>
                    <w:rPr>
                      <w:rFonts w:hint="default" w:ascii="Times New Roman" w:hAnsi="Times New Roman" w:cs="Times New Roman"/>
                      <w:b/>
                      <w:bCs/>
                      <w:color w:val="auto"/>
                      <w:sz w:val="21"/>
                      <w:szCs w:val="21"/>
                      <w:u w:val="none"/>
                      <w:vertAlign w:val="superscript"/>
                    </w:rPr>
                    <w:t>2</w:t>
                  </w:r>
                  <w:r>
                    <w:rPr>
                      <w:rFonts w:hint="default" w:ascii="Times New Roman" w:hAnsi="Times New Roman" w:cs="Times New Roman"/>
                      <w:b/>
                      <w:bCs/>
                      <w:color w:val="auto"/>
                      <w:sz w:val="21"/>
                      <w:szCs w:val="21"/>
                      <w:u w:val="none"/>
                    </w:rPr>
                    <w:t>）</w:t>
                  </w:r>
                </w:p>
              </w:tc>
              <w:tc>
                <w:tcPr>
                  <w:tcW w:w="439"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贮存方式</w:t>
                  </w:r>
                </w:p>
              </w:tc>
              <w:tc>
                <w:tcPr>
                  <w:tcW w:w="487" w:type="pct"/>
                  <w:tcBorders>
                    <w:top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贮存能力</w:t>
                  </w:r>
                </w:p>
              </w:tc>
              <w:tc>
                <w:tcPr>
                  <w:tcW w:w="540" w:type="pct"/>
                  <w:tcBorders>
                    <w:top w:val="single" w:color="auto" w:sz="4" w:space="0"/>
                    <w:right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tcBorders>
                    <w:left w:val="single" w:color="auto" w:sz="4" w:space="0"/>
                    <w:bottom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eastAsia" w:ascii="Times New Roman" w:hAnsi="Times New Roman" w:eastAsia="宋体"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1</w:t>
                  </w:r>
                </w:p>
              </w:tc>
              <w:tc>
                <w:tcPr>
                  <w:tcW w:w="598" w:type="pct"/>
                  <w:tcBorders>
                    <w:bottom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val="0"/>
                      <w:bCs w:val="0"/>
                      <w:color w:val="auto"/>
                      <w:sz w:val="21"/>
                      <w:szCs w:val="21"/>
                      <w:u w:val="none"/>
                    </w:rPr>
                  </w:pPr>
                  <w:r>
                    <w:rPr>
                      <w:rFonts w:hint="eastAsia" w:cs="Times New Roman"/>
                      <w:b w:val="0"/>
                      <w:bCs w:val="0"/>
                      <w:color w:val="auto"/>
                      <w:sz w:val="21"/>
                      <w:szCs w:val="21"/>
                      <w:u w:val="none"/>
                      <w:lang w:val="en-US" w:eastAsia="zh-CN"/>
                    </w:rPr>
                    <w:t>飞灰</w:t>
                  </w:r>
                  <w:r>
                    <w:rPr>
                      <w:rFonts w:hint="default" w:ascii="Times New Roman" w:hAnsi="Times New Roman" w:cs="Times New Roman"/>
                      <w:b w:val="0"/>
                      <w:bCs w:val="0"/>
                      <w:color w:val="auto"/>
                      <w:sz w:val="21"/>
                      <w:szCs w:val="21"/>
                      <w:u w:val="none"/>
                    </w:rPr>
                    <w:t>暂存间</w:t>
                  </w:r>
                </w:p>
              </w:tc>
              <w:tc>
                <w:tcPr>
                  <w:tcW w:w="565" w:type="pct"/>
                  <w:tcBorders>
                    <w:bottom w:val="single" w:color="auto" w:sz="4" w:space="0"/>
                    <w:tl2br w:val="nil"/>
                    <w:tr2bl w:val="nil"/>
                  </w:tcBorders>
                  <w:noWrap w:val="0"/>
                  <w:vAlign w:val="center"/>
                </w:tcPr>
                <w:p>
                  <w:pPr>
                    <w:pStyle w:val="49"/>
                    <w:bidi w:val="0"/>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飞灰</w:t>
                  </w:r>
                </w:p>
              </w:tc>
              <w:tc>
                <w:tcPr>
                  <w:tcW w:w="823" w:type="dxa"/>
                  <w:tcBorders>
                    <w:bottom w:val="single" w:color="auto" w:sz="4" w:space="0"/>
                    <w:tl2br w:val="nil"/>
                    <w:tr2bl w:val="nil"/>
                  </w:tcBorders>
                  <w:noWrap w:val="0"/>
                  <w:vAlign w:val="center"/>
                </w:tcPr>
                <w:p>
                  <w:pPr>
                    <w:pStyle w:val="49"/>
                    <w:bidi w:val="0"/>
                    <w:rPr>
                      <w:rFonts w:hint="default" w:ascii="Times New Roman" w:hAnsi="Times New Roman" w:cs="Times New Roman"/>
                      <w:b w:val="0"/>
                      <w:bCs w:val="0"/>
                      <w:color w:val="auto"/>
                      <w:sz w:val="21"/>
                      <w:szCs w:val="21"/>
                      <w:u w:val="none"/>
                    </w:rPr>
                  </w:pPr>
                  <w:r>
                    <w:rPr>
                      <w:rFonts w:hint="default" w:ascii="Times New Roman" w:hAnsi="Times New Roman" w:eastAsia="宋体" w:cs="Times New Roman"/>
                      <w:color w:val="auto"/>
                      <w:kern w:val="0"/>
                      <w:sz w:val="21"/>
                      <w:szCs w:val="21"/>
                      <w:u w:val="none"/>
                      <w:lang w:val="de-DE" w:eastAsia="zh-CN" w:bidi="ar-SA"/>
                    </w:rPr>
                    <w:t>HW18</w:t>
                  </w:r>
                </w:p>
              </w:tc>
              <w:tc>
                <w:tcPr>
                  <w:tcW w:w="1233" w:type="dxa"/>
                  <w:tcBorders>
                    <w:bottom w:val="single" w:color="auto" w:sz="4" w:space="0"/>
                    <w:tl2br w:val="nil"/>
                    <w:tr2bl w:val="nil"/>
                  </w:tcBorders>
                  <w:noWrap w:val="0"/>
                  <w:vAlign w:val="center"/>
                </w:tcPr>
                <w:p>
                  <w:pPr>
                    <w:pStyle w:val="49"/>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u w:val="none"/>
                      <w:lang w:val="de-DE" w:eastAsia="zh-CN" w:bidi="ar-SA"/>
                    </w:rPr>
                    <w:t>772-002-18</w:t>
                  </w:r>
                </w:p>
              </w:tc>
              <w:tc>
                <w:tcPr>
                  <w:tcW w:w="396" w:type="pct"/>
                  <w:tcBorders>
                    <w:bottom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eastAsia" w:ascii="Times New Roman" w:hAnsi="Times New Roman"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飞灰</w:t>
                  </w:r>
                  <w:r>
                    <w:rPr>
                      <w:rFonts w:hint="default" w:ascii="Times New Roman" w:hAnsi="Times New Roman" w:cs="Times New Roman"/>
                      <w:b w:val="0"/>
                      <w:bCs w:val="0"/>
                      <w:color w:val="auto"/>
                      <w:sz w:val="21"/>
                      <w:szCs w:val="21"/>
                      <w:u w:val="none"/>
                    </w:rPr>
                    <w:t>暂存间</w:t>
                  </w:r>
                </w:p>
              </w:tc>
              <w:tc>
                <w:tcPr>
                  <w:tcW w:w="520" w:type="pct"/>
                  <w:tcBorders>
                    <w:bottom w:val="single" w:color="auto" w:sz="4" w:space="0"/>
                    <w:tl2br w:val="nil"/>
                    <w:tr2bl w:val="nil"/>
                  </w:tcBorders>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4200</w:t>
                  </w:r>
                </w:p>
              </w:tc>
              <w:tc>
                <w:tcPr>
                  <w:tcW w:w="439" w:type="pct"/>
                  <w:tcBorders>
                    <w:bottom w:val="single" w:color="auto" w:sz="4" w:space="0"/>
                    <w:tl2br w:val="nil"/>
                    <w:tr2bl w:val="nil"/>
                  </w:tcBorders>
                  <w:noWrap w:val="0"/>
                  <w:vAlign w:val="center"/>
                </w:tcPr>
                <w:p>
                  <w:pPr>
                    <w:pStyle w:val="49"/>
                    <w:bidi w:val="0"/>
                    <w:rPr>
                      <w:rFonts w:hint="default" w:ascii="Times New Roman" w:hAnsi="Times New Roman" w:eastAsia="宋体" w:cs="Times New Roman"/>
                      <w:b w:val="0"/>
                      <w:bCs w:val="0"/>
                      <w:color w:val="auto"/>
                      <w:sz w:val="21"/>
                      <w:szCs w:val="21"/>
                      <w:u w:val="none"/>
                      <w:lang w:val="en-US" w:eastAsia="zh-CN"/>
                    </w:rPr>
                  </w:pPr>
                  <w:r>
                    <w:rPr>
                      <w:rFonts w:hint="eastAsia"/>
                      <w:color w:val="auto"/>
                      <w:lang w:val="en-US" w:eastAsia="zh-CN"/>
                    </w:rPr>
                    <w:t>专用包装袋</w:t>
                  </w:r>
                </w:p>
              </w:tc>
              <w:tc>
                <w:tcPr>
                  <w:tcW w:w="487" w:type="pct"/>
                  <w:tcBorders>
                    <w:bottom w:val="single" w:color="auto" w:sz="4" w:space="0"/>
                    <w:tl2br w:val="nil"/>
                    <w:tr2bl w:val="nil"/>
                  </w:tcBorders>
                  <w:shd w:val="clear" w:color="auto" w:fill="auto"/>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8000</w:t>
                  </w:r>
                  <w:r>
                    <w:rPr>
                      <w:rFonts w:hint="default" w:ascii="Times New Roman" w:hAnsi="Times New Roman" w:cs="Times New Roman"/>
                      <w:b w:val="0"/>
                      <w:bCs w:val="0"/>
                      <w:color w:val="auto"/>
                      <w:sz w:val="21"/>
                      <w:szCs w:val="21"/>
                      <w:highlight w:val="none"/>
                      <w:u w:val="none"/>
                    </w:rPr>
                    <w:t>t/a</w:t>
                  </w:r>
                </w:p>
              </w:tc>
              <w:tc>
                <w:tcPr>
                  <w:tcW w:w="540" w:type="pct"/>
                  <w:tcBorders>
                    <w:bottom w:val="single" w:color="auto" w:sz="4" w:space="0"/>
                    <w:right w:val="single" w:color="auto" w:sz="4" w:space="0"/>
                    <w:tl2br w:val="nil"/>
                    <w:tr2bl w:val="nil"/>
                  </w:tcBorders>
                  <w:shd w:val="clear" w:color="auto" w:fill="auto"/>
                  <w:noWrap w:val="0"/>
                  <w:vAlign w:val="center"/>
                </w:tcPr>
                <w:p>
                  <w:pPr>
                    <w:keepNext w:val="0"/>
                    <w:keepLines w:val="0"/>
                    <w:pageBreakBefore w:val="0"/>
                    <w:kinsoku/>
                    <w:wordWrap/>
                    <w:overflowPunct/>
                    <w:autoSpaceDE/>
                    <w:autoSpaceDN/>
                    <w:bidi w:val="0"/>
                    <w:spacing w:line="320" w:lineRule="exact"/>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1年</w:t>
                  </w:r>
                </w:p>
              </w:tc>
            </w:tr>
          </w:tbl>
          <w:p>
            <w:pPr>
              <w:adjustRightInd w:val="0"/>
              <w:snapToGrid w:val="0"/>
              <w:spacing w:line="520" w:lineRule="exact"/>
              <w:ind w:firstLine="482" w:firstLineChars="200"/>
              <w:rPr>
                <w:rFonts w:hint="default" w:ascii="Times New Roman" w:hAnsi="Times New Roman" w:cs="Times New Roman"/>
                <w:b/>
                <w:bCs/>
                <w:color w:val="auto"/>
                <w:sz w:val="24"/>
                <w:szCs w:val="24"/>
                <w:u w:val="none"/>
              </w:rPr>
            </w:pPr>
            <w:r>
              <w:rPr>
                <w:rFonts w:hint="eastAsia" w:cs="Times New Roman"/>
                <w:b/>
                <w:bCs/>
                <w:color w:val="auto"/>
                <w:sz w:val="24"/>
                <w:szCs w:val="24"/>
                <w:lang w:val="en-US" w:eastAsia="zh-CN"/>
              </w:rPr>
              <w:t>4.2</w:t>
            </w:r>
            <w:r>
              <w:rPr>
                <w:rFonts w:hint="default" w:ascii="Times New Roman" w:hAnsi="Times New Roman" w:cs="Times New Roman"/>
                <w:b/>
                <w:bCs/>
                <w:color w:val="auto"/>
                <w:sz w:val="24"/>
                <w:szCs w:val="24"/>
                <w:u w:val="none"/>
              </w:rPr>
              <w:t>固体废物防治</w:t>
            </w:r>
            <w:r>
              <w:rPr>
                <w:rFonts w:hint="default" w:ascii="Times New Roman" w:hAnsi="Times New Roman" w:cs="Times New Roman"/>
                <w:b/>
                <w:bCs/>
                <w:color w:val="auto"/>
                <w:sz w:val="24"/>
                <w:szCs w:val="24"/>
                <w:highlight w:val="none"/>
                <w:u w:val="none"/>
              </w:rPr>
              <w:t>措施</w:t>
            </w:r>
            <w:r>
              <w:rPr>
                <w:rFonts w:hint="default" w:ascii="Times New Roman" w:hAnsi="Times New Roman" w:cs="Times New Roman"/>
                <w:b/>
                <w:bCs/>
                <w:color w:val="auto"/>
                <w:sz w:val="24"/>
                <w:szCs w:val="24"/>
                <w:u w:val="none"/>
              </w:rPr>
              <w:t>及运营期管理要求</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根据《河南省危险废物规范化管理工作指南（试行）》要求，所有危险废物产生和经营单位应建造专用危险废物贮存设施，贮存设施应当符合《危险废物贮存污染控制标准》（GB18597-20</w:t>
            </w:r>
            <w:r>
              <w:rPr>
                <w:rFonts w:hint="eastAsia" w:ascii="Times New Roman" w:hAnsi="Times New Roman" w:cs="Times New Roman"/>
                <w:color w:val="auto"/>
                <w:sz w:val="24"/>
                <w:szCs w:val="24"/>
                <w:u w:val="none"/>
                <w:lang w:val="en-US" w:eastAsia="zh-CN"/>
              </w:rPr>
              <w:t>23</w:t>
            </w:r>
            <w:r>
              <w:rPr>
                <w:rFonts w:hint="default" w:ascii="Times New Roman" w:hAnsi="Times New Roman" w:cs="Times New Roman"/>
                <w:color w:val="auto"/>
                <w:sz w:val="24"/>
                <w:szCs w:val="24"/>
                <w:u w:val="none"/>
              </w:rPr>
              <w:t>）的要求。本项目</w:t>
            </w:r>
            <w:r>
              <w:rPr>
                <w:rFonts w:hint="eastAsia" w:cs="Times New Roman"/>
                <w:color w:val="auto"/>
                <w:sz w:val="24"/>
                <w:szCs w:val="24"/>
                <w:u w:val="none"/>
                <w:lang w:val="en-US" w:eastAsia="zh-CN"/>
              </w:rPr>
              <w:t>拟</w:t>
            </w:r>
            <w:r>
              <w:rPr>
                <w:rFonts w:hint="default" w:ascii="Times New Roman" w:hAnsi="Times New Roman" w:cs="Times New Roman"/>
                <w:color w:val="auto"/>
                <w:sz w:val="24"/>
                <w:szCs w:val="24"/>
                <w:u w:val="none"/>
              </w:rPr>
              <w:t>设置一座危险废物暂存间（</w:t>
            </w:r>
            <w:r>
              <w:rPr>
                <w:rFonts w:hint="eastAsia" w:cs="Times New Roman"/>
                <w:color w:val="auto"/>
                <w:sz w:val="24"/>
                <w:szCs w:val="24"/>
                <w:u w:val="none"/>
                <w:lang w:val="en-US" w:eastAsia="zh-CN"/>
              </w:rPr>
              <w:t>飞灰仓库，</w:t>
            </w:r>
            <w:r>
              <w:rPr>
                <w:rFonts w:hint="default" w:ascii="Times New Roman" w:hAnsi="Times New Roman" w:cs="Times New Roman"/>
                <w:color w:val="auto"/>
                <w:sz w:val="24"/>
                <w:szCs w:val="24"/>
                <w:u w:val="none"/>
              </w:rPr>
              <w:t>面积</w:t>
            </w:r>
            <w:r>
              <w:rPr>
                <w:rFonts w:hint="eastAsia" w:cs="Times New Roman"/>
                <w:color w:val="auto"/>
                <w:sz w:val="24"/>
                <w:szCs w:val="24"/>
                <w:u w:val="none"/>
                <w:lang w:val="en-US" w:eastAsia="zh-CN"/>
              </w:rPr>
              <w:t>4200</w:t>
            </w:r>
            <w:r>
              <w:rPr>
                <w:rFonts w:hint="default" w:ascii="Times New Roman" w:hAnsi="Times New Roman" w:cs="Times New Roman"/>
                <w:color w:val="auto"/>
                <w:sz w:val="24"/>
                <w:szCs w:val="24"/>
                <w:u w:val="none"/>
              </w:rPr>
              <w:t>m</w:t>
            </w:r>
            <w:r>
              <w:rPr>
                <w:rFonts w:hint="default" w:ascii="Times New Roman" w:hAnsi="Times New Roman" w:cs="Times New Roman"/>
                <w:color w:val="auto"/>
                <w:sz w:val="24"/>
                <w:szCs w:val="24"/>
                <w:u w:val="none"/>
                <w:vertAlign w:val="superscript"/>
              </w:rPr>
              <w:t>2</w:t>
            </w:r>
            <w:r>
              <w:rPr>
                <w:rFonts w:hint="default" w:ascii="Times New Roman" w:hAnsi="Times New Roman" w:cs="Times New Roman"/>
                <w:color w:val="auto"/>
                <w:sz w:val="24"/>
                <w:szCs w:val="24"/>
                <w:u w:val="none"/>
              </w:rPr>
              <w:t>）</w:t>
            </w:r>
            <w:r>
              <w:rPr>
                <w:rFonts w:hint="eastAsia" w:cs="Times New Roman"/>
                <w:color w:val="auto"/>
                <w:sz w:val="24"/>
                <w:szCs w:val="24"/>
                <w:u w:val="none"/>
                <w:lang w:eastAsia="zh-CN"/>
              </w:rPr>
              <w:t>，</w:t>
            </w:r>
            <w:r>
              <w:rPr>
                <w:rFonts w:hint="eastAsia" w:cs="Times New Roman"/>
                <w:color w:val="auto"/>
                <w:sz w:val="24"/>
                <w:szCs w:val="24"/>
                <w:u w:val="none"/>
                <w:lang w:val="en-US" w:eastAsia="zh-CN"/>
              </w:rPr>
              <w:t>可储存飞灰</w:t>
            </w:r>
            <w:r>
              <w:rPr>
                <w:rFonts w:hint="default" w:ascii="Times New Roman" w:hAnsi="Times New Roman" w:cs="Times New Roman"/>
                <w:color w:val="auto"/>
                <w:sz w:val="24"/>
                <w:szCs w:val="24"/>
                <w:u w:val="none"/>
              </w:rPr>
              <w:t>。本次环评针对危险废物贮存提出以下管理及防治措施：</w:t>
            </w:r>
          </w:p>
          <w:p>
            <w:pPr>
              <w:spacing w:line="520" w:lineRule="exact"/>
              <w:ind w:firstLine="480" w:firstLineChars="200"/>
              <w:jc w:val="left"/>
              <w:rPr>
                <w:rFonts w:hint="default" w:ascii="Times New Roman" w:hAnsi="Times New Roman" w:eastAsia="宋体" w:cs="Times New Roman"/>
                <w:color w:val="auto"/>
                <w:sz w:val="24"/>
                <w:szCs w:val="24"/>
                <w:u w:val="none"/>
                <w:lang w:val="en-US" w:eastAsia="zh-CN"/>
              </w:rPr>
            </w:pPr>
            <w:r>
              <w:rPr>
                <w:rFonts w:hint="default" w:ascii="Times New Roman" w:hAnsi="Times New Roman" w:cs="Times New Roman"/>
                <w:color w:val="auto"/>
                <w:sz w:val="24"/>
                <w:szCs w:val="24"/>
                <w:u w:val="none"/>
              </w:rPr>
              <w:t>飞灰暂存库在允许储存的期限内的飞灰储量共计约</w:t>
            </w:r>
            <w:r>
              <w:rPr>
                <w:rFonts w:hint="eastAsia" w:cs="Times New Roman"/>
                <w:color w:val="auto"/>
                <w:sz w:val="24"/>
                <w:szCs w:val="24"/>
                <w:u w:val="none"/>
                <w:lang w:val="en-US" w:eastAsia="zh-CN"/>
              </w:rPr>
              <w:t>8000</w:t>
            </w:r>
            <w:r>
              <w:rPr>
                <w:rFonts w:hint="default" w:ascii="Times New Roman" w:hAnsi="Times New Roman" w:cs="Times New Roman"/>
                <w:color w:val="auto"/>
                <w:sz w:val="24"/>
                <w:szCs w:val="24"/>
                <w:u w:val="none"/>
              </w:rPr>
              <w:t>t。飞灰不再进行鳌合稳定化处理，在原稳定化车间，打包于吨袋内，转运至暂存库堆放，本项目暂存库依据《生活垃圾填埋场污染控制标准》 (GB16889-2008) 和《国家危险废物名录》 (2021年版)，生活垃圾焚烧飞灰(HW18，772-002-18)送入</w:t>
            </w:r>
            <w:r>
              <w:rPr>
                <w:rFonts w:hint="eastAsia" w:cs="Times New Roman"/>
                <w:color w:val="auto"/>
                <w:sz w:val="24"/>
                <w:szCs w:val="24"/>
                <w:u w:val="none"/>
                <w:lang w:val="en-US" w:eastAsia="zh-CN"/>
              </w:rPr>
              <w:t>垃圾填埋场分区填埋</w:t>
            </w:r>
            <w:r>
              <w:rPr>
                <w:rFonts w:hint="default" w:ascii="Times New Roman" w:hAnsi="Times New Roman" w:cs="Times New Roman"/>
                <w:color w:val="auto"/>
                <w:sz w:val="24"/>
                <w:szCs w:val="24"/>
                <w:u w:val="none"/>
              </w:rPr>
              <w:t>。</w:t>
            </w:r>
            <w:r>
              <w:rPr>
                <w:rFonts w:hint="eastAsia" w:cs="Times New Roman"/>
                <w:color w:val="auto"/>
                <w:sz w:val="24"/>
                <w:szCs w:val="24"/>
                <w:u w:val="none"/>
                <w:lang w:val="en-US" w:eastAsia="zh-CN"/>
              </w:rPr>
              <w:t>具体贮存要求及措施见表6</w:t>
            </w:r>
            <w:r>
              <w:rPr>
                <w:rFonts w:hint="eastAsia" w:ascii="Times New Roman" w:hAnsi="Times New Roman" w:eastAsia="宋体" w:cs="Times New Roman"/>
                <w:color w:val="auto"/>
                <w:sz w:val="24"/>
                <w:szCs w:val="24"/>
                <w:u w:val="none"/>
                <w:lang w:val="en-US" w:eastAsia="zh-CN"/>
              </w:rPr>
              <w:t>本项目与《危险废物贮存污染控制标准》（GB 18597-2023）要求相符性分析一览表内容。</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待</w:t>
            </w:r>
            <w:r>
              <w:rPr>
                <w:rFonts w:hint="eastAsia" w:cs="Times New Roman"/>
                <w:color w:val="auto"/>
                <w:sz w:val="24"/>
                <w:szCs w:val="24"/>
                <w:u w:val="none"/>
                <w:lang w:val="en-US" w:eastAsia="zh-CN"/>
              </w:rPr>
              <w:t>填埋</w:t>
            </w:r>
            <w:r>
              <w:rPr>
                <w:rFonts w:hint="default" w:ascii="Times New Roman" w:hAnsi="Times New Roman" w:cs="Times New Roman"/>
                <w:color w:val="auto"/>
                <w:sz w:val="24"/>
                <w:szCs w:val="24"/>
                <w:u w:val="none"/>
              </w:rPr>
              <w:t>手续完善后，暂存的飞灰即可进行无害化处理。只要按照有关的法律、法规、规范进行操作，建设项目暂存的飞灰均能得到妥善处理处置，暂存过程不会对环境造成不利影响</w:t>
            </w:r>
          </w:p>
          <w:p>
            <w:pPr>
              <w:spacing w:line="520" w:lineRule="exact"/>
              <w:ind w:firstLine="482" w:firstLineChars="200"/>
              <w:jc w:val="left"/>
              <w:rPr>
                <w:rFonts w:hint="default" w:ascii="Times New Roman" w:hAnsi="Times New Roman" w:cs="Times New Roman"/>
                <w:b/>
                <w:bCs/>
                <w:color w:val="auto"/>
                <w:sz w:val="24"/>
                <w:szCs w:val="24"/>
                <w:u w:val="none"/>
              </w:rPr>
            </w:pPr>
            <w:r>
              <w:rPr>
                <w:rFonts w:hint="default" w:ascii="Times New Roman" w:hAnsi="Times New Roman" w:cs="Times New Roman"/>
                <w:b/>
                <w:bCs/>
                <w:color w:val="auto"/>
                <w:sz w:val="24"/>
                <w:szCs w:val="24"/>
                <w:u w:val="none"/>
              </w:rPr>
              <w:t>暂存库运行和管理</w:t>
            </w:r>
            <w:r>
              <w:rPr>
                <w:rFonts w:hint="eastAsia" w:cs="Times New Roman"/>
                <w:b/>
                <w:bCs/>
                <w:color w:val="auto"/>
                <w:sz w:val="24"/>
                <w:szCs w:val="24"/>
                <w:u w:val="none"/>
                <w:lang w:val="en-US" w:eastAsia="zh-CN"/>
              </w:rPr>
              <w:t>要求</w:t>
            </w:r>
            <w:r>
              <w:rPr>
                <w:rFonts w:hint="default" w:ascii="Times New Roman" w:hAnsi="Times New Roman" w:cs="Times New Roman"/>
                <w:b/>
                <w:bCs/>
                <w:color w:val="auto"/>
                <w:sz w:val="24"/>
                <w:szCs w:val="24"/>
                <w:u w:val="none"/>
              </w:rPr>
              <w:t>:</w:t>
            </w:r>
          </w:p>
          <w:p>
            <w:pPr>
              <w:spacing w:line="520" w:lineRule="exact"/>
              <w:ind w:firstLine="480" w:firstLineChars="200"/>
              <w:jc w:val="left"/>
              <w:rPr>
                <w:rFonts w:hint="eastAsia" w:ascii="Times New Roman" w:hAnsi="Times New Roman" w:eastAsia="宋体" w:cs="Times New Roman"/>
                <w:color w:val="auto"/>
                <w:sz w:val="24"/>
                <w:szCs w:val="24"/>
                <w:highlight w:val="yellow"/>
                <w:u w:val="none"/>
                <w:lang w:val="en-US" w:eastAsia="zh-CN"/>
              </w:rPr>
            </w:pPr>
            <w:r>
              <w:rPr>
                <w:rFonts w:hint="default" w:ascii="Times New Roman" w:hAnsi="Times New Roman" w:cs="Times New Roman"/>
                <w:color w:val="auto"/>
                <w:sz w:val="24"/>
                <w:szCs w:val="24"/>
                <w:u w:val="none"/>
              </w:rPr>
              <w:t>1、危险废物存入贮存设施前应对危险废物类别和特性与危险废物标签等危险废物标识标志的一致性进行核验，不一致的或类别、特性不明的不应存</w:t>
            </w:r>
            <w:r>
              <w:rPr>
                <w:rFonts w:hint="eastAsia" w:ascii="Times New Roman" w:hAnsi="Times New Roman" w:cs="Times New Roman"/>
                <w:color w:val="auto"/>
                <w:sz w:val="24"/>
                <w:szCs w:val="24"/>
                <w:u w:val="none"/>
                <w:lang w:val="en-US" w:eastAsia="zh-CN"/>
              </w:rPr>
              <w:t>储。</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2、定期检查危险废物的贮存状况，及时清理贮存设施地面，更换破损泄漏的危险废物贮存容器和包装物，保证堆存危险废物的防雨、防风、防扬尘等设施功能完好。</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3、作业设备及车辆等结束作业离开贮存设施时，应对其残留的危险废物进行清理，清理的废物或清洗废水应收集处理。</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4、贮存设施运行期间，应按照国家有关标准和规定建立危险废物管理台账并保存;危险废物产生者和暂存区管理部门必须做好危险废物情况的记录上注明危 险废物的名称、来源、数量、特性、入库日期、存放库位等信</w:t>
            </w:r>
            <w:r>
              <w:rPr>
                <w:rFonts w:hint="eastAsia" w:ascii="Times New Roman" w:hAnsi="Times New Roman" w:cs="Times New Roman"/>
                <w:color w:val="auto"/>
                <w:sz w:val="24"/>
                <w:szCs w:val="24"/>
                <w:u w:val="none"/>
                <w:lang w:val="en-US" w:eastAsia="zh-CN"/>
              </w:rPr>
              <w:t>息</w:t>
            </w:r>
            <w:r>
              <w:rPr>
                <w:rFonts w:hint="default" w:ascii="Times New Roman" w:hAnsi="Times New Roman" w:cs="Times New Roman"/>
                <w:color w:val="auto"/>
                <w:sz w:val="24"/>
                <w:szCs w:val="24"/>
                <w:u w:val="none"/>
              </w:rPr>
              <w:t>。</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5、贮存设施所有者或运营者应建立贮存设施环境管理制度、管理人员岗位职责制度、设施运行操作制度、人员岗位培训制度等。</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6、贮存设施所有者或运营者应依据国家土壤和地下水污染防治的有关规定，结合贮存设施特点建立土壤和地下水污染隐患排查制度，并定期开展隐患排查;发现隐患应及时采取措施消除隐患，并建立档案。</w:t>
            </w:r>
          </w:p>
          <w:p>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7、贮存设施所有者或运营者应建立贮存设施全部档案，包括设计、施工、验收、运行、监测和环境应急预案等，应按照国家有关档案管理的法律法规进行整理和归档。</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8、贮存危险废物必须采取符合国家环境保护标准的防护措施，并不得超过一年;确需延长期限的，必须报经原批准经营许可证的环境保护行政主管部门批准</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9、因发生事故或者其他突发性事故，造成飞灰严重污染环境的，责任单位必须立即采取措施消除或者减轻对环境的污染危害，及时通报可能受到污染危害的单位和居民，并向所在地县级以上地方人民政府环境保护行政主管部门和有关部门报告，接受调查处理。</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10、收集、运输、贮存飞灰的场所、设施、设备和包装袋及其他物品转作他用时，必须经过消除污染的处理，方可使用。</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11、飞灰向厂外运输时必须采用专用车辆运输，必须执行危险废物转移联单的管理办法。运输车司机和押运员须有危险废物运输的从业资格证。</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cs="Times New Roman"/>
                <w:color w:val="auto"/>
                <w:sz w:val="24"/>
                <w:szCs w:val="24"/>
                <w:u w:val="none"/>
              </w:rPr>
              <w:t>综合上述分析，本项目</w:t>
            </w:r>
            <w:r>
              <w:rPr>
                <w:rFonts w:hint="eastAsia" w:cs="Times New Roman"/>
                <w:color w:val="auto"/>
                <w:sz w:val="24"/>
                <w:szCs w:val="24"/>
                <w:u w:val="none"/>
                <w:lang w:val="en-US" w:eastAsia="zh-CN"/>
              </w:rPr>
              <w:t>飞灰暂存</w:t>
            </w:r>
            <w:r>
              <w:rPr>
                <w:rFonts w:hint="default" w:ascii="Times New Roman" w:hAnsi="Times New Roman" w:cs="Times New Roman"/>
                <w:color w:val="auto"/>
                <w:sz w:val="24"/>
                <w:szCs w:val="24"/>
                <w:u w:val="none"/>
              </w:rPr>
              <w:t>经采取本次环评提出的防治措施后，</w:t>
            </w:r>
            <w:r>
              <w:rPr>
                <w:rFonts w:hint="eastAsia" w:cs="Times New Roman"/>
                <w:color w:val="auto"/>
                <w:sz w:val="24"/>
                <w:szCs w:val="24"/>
                <w:u w:val="none"/>
                <w:lang w:val="en-US" w:eastAsia="zh-CN"/>
              </w:rPr>
              <w:t>将</w:t>
            </w:r>
            <w:r>
              <w:rPr>
                <w:rFonts w:hint="default" w:ascii="Times New Roman" w:hAnsi="Times New Roman" w:cs="Times New Roman"/>
                <w:color w:val="auto"/>
                <w:sz w:val="24"/>
                <w:szCs w:val="24"/>
                <w:u w:val="none"/>
              </w:rPr>
              <w:t>得到妥善处置，不会造成二次污染，因此对周围环境的影响较小。</w:t>
            </w:r>
          </w:p>
          <w:p>
            <w:pPr>
              <w:spacing w:line="360" w:lineRule="auto"/>
              <w:ind w:firstLine="482" w:firstLineChars="200"/>
              <w:rPr>
                <w:rFonts w:hint="default" w:ascii="Times New Roman" w:hAnsi="宋体" w:eastAsia="宋体" w:cs="Times New Roman"/>
                <w:b/>
                <w:color w:val="auto"/>
                <w:kern w:val="2"/>
                <w:sz w:val="24"/>
                <w:lang w:val="en-US" w:eastAsia="zh-CN" w:bidi="ar-SA"/>
              </w:rPr>
            </w:pPr>
            <w:r>
              <w:rPr>
                <w:rFonts w:hint="eastAsia" w:hAnsi="宋体" w:cs="Times New Roman"/>
                <w:b/>
                <w:color w:val="auto"/>
                <w:kern w:val="2"/>
                <w:sz w:val="24"/>
                <w:lang w:val="en-US" w:eastAsia="zh-CN" w:bidi="ar-SA"/>
              </w:rPr>
              <w:t>5</w:t>
            </w:r>
            <w:r>
              <w:rPr>
                <w:rFonts w:hint="eastAsia" w:ascii="Times New Roman" w:hAnsi="宋体" w:eastAsia="宋体" w:cs="Times New Roman"/>
                <w:b/>
                <w:color w:val="auto"/>
                <w:kern w:val="2"/>
                <w:sz w:val="24"/>
                <w:highlight w:val="none"/>
                <w:lang w:val="en-US" w:eastAsia="zh-CN" w:bidi="ar-SA"/>
              </w:rPr>
              <w:t>地下水</w:t>
            </w:r>
            <w:r>
              <w:rPr>
                <w:rFonts w:hint="eastAsia" w:ascii="Times New Roman" w:hAnsi="宋体" w:eastAsia="宋体" w:cs="Times New Roman"/>
                <w:b/>
                <w:color w:val="auto"/>
                <w:kern w:val="2"/>
                <w:sz w:val="24"/>
                <w:lang w:val="en-US" w:eastAsia="zh-CN" w:bidi="ar-SA"/>
              </w:rPr>
              <w:t>环境影响分析</w:t>
            </w:r>
            <w:r>
              <w:rPr>
                <w:rFonts w:hint="eastAsia" w:hAnsi="宋体" w:cs="Times New Roman"/>
                <w:b/>
                <w:color w:val="auto"/>
                <w:kern w:val="2"/>
                <w:sz w:val="24"/>
                <w:lang w:val="en-US" w:eastAsia="zh-CN" w:bidi="ar-SA"/>
              </w:rPr>
              <w:t>及保护措施</w:t>
            </w:r>
          </w:p>
          <w:p>
            <w:pPr>
              <w:adjustRightInd w:val="0"/>
              <w:snapToGrid w:val="0"/>
              <w:spacing w:line="360" w:lineRule="auto"/>
              <w:ind w:firstLine="480"/>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项目对地下水环境的影响主要取决于项目的污染行为、防渗措施及区域水文地质条件。</w:t>
            </w:r>
            <w:r>
              <w:rPr>
                <w:rFonts w:hint="eastAsia" w:cs="Times New Roman"/>
                <w:bCs/>
                <w:color w:val="auto"/>
                <w:sz w:val="24"/>
                <w:u w:val="none"/>
                <w:lang w:val="en-US" w:eastAsia="zh-CN"/>
              </w:rPr>
              <w:t>根据</w:t>
            </w:r>
            <w:r>
              <w:rPr>
                <w:rFonts w:hint="eastAsia" w:ascii="Times New Roman" w:hAnsi="Times New Roman" w:eastAsia="宋体" w:cs="Times New Roman"/>
                <w:bCs/>
                <w:color w:val="auto"/>
                <w:sz w:val="24"/>
                <w:u w:val="none"/>
              </w:rPr>
              <w:t>对</w:t>
            </w:r>
            <w:r>
              <w:rPr>
                <w:rFonts w:hint="eastAsia" w:cs="Times New Roman"/>
                <w:bCs/>
                <w:color w:val="auto"/>
                <w:sz w:val="24"/>
                <w:u w:val="none"/>
                <w:lang w:val="en-US" w:eastAsia="zh-CN"/>
              </w:rPr>
              <w:t>本</w:t>
            </w:r>
            <w:r>
              <w:rPr>
                <w:rFonts w:hint="eastAsia" w:ascii="Times New Roman" w:hAnsi="Times New Roman" w:eastAsia="宋体" w:cs="Times New Roman"/>
                <w:bCs/>
                <w:color w:val="auto"/>
                <w:sz w:val="24"/>
                <w:u w:val="none"/>
              </w:rPr>
              <w:t>项目特点的分析，对地下水可能的污染源主要为</w:t>
            </w:r>
            <w:r>
              <w:rPr>
                <w:rFonts w:hint="eastAsia" w:cs="Times New Roman"/>
                <w:bCs/>
                <w:color w:val="auto"/>
                <w:sz w:val="24"/>
                <w:u w:val="none"/>
                <w:lang w:val="en-US" w:eastAsia="zh-CN"/>
              </w:rPr>
              <w:t>飞灰</w:t>
            </w:r>
            <w:r>
              <w:rPr>
                <w:rFonts w:hint="eastAsia" w:ascii="Times New Roman" w:hAnsi="Times New Roman" w:eastAsia="宋体" w:cs="Times New Roman"/>
                <w:bCs/>
                <w:color w:val="auto"/>
                <w:sz w:val="24"/>
                <w:u w:val="none"/>
              </w:rPr>
              <w:t>暂存间防渗措施不到位，一旦有雨水进入暂存间内会导致废液下渗污染地下水环境。</w:t>
            </w:r>
          </w:p>
          <w:p>
            <w:pPr>
              <w:adjustRightInd w:val="0"/>
              <w:snapToGrid w:val="0"/>
              <w:spacing w:line="360" w:lineRule="auto"/>
              <w:ind w:firstLine="480"/>
              <w:rPr>
                <w:rFonts w:hint="default" w:ascii="Times New Roman" w:hAnsi="Times New Roman" w:eastAsia="宋体" w:cs="Times New Roman"/>
                <w:b/>
                <w:bCs w:val="0"/>
                <w:color w:val="auto"/>
                <w:sz w:val="24"/>
                <w:u w:val="none"/>
                <w:lang w:val="en-US" w:eastAsia="zh-CN"/>
              </w:rPr>
            </w:pPr>
            <w:r>
              <w:rPr>
                <w:rFonts w:hint="eastAsia" w:cs="Times New Roman"/>
                <w:b/>
                <w:bCs w:val="0"/>
                <w:color w:val="auto"/>
                <w:sz w:val="24"/>
                <w:u w:val="none"/>
                <w:lang w:eastAsia="zh-CN"/>
              </w:rPr>
              <w:t>（</w:t>
            </w:r>
            <w:r>
              <w:rPr>
                <w:rFonts w:hint="eastAsia" w:cs="Times New Roman"/>
                <w:b/>
                <w:bCs w:val="0"/>
                <w:color w:val="auto"/>
                <w:sz w:val="24"/>
                <w:u w:val="none"/>
                <w:lang w:val="en-US" w:eastAsia="zh-CN"/>
              </w:rPr>
              <w:t>1</w:t>
            </w:r>
            <w:r>
              <w:rPr>
                <w:rFonts w:hint="eastAsia" w:cs="Times New Roman"/>
                <w:b/>
                <w:bCs w:val="0"/>
                <w:color w:val="auto"/>
                <w:sz w:val="24"/>
                <w:u w:val="none"/>
                <w:lang w:eastAsia="zh-CN"/>
              </w:rPr>
              <w:t>）</w:t>
            </w:r>
            <w:r>
              <w:rPr>
                <w:rFonts w:hint="eastAsia" w:cs="Times New Roman"/>
                <w:b/>
                <w:bCs w:val="0"/>
                <w:color w:val="auto"/>
                <w:sz w:val="24"/>
                <w:u w:val="none"/>
                <w:lang w:val="en-US" w:eastAsia="zh-CN"/>
              </w:rPr>
              <w:t>污染防治原则</w:t>
            </w:r>
          </w:p>
          <w:p>
            <w:pPr>
              <w:adjustRightInd w:val="0"/>
              <w:snapToGrid w:val="0"/>
              <w:spacing w:line="360" w:lineRule="auto"/>
              <w:ind w:firstLine="480"/>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为防止项目运营对地下水环境造成污染影响，污染防治坚持“源头控制、末端防治”相结合的原则，即采取主动控制和被动控制相结合的措施。</w:t>
            </w:r>
          </w:p>
          <w:p>
            <w:pPr>
              <w:adjustRightInd w:val="0"/>
              <w:snapToGrid w:val="0"/>
              <w:spacing w:line="360" w:lineRule="auto"/>
              <w:ind w:firstLine="480"/>
              <w:rPr>
                <w:rFonts w:hint="eastAsia" w:ascii="Times New Roman" w:hAnsi="Times New Roman" w:eastAsia="宋体" w:cs="Times New Roman"/>
                <w:bCs/>
                <w:color w:val="auto"/>
                <w:sz w:val="24"/>
                <w:u w:val="none"/>
              </w:rPr>
            </w:pPr>
            <w:r>
              <w:rPr>
                <w:rFonts w:hint="default" w:ascii="Calibri" w:hAnsi="Calibri" w:eastAsia="宋体" w:cs="Calibri"/>
                <w:bCs/>
                <w:color w:val="auto"/>
                <w:sz w:val="24"/>
                <w:u w:val="none"/>
              </w:rPr>
              <w:t>①</w:t>
            </w:r>
            <w:r>
              <w:rPr>
                <w:rFonts w:hint="eastAsia" w:ascii="Times New Roman" w:hAnsi="Times New Roman" w:eastAsia="宋体" w:cs="Times New Roman"/>
                <w:bCs/>
                <w:color w:val="auto"/>
                <w:sz w:val="24"/>
                <w:u w:val="none"/>
              </w:rPr>
              <w:t>源头控制</w:t>
            </w:r>
          </w:p>
          <w:p>
            <w:pPr>
              <w:adjustRightInd w:val="0"/>
              <w:snapToGrid w:val="0"/>
              <w:spacing w:line="360" w:lineRule="auto"/>
              <w:ind w:firstLine="480"/>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从源头控制，主要对暂存仓库使用过程进行严格管理，防</w:t>
            </w:r>
            <w:r>
              <w:rPr>
                <w:rFonts w:hint="eastAsia" w:cs="Times New Roman"/>
                <w:bCs/>
                <w:color w:val="auto"/>
                <w:sz w:val="24"/>
                <w:u w:val="none"/>
                <w:lang w:val="en-US" w:eastAsia="zh-CN"/>
              </w:rPr>
              <w:t>止</w:t>
            </w:r>
            <w:r>
              <w:rPr>
                <w:rFonts w:hint="eastAsia" w:ascii="Times New Roman" w:hAnsi="Times New Roman" w:eastAsia="宋体" w:cs="Times New Roman"/>
                <w:bCs/>
                <w:color w:val="auto"/>
                <w:sz w:val="24"/>
                <w:u w:val="none"/>
              </w:rPr>
              <w:t>和降低污染物跑、冒、滴、漏，将污染物泄漏的环境风险降至最低。</w:t>
            </w:r>
          </w:p>
          <w:p>
            <w:pPr>
              <w:adjustRightInd w:val="0"/>
              <w:snapToGrid w:val="0"/>
              <w:spacing w:line="360" w:lineRule="auto"/>
              <w:ind w:firstLine="480"/>
              <w:rPr>
                <w:rFonts w:hint="eastAsia" w:ascii="Times New Roman" w:hAnsi="Times New Roman" w:eastAsia="宋体" w:cs="Times New Roman"/>
                <w:bCs/>
                <w:color w:val="auto"/>
                <w:sz w:val="24"/>
                <w:u w:val="none"/>
              </w:rPr>
            </w:pPr>
            <w:r>
              <w:rPr>
                <w:rFonts w:hint="default" w:ascii="Calibri" w:hAnsi="Calibri" w:eastAsia="宋体" w:cs="Calibri"/>
                <w:bCs/>
                <w:color w:val="auto"/>
                <w:sz w:val="24"/>
                <w:u w:val="none"/>
              </w:rPr>
              <w:t>②</w:t>
            </w:r>
            <w:r>
              <w:rPr>
                <w:rFonts w:hint="eastAsia" w:ascii="Calibri" w:hAnsi="Calibri" w:cs="Calibri"/>
                <w:bCs/>
                <w:color w:val="auto"/>
                <w:sz w:val="24"/>
                <w:u w:val="none"/>
                <w:lang w:val="en-US" w:eastAsia="zh-CN"/>
              </w:rPr>
              <w:t>末端</w:t>
            </w:r>
            <w:r>
              <w:rPr>
                <w:rFonts w:hint="eastAsia" w:ascii="Times New Roman" w:hAnsi="Times New Roman" w:eastAsia="宋体" w:cs="Times New Roman"/>
                <w:bCs/>
                <w:color w:val="auto"/>
                <w:sz w:val="24"/>
                <w:u w:val="none"/>
              </w:rPr>
              <w:t>控制</w:t>
            </w:r>
          </w:p>
          <w:p>
            <w:pPr>
              <w:adjustRightInd w:val="0"/>
              <w:snapToGrid w:val="0"/>
              <w:spacing w:line="360" w:lineRule="auto"/>
              <w:ind w:firstLine="480"/>
              <w:rPr>
                <w:rFonts w:hint="eastAsia" w:ascii="Times New Roman" w:hAnsi="Times New Roman" w:eastAsia="宋体" w:cs="Times New Roman"/>
                <w:bCs/>
                <w:color w:val="auto"/>
                <w:sz w:val="24"/>
                <w:u w:val="none"/>
                <w:lang w:eastAsia="zh-CN"/>
              </w:rPr>
            </w:pPr>
            <w:r>
              <w:rPr>
                <w:rFonts w:hint="eastAsia" w:ascii="Times New Roman" w:hAnsi="Times New Roman" w:eastAsia="宋体" w:cs="Times New Roman"/>
                <w:bCs/>
                <w:color w:val="auto"/>
                <w:sz w:val="24"/>
                <w:u w:val="none"/>
              </w:rPr>
              <w:t>末端控制主要包括暂存仓库地面的防渗措施和泄漏、渗漏污染物收集措施，即在暂存间内地面进行防渗处理，防止洒落地面的污染物渗入地下，并把滞留在地面的污染物收集起来，集中处理，避免对地下水产生污染</w:t>
            </w:r>
            <w:r>
              <w:rPr>
                <w:rFonts w:hint="eastAsia" w:cs="Times New Roman"/>
                <w:bCs/>
                <w:color w:val="auto"/>
                <w:sz w:val="24"/>
                <w:u w:val="none"/>
                <w:lang w:eastAsia="zh-CN"/>
              </w:rPr>
              <w:t>。</w:t>
            </w:r>
          </w:p>
          <w:p>
            <w:pPr>
              <w:adjustRightInd w:val="0"/>
              <w:snapToGrid w:val="0"/>
              <w:spacing w:line="360" w:lineRule="auto"/>
              <w:ind w:firstLine="480"/>
              <w:rPr>
                <w:rFonts w:hint="default" w:cs="Times New Roman"/>
                <w:b/>
                <w:bCs w:val="0"/>
                <w:color w:val="auto"/>
                <w:sz w:val="24"/>
                <w:u w:val="none"/>
                <w:lang w:val="en-US" w:eastAsia="zh-CN"/>
              </w:rPr>
            </w:pPr>
            <w:r>
              <w:rPr>
                <w:rFonts w:hint="eastAsia" w:cs="Times New Roman"/>
                <w:b/>
                <w:bCs w:val="0"/>
                <w:color w:val="auto"/>
                <w:sz w:val="24"/>
                <w:u w:val="none"/>
                <w:lang w:val="en-US" w:eastAsia="zh-CN"/>
              </w:rPr>
              <w:t>（2）地下水污染途径</w:t>
            </w:r>
          </w:p>
          <w:p>
            <w:pPr>
              <w:adjustRightInd w:val="0"/>
              <w:snapToGrid w:val="0"/>
              <w:spacing w:line="360" w:lineRule="auto"/>
              <w:ind w:firstLine="480"/>
              <w:rPr>
                <w:rFonts w:hint="eastAsia" w:ascii="Times New Roman" w:hAnsi="Times New Roman" w:cs="Times New Roman"/>
                <w:bCs/>
                <w:color w:val="auto"/>
                <w:sz w:val="24"/>
              </w:rPr>
            </w:pPr>
            <w:r>
              <w:rPr>
                <w:rFonts w:hint="eastAsia" w:ascii="Times New Roman" w:hAnsi="Times New Roman" w:eastAsia="宋体" w:cs="Times New Roman"/>
                <w:bCs/>
                <w:color w:val="auto"/>
                <w:sz w:val="24"/>
                <w:u w:val="none"/>
              </w:rPr>
              <w:t>本项目暂存的固体废物为</w:t>
            </w:r>
            <w:r>
              <w:rPr>
                <w:rFonts w:hint="eastAsia" w:cs="Times New Roman"/>
                <w:bCs/>
                <w:color w:val="auto"/>
                <w:sz w:val="24"/>
                <w:u w:val="none"/>
                <w:lang w:val="en-US" w:eastAsia="zh-CN"/>
              </w:rPr>
              <w:t>现有工程</w:t>
            </w:r>
            <w:r>
              <w:rPr>
                <w:rFonts w:hint="eastAsia" w:ascii="Times New Roman" w:hAnsi="Times New Roman" w:eastAsia="宋体" w:cs="Times New Roman"/>
                <w:bCs/>
                <w:color w:val="auto"/>
                <w:sz w:val="24"/>
                <w:u w:val="none"/>
              </w:rPr>
              <w:t>生活垃圾焚烧飞灰。正常状况下，建设项目的主要地下水污染源能得到有效防护，污染物不会外排，从源头上得到控制</w:t>
            </w:r>
            <w:r>
              <w:rPr>
                <w:rFonts w:hint="eastAsia" w:cs="Times New Roman"/>
                <w:bCs/>
                <w:color w:val="auto"/>
                <w:sz w:val="24"/>
                <w:u w:val="none"/>
                <w:lang w:eastAsia="zh-CN"/>
              </w:rPr>
              <w:t>，</w:t>
            </w:r>
            <w:r>
              <w:rPr>
                <w:rFonts w:hint="eastAsia" w:ascii="Times New Roman" w:hAnsi="Times New Roman" w:eastAsia="宋体" w:cs="Times New Roman"/>
                <w:bCs/>
                <w:color w:val="auto"/>
                <w:sz w:val="24"/>
                <w:u w:val="none"/>
              </w:rPr>
              <w:t>车间地面和墙体都将进行防腐防渗处理</w:t>
            </w:r>
            <w:r>
              <w:rPr>
                <w:rFonts w:hint="eastAsia" w:ascii="Times New Roman" w:hAnsi="Times New Roman" w:cs="Times New Roman"/>
                <w:bCs/>
                <w:color w:val="auto"/>
                <w:sz w:val="24"/>
              </w:rPr>
              <w:t>。</w:t>
            </w:r>
          </w:p>
          <w:p>
            <w:pPr>
              <w:adjustRightInd w:val="0"/>
              <w:snapToGrid w:val="0"/>
              <w:spacing w:line="360" w:lineRule="auto"/>
              <w:ind w:firstLine="480"/>
              <w:rPr>
                <w:rFonts w:hint="eastAsia" w:ascii="Times New Roman" w:hAnsi="Times New Roman" w:eastAsia="宋体" w:cs="Times New Roman"/>
                <w:bCs/>
                <w:color w:val="auto"/>
                <w:sz w:val="24"/>
                <w:u w:val="none"/>
                <w:lang w:val="en-US" w:eastAsia="zh-CN"/>
              </w:rPr>
            </w:pPr>
            <w:r>
              <w:rPr>
                <w:rFonts w:hint="eastAsia" w:ascii="Times New Roman" w:hAnsi="Times New Roman" w:eastAsia="宋体" w:cs="Times New Roman"/>
                <w:bCs/>
                <w:color w:val="auto"/>
                <w:sz w:val="24"/>
                <w:u w:val="none"/>
                <w:lang w:val="en-US" w:eastAsia="zh-CN"/>
              </w:rPr>
              <w:t>非正常状况主要是指雨水进入暂存间内，在防渗措施不到位的情况下可能会出现废液下渗的事故发生。</w:t>
            </w:r>
          </w:p>
          <w:p>
            <w:pPr>
              <w:spacing w:line="360" w:lineRule="auto"/>
              <w:ind w:firstLine="482" w:firstLineChars="200"/>
              <w:rPr>
                <w:rFonts w:hint="default" w:hAnsi="宋体" w:cs="Times New Roman"/>
                <w:b/>
                <w:color w:val="auto"/>
                <w:kern w:val="2"/>
                <w:sz w:val="24"/>
                <w:lang w:val="en-US" w:eastAsia="zh-CN" w:bidi="ar-SA"/>
              </w:rPr>
            </w:pPr>
            <w:r>
              <w:rPr>
                <w:rFonts w:hint="eastAsia" w:hAnsi="宋体" w:cs="Times New Roman"/>
                <w:b/>
                <w:color w:val="auto"/>
                <w:kern w:val="2"/>
                <w:sz w:val="24"/>
                <w:lang w:val="en-US" w:eastAsia="zh-CN" w:bidi="ar-SA"/>
              </w:rPr>
              <w:t>（3）地下水环境影响分析</w:t>
            </w:r>
          </w:p>
          <w:p>
            <w:pPr>
              <w:adjustRightInd w:val="0"/>
              <w:snapToGrid w:val="0"/>
              <w:spacing w:line="360" w:lineRule="auto"/>
              <w:ind w:firstLine="480"/>
              <w:rPr>
                <w:rFonts w:hint="eastAsia" w:ascii="Times New Roman" w:hAnsi="Times New Roman" w:eastAsia="宋体" w:cs="Times New Roman"/>
                <w:bCs/>
                <w:color w:val="auto"/>
                <w:sz w:val="24"/>
                <w:u w:val="none"/>
                <w:lang w:val="en-US" w:eastAsia="zh-CN"/>
              </w:rPr>
            </w:pPr>
            <w:r>
              <w:rPr>
                <w:rFonts w:hint="eastAsia" w:ascii="Times New Roman" w:hAnsi="Times New Roman" w:eastAsia="宋体" w:cs="Times New Roman"/>
                <w:bCs/>
                <w:color w:val="auto"/>
                <w:sz w:val="24"/>
                <w:u w:val="none"/>
                <w:lang w:val="en-US" w:eastAsia="zh-CN"/>
              </w:rPr>
              <w:t>本项目设置有完善的屋面和地面雨水</w:t>
            </w:r>
            <w:r>
              <w:rPr>
                <w:rFonts w:hint="eastAsia" w:cs="Times New Roman"/>
                <w:bCs/>
                <w:color w:val="auto"/>
                <w:sz w:val="24"/>
                <w:u w:val="none"/>
                <w:lang w:val="en-US" w:eastAsia="zh-CN"/>
              </w:rPr>
              <w:t>引流</w:t>
            </w:r>
            <w:r>
              <w:rPr>
                <w:rFonts w:hint="eastAsia" w:ascii="Times New Roman" w:hAnsi="Times New Roman" w:eastAsia="宋体" w:cs="Times New Roman"/>
                <w:bCs/>
                <w:color w:val="auto"/>
                <w:sz w:val="24"/>
                <w:u w:val="none"/>
                <w:lang w:val="en-US" w:eastAsia="zh-CN"/>
              </w:rPr>
              <w:t>系统，屋顶雨水</w:t>
            </w:r>
            <w:r>
              <w:rPr>
                <w:rFonts w:hint="eastAsia" w:cs="Times New Roman"/>
                <w:bCs/>
                <w:color w:val="auto"/>
                <w:sz w:val="24"/>
                <w:u w:val="none"/>
                <w:lang w:val="en-US" w:eastAsia="zh-CN"/>
              </w:rPr>
              <w:t>排</w:t>
            </w:r>
            <w:r>
              <w:rPr>
                <w:rFonts w:hint="eastAsia" w:ascii="Times New Roman" w:hAnsi="Times New Roman" w:eastAsia="宋体" w:cs="Times New Roman"/>
                <w:bCs/>
                <w:color w:val="auto"/>
                <w:sz w:val="24"/>
                <w:u w:val="none"/>
                <w:lang w:val="en-US" w:eastAsia="zh-CN"/>
              </w:rPr>
              <w:t>入雨水管网，</w:t>
            </w:r>
            <w:r>
              <w:rPr>
                <w:rFonts w:hint="eastAsia" w:cs="Times New Roman"/>
                <w:bCs/>
                <w:color w:val="auto"/>
                <w:sz w:val="24"/>
                <w:u w:val="none"/>
                <w:lang w:val="en-US" w:eastAsia="zh-CN"/>
              </w:rPr>
              <w:t>进入现有工程初期雨水收集池，</w:t>
            </w:r>
            <w:r>
              <w:rPr>
                <w:rFonts w:hint="eastAsia" w:ascii="Times New Roman" w:hAnsi="Times New Roman" w:eastAsia="宋体" w:cs="Times New Roman"/>
                <w:bCs/>
                <w:color w:val="auto"/>
                <w:sz w:val="24"/>
                <w:u w:val="none"/>
                <w:lang w:val="en-US" w:eastAsia="zh-CN"/>
              </w:rPr>
              <w:t xml:space="preserve">PVC </w:t>
            </w:r>
            <w:r>
              <w:rPr>
                <w:rFonts w:hint="eastAsia" w:cs="Times New Roman"/>
                <w:bCs/>
                <w:color w:val="auto"/>
                <w:sz w:val="24"/>
                <w:u w:val="none"/>
                <w:lang w:val="en-US" w:eastAsia="zh-CN"/>
              </w:rPr>
              <w:t>雨水</w:t>
            </w:r>
            <w:r>
              <w:rPr>
                <w:rFonts w:hint="eastAsia" w:ascii="Times New Roman" w:hAnsi="Times New Roman" w:eastAsia="宋体" w:cs="Times New Roman"/>
                <w:bCs/>
                <w:color w:val="auto"/>
                <w:sz w:val="24"/>
                <w:u w:val="none"/>
                <w:lang w:val="en-US" w:eastAsia="zh-CN"/>
              </w:rPr>
              <w:t>落水管位于室外，沿墙壁和承重支柱外侧垂直分布</w:t>
            </w:r>
            <w:r>
              <w:rPr>
                <w:rFonts w:hint="eastAsia" w:cs="Times New Roman"/>
                <w:bCs/>
                <w:color w:val="auto"/>
                <w:sz w:val="24"/>
                <w:u w:val="none"/>
                <w:lang w:val="en-US" w:eastAsia="zh-CN"/>
              </w:rPr>
              <w:t>，</w:t>
            </w:r>
            <w:r>
              <w:rPr>
                <w:rFonts w:hint="eastAsia" w:ascii="Times New Roman" w:hAnsi="Times New Roman" w:eastAsia="宋体" w:cs="Times New Roman"/>
                <w:bCs/>
                <w:color w:val="auto"/>
                <w:sz w:val="24"/>
                <w:u w:val="none"/>
                <w:lang w:val="en-US" w:eastAsia="zh-CN"/>
              </w:rPr>
              <w:t>暂存间内</w:t>
            </w:r>
            <w:r>
              <w:rPr>
                <w:rFonts w:hint="eastAsia" w:cs="Times New Roman"/>
                <w:bCs/>
                <w:color w:val="auto"/>
                <w:sz w:val="24"/>
                <w:u w:val="none"/>
                <w:lang w:val="en-US" w:eastAsia="zh-CN"/>
              </w:rPr>
              <w:t>基本</w:t>
            </w:r>
            <w:r>
              <w:rPr>
                <w:rFonts w:hint="eastAsia" w:ascii="Times New Roman" w:hAnsi="Times New Roman" w:eastAsia="宋体" w:cs="Times New Roman"/>
                <w:bCs/>
                <w:color w:val="auto"/>
                <w:sz w:val="24"/>
                <w:u w:val="none"/>
                <w:lang w:val="en-US" w:eastAsia="zh-CN"/>
              </w:rPr>
              <w:t>无进水风险，暂存的飞灰为固态，暂存期间不会产生渗滤液，在无雨水进入的情况下，一旦飞灰撒漏，只要做好收集措施，保持散落的飞灰在暂存仓库范围内，不会撒漏到外部厂区，进入外部雨水管网，也不会对地下水环境产生影响。</w:t>
            </w:r>
          </w:p>
          <w:p>
            <w:pPr>
              <w:adjustRightInd w:val="0"/>
              <w:snapToGrid w:val="0"/>
              <w:spacing w:line="360" w:lineRule="auto"/>
              <w:ind w:firstLine="480"/>
              <w:rPr>
                <w:rFonts w:hint="default" w:cs="Times New Roman"/>
                <w:b/>
                <w:bCs w:val="0"/>
                <w:color w:val="auto"/>
                <w:sz w:val="24"/>
                <w:u w:val="none"/>
                <w:lang w:val="en-US" w:eastAsia="zh-CN"/>
              </w:rPr>
            </w:pPr>
            <w:r>
              <w:rPr>
                <w:rFonts w:hint="eastAsia" w:cs="Times New Roman"/>
                <w:b/>
                <w:bCs w:val="0"/>
                <w:color w:val="auto"/>
                <w:sz w:val="24"/>
                <w:u w:val="none"/>
                <w:lang w:val="en-US" w:eastAsia="zh-CN"/>
              </w:rPr>
              <w:t>（4）地下水污染防治措施</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本项目暂存仓库地下水污染防治措施按照“源头控制、分区防控、污染监控、应急响应”相结合的原则，从污染物的产生、入渗、扩散、应急等方面进行控制。</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项目运营期应根据项目各项设施布置方案以及各工作系统中可能产生的主要污染源，制定地下水环境保护措施。采取合理的防治措施，防范污染物渗入地下，污染地下水环境。</w:t>
            </w:r>
          </w:p>
          <w:p>
            <w:pPr>
              <w:spacing w:line="360" w:lineRule="auto"/>
              <w:ind w:firstLine="482" w:firstLineChars="200"/>
              <w:rPr>
                <w:rFonts w:hint="eastAsia" w:hAnsi="宋体" w:cs="Times New Roman"/>
                <w:b/>
                <w:color w:val="auto"/>
                <w:kern w:val="2"/>
                <w:sz w:val="24"/>
                <w:lang w:val="en-US" w:eastAsia="zh-CN" w:bidi="ar-SA"/>
              </w:rPr>
            </w:pPr>
            <w:r>
              <w:rPr>
                <w:rFonts w:hint="default" w:ascii="Calibri" w:hAnsi="Calibri" w:cs="Calibri"/>
                <w:b/>
                <w:color w:val="auto"/>
                <w:kern w:val="2"/>
                <w:sz w:val="24"/>
                <w:lang w:val="en-US" w:eastAsia="zh-CN" w:bidi="ar-SA"/>
              </w:rPr>
              <w:t>①</w:t>
            </w:r>
            <w:r>
              <w:rPr>
                <w:rFonts w:hint="eastAsia" w:hAnsi="宋体" w:cs="Times New Roman"/>
                <w:b/>
                <w:color w:val="auto"/>
                <w:kern w:val="2"/>
                <w:sz w:val="24"/>
                <w:lang w:val="en-US" w:eastAsia="zh-CN" w:bidi="ar-SA"/>
              </w:rPr>
              <w:t>源头控制措施</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加强暂存仓库内设施的巡视和监控。在项目运营过程中，要定期对暂存仓库内收集和应急防护设施和装置进行维护，保持设施和装置处于良好的状态，一旦出现异常，应当及时检查和维护更换，尽量避免由于收集和防护设施不到位引起飞灰撒漏污染外环境，二是做好飞灰暂存仓库防渗措施，通过铺设HDPE膜、设置堵漏裙脚等措施，保证暂存间地面防渗系数≤1.0*10</w:t>
            </w:r>
            <w:r>
              <w:rPr>
                <w:rFonts w:hint="eastAsia" w:cs="Times New Roman"/>
                <w:bCs/>
                <w:color w:val="auto"/>
                <w:sz w:val="24"/>
                <w:u w:val="none"/>
                <w:vertAlign w:val="superscript"/>
                <w:lang w:val="en-US" w:eastAsia="zh-CN"/>
              </w:rPr>
              <w:t>-10</w:t>
            </w:r>
            <w:r>
              <w:rPr>
                <w:rFonts w:hint="eastAsia" w:cs="Times New Roman"/>
                <w:bCs/>
                <w:color w:val="auto"/>
                <w:sz w:val="24"/>
                <w:u w:val="none"/>
                <w:lang w:val="en-US" w:eastAsia="zh-CN"/>
              </w:rPr>
              <w:t>c/s。</w:t>
            </w:r>
          </w:p>
          <w:p>
            <w:pPr>
              <w:spacing w:line="360" w:lineRule="auto"/>
              <w:ind w:firstLine="482" w:firstLineChars="200"/>
              <w:rPr>
                <w:rFonts w:hint="eastAsia" w:hAnsi="宋体" w:cs="Times New Roman"/>
                <w:b/>
                <w:color w:val="auto"/>
                <w:kern w:val="2"/>
                <w:sz w:val="24"/>
                <w:lang w:val="en-US" w:eastAsia="zh-CN" w:bidi="ar-SA"/>
              </w:rPr>
            </w:pPr>
            <w:r>
              <w:rPr>
                <w:rFonts w:hint="default" w:ascii="Calibri" w:hAnsi="Calibri" w:cs="Calibri"/>
                <w:b/>
                <w:color w:val="auto"/>
                <w:kern w:val="2"/>
                <w:sz w:val="24"/>
                <w:lang w:val="en-US" w:eastAsia="zh-CN" w:bidi="ar-SA"/>
              </w:rPr>
              <w:t>②</w:t>
            </w:r>
            <w:r>
              <w:rPr>
                <w:rFonts w:hint="eastAsia" w:hAnsi="宋体" w:cs="Times New Roman"/>
                <w:b/>
                <w:color w:val="auto"/>
                <w:kern w:val="2"/>
                <w:sz w:val="24"/>
                <w:lang w:val="en-US" w:eastAsia="zh-CN" w:bidi="ar-SA"/>
              </w:rPr>
              <w:t>应急响应措施</w:t>
            </w:r>
          </w:p>
          <w:p>
            <w:pPr>
              <w:spacing w:line="360" w:lineRule="auto"/>
              <w:ind w:firstLine="480" w:firstLineChars="200"/>
              <w:rPr>
                <w:rFonts w:hint="eastAsia" w:hAnsi="宋体" w:cs="Times New Roman"/>
                <w:b/>
                <w:color w:val="auto"/>
                <w:kern w:val="2"/>
                <w:sz w:val="24"/>
                <w:lang w:val="en-US" w:eastAsia="zh-CN" w:bidi="ar-SA"/>
              </w:rPr>
            </w:pPr>
            <w:r>
              <w:rPr>
                <w:rFonts w:hint="eastAsia" w:cs="Times New Roman"/>
                <w:bCs/>
                <w:color w:val="auto"/>
                <w:sz w:val="24"/>
                <w:u w:val="none"/>
                <w:lang w:val="en-US" w:eastAsia="zh-CN"/>
              </w:rPr>
              <w:t>结合飞灰储存布局，配备足够应急物资，及时响应暂存仓库内地面的防渗措施和泄漏、渗漏污染物收集措施。</w:t>
            </w:r>
          </w:p>
          <w:p>
            <w:pPr>
              <w:spacing w:line="360" w:lineRule="auto"/>
              <w:ind w:firstLine="482" w:firstLineChars="200"/>
              <w:rPr>
                <w:rFonts w:hint="eastAsia" w:ascii="Times New Roman" w:hAnsi="宋体" w:eastAsia="宋体" w:cs="Times New Roman"/>
                <w:b/>
                <w:color w:val="auto"/>
                <w:kern w:val="2"/>
                <w:sz w:val="24"/>
                <w:lang w:val="en-US" w:eastAsia="zh-CN" w:bidi="ar-SA"/>
              </w:rPr>
            </w:pPr>
            <w:r>
              <w:rPr>
                <w:rFonts w:hint="eastAsia" w:hAnsi="宋体" w:cs="Times New Roman"/>
                <w:b/>
                <w:color w:val="auto"/>
                <w:kern w:val="2"/>
                <w:sz w:val="24"/>
                <w:lang w:val="en-US" w:eastAsia="zh-CN" w:bidi="ar-SA"/>
              </w:rPr>
              <w:t>（5）</w:t>
            </w:r>
            <w:r>
              <w:rPr>
                <w:rFonts w:hint="eastAsia" w:ascii="Times New Roman" w:hAnsi="宋体" w:eastAsia="宋体" w:cs="Times New Roman"/>
                <w:b/>
                <w:color w:val="auto"/>
                <w:kern w:val="2"/>
                <w:sz w:val="24"/>
                <w:lang w:val="en-US" w:eastAsia="zh-CN" w:bidi="ar-SA"/>
              </w:rPr>
              <w:t>本项目防渗要求</w:t>
            </w:r>
          </w:p>
          <w:p>
            <w:pPr>
              <w:spacing w:line="360" w:lineRule="auto"/>
              <w:ind w:firstLine="480" w:firstLineChars="200"/>
              <w:rPr>
                <w:rFonts w:hint="default" w:cs="Times New Roman"/>
                <w:bCs/>
                <w:color w:val="auto"/>
                <w:sz w:val="24"/>
                <w:u w:val="none"/>
                <w:lang w:val="en-US" w:eastAsia="zh-CN"/>
              </w:rPr>
            </w:pPr>
            <w:r>
              <w:rPr>
                <w:rFonts w:hint="eastAsia" w:cs="Times New Roman"/>
                <w:bCs/>
                <w:color w:val="auto"/>
                <w:sz w:val="24"/>
                <w:u w:val="none"/>
                <w:lang w:val="en-US" w:eastAsia="zh-CN"/>
              </w:rPr>
              <w:t>根据《危险废物贮存污染控制标准》(GB18597-2023)，本项目暂存库暂存生活垃圾焚烧飞灰，为重点防渗区域，因此要求企业按照《危险废物贮存污染控制标准》(GB18597-2023)中对防渗层的要求：人工合成材料衬层可以采用高密度聚乙烯 (HDPE)，其渗透系数不大于1*10</w:t>
            </w:r>
            <w:r>
              <w:rPr>
                <w:rFonts w:hint="eastAsia" w:cs="Times New Roman"/>
                <w:bCs/>
                <w:color w:val="auto"/>
                <w:sz w:val="24"/>
                <w:u w:val="none"/>
                <w:vertAlign w:val="superscript"/>
                <w:lang w:val="en-US" w:eastAsia="zh-CN"/>
              </w:rPr>
              <w:t>-10</w:t>
            </w:r>
            <w:r>
              <w:rPr>
                <w:rFonts w:hint="eastAsia" w:cs="Times New Roman"/>
                <w:bCs/>
                <w:color w:val="auto"/>
                <w:sz w:val="24"/>
                <w:u w:val="none"/>
                <w:lang w:val="en-US" w:eastAsia="zh-CN"/>
              </w:rPr>
              <w:t>cm/s，厚度不小于 2mm。通过上述措施可使重点污染区各单元防渗层渗透系数≤10</w:t>
            </w:r>
            <w:r>
              <w:rPr>
                <w:rFonts w:hint="eastAsia" w:cs="Times New Roman"/>
                <w:bCs/>
                <w:color w:val="auto"/>
                <w:sz w:val="24"/>
                <w:u w:val="none"/>
                <w:vertAlign w:val="superscript"/>
                <w:lang w:val="en-US" w:eastAsia="zh-CN"/>
              </w:rPr>
              <w:t>-10</w:t>
            </w:r>
            <w:r>
              <w:rPr>
                <w:rFonts w:hint="eastAsia" w:cs="Times New Roman"/>
                <w:bCs/>
                <w:color w:val="auto"/>
                <w:sz w:val="24"/>
                <w:u w:val="none"/>
                <w:lang w:val="en-US" w:eastAsia="zh-CN"/>
              </w:rPr>
              <w:t>cm/s。具体措施如下：</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（1）本项目使用现有生物质料棚混凝土防渗层抗渗等级不小于 P8(混凝土的抗渗等级能抵抗 0.8MPa的静水压力而不渗水)，其厚度不小于 150mm，防渗层性能应与1m 厚粘土层(渗透系数1.0*10</w:t>
            </w:r>
            <w:r>
              <w:rPr>
                <w:rFonts w:hint="eastAsia" w:cs="Times New Roman"/>
                <w:bCs/>
                <w:color w:val="auto"/>
                <w:sz w:val="24"/>
                <w:u w:val="none"/>
                <w:vertAlign w:val="superscript"/>
                <w:lang w:val="en-US" w:eastAsia="zh-CN"/>
              </w:rPr>
              <w:t>-7</w:t>
            </w:r>
            <w:r>
              <w:rPr>
                <w:rFonts w:hint="eastAsia" w:cs="Times New Roman"/>
                <w:bCs/>
                <w:color w:val="auto"/>
                <w:sz w:val="24"/>
                <w:u w:val="none"/>
                <w:lang w:val="en-US" w:eastAsia="zh-CN"/>
              </w:rPr>
              <w:t>cm/s)等效。</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（2）根据《危险废物贮存污染控制标准》 (GB18597-2023)，贮存设施或贮存分区内地面、墙面裙脚、堵截泄漏的围堰、接触危险废物的隔板和墙体等应采用坚固的材料建造，表面无裂痕，本项目贮存的飞灰为固态，贮存过程不产生渗滤液，不会产生所谓的泄漏液，因此裙脚高度不受限制，但为防止雨天雨水浸泡，雨水进入仓库，环评建议建设裙脚，本项目暂存库应建设0.5m高裙脚。</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（3）在暂存库地面和墙壁四周铺设一层 2mm 厚高密度聚乙烯膜，加强地面和墙裙防渗，飞灰堆放于HDPE 膜之上。同时，对 HDPE 膜采取防护措施，避免飞灰出入库时对 HDPE 膜造成破损；HDPE 膜焊接处需进行渗透系数检测，符合要求后方可使用。</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防渗材料选取主要包括高密度聚乙烯 (HDPE)膜，要加强管理，提高操作人员技术水平，完善管理机制，建立严格的生产管理制度，遵守操作规程。采取以上措施后，能最大限度地减少项目污染物的排放对地下水的影响。</w:t>
            </w:r>
          </w:p>
          <w:p>
            <w:pPr>
              <w:spacing w:line="360" w:lineRule="auto"/>
              <w:ind w:firstLine="480" w:firstLineChars="200"/>
              <w:rPr>
                <w:rFonts w:hint="eastAsia" w:cs="Times New Roman"/>
                <w:bCs/>
                <w:color w:val="auto"/>
                <w:sz w:val="24"/>
                <w:u w:val="none"/>
                <w:lang w:val="en-US" w:eastAsia="zh-CN"/>
              </w:rPr>
            </w:pPr>
            <w:r>
              <w:rPr>
                <w:rFonts w:hint="eastAsia" w:cs="Times New Roman"/>
                <w:bCs/>
                <w:color w:val="auto"/>
                <w:sz w:val="24"/>
                <w:u w:val="none"/>
                <w:lang w:val="en-US" w:eastAsia="zh-CN"/>
              </w:rPr>
              <w:t>综上所述，本项目应做好飞灰暂存仓库构筑物的防渗工作，加强管理，防止发生泄漏对地下水环境产生不利影响.</w:t>
            </w:r>
          </w:p>
          <w:p>
            <w:pPr>
              <w:spacing w:line="360" w:lineRule="auto"/>
              <w:ind w:firstLine="482" w:firstLineChars="200"/>
              <w:rPr>
                <w:rFonts w:hint="default" w:hAnsi="宋体" w:cs="Times New Roman"/>
                <w:b/>
                <w:color w:val="auto"/>
                <w:kern w:val="2"/>
                <w:sz w:val="24"/>
                <w:szCs w:val="24"/>
                <w:lang w:val="en-US" w:eastAsia="zh-CN" w:bidi="ar-SA"/>
              </w:rPr>
            </w:pPr>
            <w:r>
              <w:rPr>
                <w:rFonts w:hint="eastAsia" w:hAnsi="宋体" w:cs="Times New Roman"/>
                <w:b/>
                <w:color w:val="auto"/>
                <w:kern w:val="2"/>
                <w:sz w:val="24"/>
                <w:szCs w:val="24"/>
                <w:lang w:val="en-US" w:eastAsia="zh-CN" w:bidi="ar-SA"/>
              </w:rPr>
              <w:t>（6）地下水监测计划</w:t>
            </w:r>
          </w:p>
          <w:p>
            <w:pPr>
              <w:spacing w:line="360" w:lineRule="auto"/>
              <w:ind w:firstLine="480" w:firstLineChars="200"/>
              <w:rPr>
                <w:rFonts w:hint="default" w:hAnsi="宋体" w:cs="Times New Roman"/>
                <w:b/>
                <w:color w:val="auto"/>
                <w:kern w:val="2"/>
                <w:sz w:val="24"/>
                <w:szCs w:val="24"/>
                <w:lang w:val="en-US" w:eastAsia="zh-CN" w:bidi="ar-SA"/>
              </w:rPr>
            </w:pPr>
            <w:r>
              <w:rPr>
                <w:rFonts w:hint="eastAsia" w:cs="Times New Roman"/>
                <w:bCs/>
                <w:color w:val="auto"/>
                <w:sz w:val="24"/>
                <w:u w:val="none"/>
                <w:lang w:val="en-US" w:eastAsia="zh-CN"/>
              </w:rPr>
              <w:t>根据《排污单位自行监测技术指南 总则(HJ 819-2017)》、《工业企业土壤和地下水自行监测 技术</w:t>
            </w:r>
            <w:r>
              <w:rPr>
                <w:rFonts w:hint="eastAsia" w:cs="Times New Roman"/>
                <w:bCs/>
                <w:color w:val="auto"/>
                <w:sz w:val="24"/>
                <w:highlight w:val="none"/>
                <w:u w:val="none"/>
                <w:lang w:val="en-US" w:eastAsia="zh-CN"/>
              </w:rPr>
              <w:t>指南（试行）</w:t>
            </w:r>
            <w:r>
              <w:rPr>
                <w:rFonts w:hint="eastAsia" w:cs="Times New Roman"/>
                <w:bCs/>
                <w:color w:val="auto"/>
                <w:sz w:val="24"/>
                <w:u w:val="none"/>
                <w:lang w:val="en-US" w:eastAsia="zh-CN"/>
              </w:rPr>
              <w:t>》(HJ1209-2021) 等要求，根据本项目的地下水污染分析情况，制定本项目地下水监测要求如下表：</w:t>
            </w:r>
          </w:p>
          <w:p>
            <w:pPr>
              <w:jc w:val="center"/>
              <w:rPr>
                <w:rFonts w:hint="default" w:ascii="Times New Roman" w:hAnsi="Times New Roman" w:eastAsia="黑体" w:cs="Times New Roman"/>
                <w:color w:val="auto"/>
                <w:kern w:val="0"/>
                <w:sz w:val="24"/>
                <w:szCs w:val="20"/>
                <w:lang w:val="en-US" w:eastAsia="zh-CN" w:bidi="zh-CN"/>
              </w:rPr>
            </w:pPr>
            <w:r>
              <w:rPr>
                <w:rFonts w:hint="eastAsia" w:ascii="Times New Roman" w:hAnsi="Times New Roman" w:eastAsia="黑体" w:cs="Times New Roman"/>
                <w:color w:val="auto"/>
                <w:kern w:val="0"/>
                <w:sz w:val="24"/>
                <w:szCs w:val="20"/>
                <w:lang w:val="en-US" w:eastAsia="zh-CN" w:bidi="zh-CN"/>
              </w:rPr>
              <w:t>表</w:t>
            </w:r>
            <w:r>
              <w:rPr>
                <w:rFonts w:hint="eastAsia" w:eastAsia="黑体" w:cs="Times New Roman"/>
                <w:color w:val="auto"/>
                <w:kern w:val="0"/>
                <w:sz w:val="24"/>
                <w:szCs w:val="20"/>
                <w:lang w:val="en-US" w:eastAsia="zh-CN" w:bidi="zh-CN"/>
              </w:rPr>
              <w:t>45</w:t>
            </w:r>
            <w:r>
              <w:rPr>
                <w:rFonts w:hint="eastAsia" w:ascii="Times New Roman" w:hAnsi="Times New Roman" w:eastAsia="黑体" w:cs="Times New Roman"/>
                <w:color w:val="auto"/>
                <w:kern w:val="0"/>
                <w:sz w:val="24"/>
                <w:szCs w:val="20"/>
                <w:lang w:val="en-US" w:eastAsia="zh-CN" w:bidi="zh-CN"/>
              </w:rPr>
              <w:t xml:space="preserve"> 本项目地下水监测计划一览表</w:t>
            </w:r>
          </w:p>
          <w:tbl>
            <w:tblPr>
              <w:tblStyle w:val="29"/>
              <w:tblW w:w="86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9"/>
              <w:gridCol w:w="2159"/>
              <w:gridCol w:w="1558"/>
              <w:gridCol w:w="2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2159" w:type="dxa"/>
                  <w:vAlign w:val="center"/>
                </w:tcPr>
                <w:p>
                  <w:pPr>
                    <w:pStyle w:val="2"/>
                    <w:jc w:val="center"/>
                    <w:rPr>
                      <w:rFonts w:hint="default" w:ascii="Times New Roman" w:hAnsi="宋体" w:eastAsia="宋体" w:cs="Times New Roman"/>
                      <w:b/>
                      <w:bCs/>
                      <w:color w:val="auto"/>
                      <w:kern w:val="2"/>
                      <w:sz w:val="21"/>
                      <w:szCs w:val="21"/>
                      <w:lang w:val="en-US" w:eastAsia="zh-CN" w:bidi="ar-SA"/>
                    </w:rPr>
                  </w:pPr>
                  <w:r>
                    <w:rPr>
                      <w:rFonts w:hint="eastAsia" w:ascii="Times New Roman" w:hAnsi="宋体" w:eastAsia="宋体" w:cs="Times New Roman"/>
                      <w:b/>
                      <w:bCs/>
                      <w:color w:val="auto"/>
                      <w:kern w:val="2"/>
                      <w:sz w:val="21"/>
                      <w:szCs w:val="21"/>
                      <w:lang w:val="en-US" w:eastAsia="zh-CN" w:bidi="ar-SA"/>
                    </w:rPr>
                    <w:t>监测点位</w:t>
                  </w:r>
                </w:p>
              </w:tc>
              <w:tc>
                <w:tcPr>
                  <w:tcW w:w="2159" w:type="dxa"/>
                  <w:vAlign w:val="center"/>
                </w:tcPr>
                <w:p>
                  <w:pPr>
                    <w:pStyle w:val="2"/>
                    <w:jc w:val="center"/>
                    <w:rPr>
                      <w:rFonts w:hint="default" w:ascii="Times New Roman" w:hAnsi="宋体" w:eastAsia="宋体" w:cs="Times New Roman"/>
                      <w:b w:val="0"/>
                      <w:bCs w:val="0"/>
                      <w:color w:val="auto"/>
                      <w:kern w:val="2"/>
                      <w:sz w:val="21"/>
                      <w:szCs w:val="21"/>
                      <w:lang w:val="en-US" w:eastAsia="zh-CN" w:bidi="ar-SA"/>
                    </w:rPr>
                  </w:pPr>
                  <w:r>
                    <w:rPr>
                      <w:rFonts w:hint="eastAsia" w:ascii="Times New Roman" w:hAnsi="宋体" w:eastAsia="宋体" w:cs="Times New Roman"/>
                      <w:b w:val="0"/>
                      <w:bCs w:val="0"/>
                      <w:color w:val="auto"/>
                      <w:kern w:val="2"/>
                      <w:sz w:val="21"/>
                      <w:szCs w:val="21"/>
                      <w:lang w:val="en-US" w:eastAsia="zh-CN" w:bidi="ar-SA"/>
                    </w:rPr>
                    <w:t>监测因子</w:t>
                  </w:r>
                </w:p>
              </w:tc>
              <w:tc>
                <w:tcPr>
                  <w:tcW w:w="1558" w:type="dxa"/>
                  <w:vAlign w:val="center"/>
                </w:tcPr>
                <w:p>
                  <w:pPr>
                    <w:pStyle w:val="2"/>
                    <w:jc w:val="center"/>
                    <w:rPr>
                      <w:rFonts w:hint="default" w:ascii="Times New Roman" w:hAnsi="宋体" w:eastAsia="宋体" w:cs="Times New Roman"/>
                      <w:b/>
                      <w:bCs/>
                      <w:color w:val="auto"/>
                      <w:kern w:val="2"/>
                      <w:sz w:val="21"/>
                      <w:szCs w:val="21"/>
                      <w:lang w:val="en-US" w:eastAsia="zh-CN" w:bidi="ar-SA"/>
                    </w:rPr>
                  </w:pPr>
                  <w:r>
                    <w:rPr>
                      <w:rFonts w:hint="eastAsia" w:ascii="Times New Roman" w:hAnsi="宋体" w:eastAsia="宋体" w:cs="Times New Roman"/>
                      <w:b/>
                      <w:bCs/>
                      <w:color w:val="auto"/>
                      <w:kern w:val="2"/>
                      <w:sz w:val="21"/>
                      <w:szCs w:val="21"/>
                      <w:lang w:val="en-US" w:eastAsia="zh-CN" w:bidi="ar-SA"/>
                    </w:rPr>
                    <w:t>监测频次</w:t>
                  </w:r>
                </w:p>
              </w:tc>
              <w:tc>
                <w:tcPr>
                  <w:tcW w:w="2762" w:type="dxa"/>
                  <w:vAlign w:val="center"/>
                </w:tcPr>
                <w:p>
                  <w:pPr>
                    <w:pStyle w:val="2"/>
                    <w:jc w:val="center"/>
                    <w:rPr>
                      <w:rFonts w:hint="default" w:ascii="Times New Roman" w:hAnsi="宋体" w:eastAsia="宋体" w:cs="Times New Roman"/>
                      <w:b/>
                      <w:bCs/>
                      <w:color w:val="auto"/>
                      <w:kern w:val="2"/>
                      <w:sz w:val="21"/>
                      <w:szCs w:val="21"/>
                      <w:lang w:val="en-US" w:eastAsia="zh-CN" w:bidi="ar-SA"/>
                    </w:rPr>
                  </w:pPr>
                  <w:r>
                    <w:rPr>
                      <w:rFonts w:hint="eastAsia" w:ascii="Times New Roman" w:hAnsi="宋体" w:eastAsia="宋体" w:cs="Times New Roman"/>
                      <w:b/>
                      <w:bCs/>
                      <w:color w:val="auto"/>
                      <w:kern w:val="2"/>
                      <w:sz w:val="21"/>
                      <w:szCs w:val="21"/>
                      <w:lang w:val="en-US" w:eastAsia="zh-CN" w:bidi="ar-SA"/>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2159" w:type="dxa"/>
                  <w:vAlign w:val="center"/>
                </w:tcPr>
                <w:p>
                  <w:pPr>
                    <w:pStyle w:val="2"/>
                    <w:ind w:left="0" w:leftChars="0" w:firstLine="0" w:firstLineChars="0"/>
                    <w:jc w:val="center"/>
                    <w:rPr>
                      <w:rFonts w:hint="default" w:ascii="Times New Roman" w:hAnsi="宋体" w:eastAsia="宋体" w:cs="Times New Roman"/>
                      <w:b w:val="0"/>
                      <w:bCs w:val="0"/>
                      <w:color w:val="auto"/>
                      <w:kern w:val="2"/>
                      <w:sz w:val="21"/>
                      <w:szCs w:val="21"/>
                      <w:lang w:val="en-US" w:eastAsia="zh-CN" w:bidi="ar-SA"/>
                    </w:rPr>
                  </w:pPr>
                  <w:r>
                    <w:rPr>
                      <w:rFonts w:hint="eastAsia" w:ascii="Times New Roman" w:hAnsi="宋体" w:eastAsia="宋体" w:cs="Times New Roman"/>
                      <w:b w:val="0"/>
                      <w:bCs w:val="0"/>
                      <w:color w:val="auto"/>
                      <w:kern w:val="2"/>
                      <w:sz w:val="21"/>
                      <w:szCs w:val="21"/>
                      <w:lang w:val="en-US" w:eastAsia="zh-CN" w:bidi="ar-SA"/>
                    </w:rPr>
                    <w:t>利用暂存库北侧和东侧监测井进行监测</w:t>
                  </w:r>
                </w:p>
              </w:tc>
              <w:tc>
                <w:tcPr>
                  <w:tcW w:w="2159" w:type="dxa"/>
                  <w:vAlign w:val="center"/>
                </w:tcPr>
                <w:p>
                  <w:pPr>
                    <w:pStyle w:val="2"/>
                    <w:ind w:left="0" w:leftChars="0" w:firstLine="0" w:firstLineChars="0"/>
                    <w:jc w:val="center"/>
                    <w:rPr>
                      <w:rFonts w:hint="eastAsia" w:ascii="Times New Roman" w:hAnsi="宋体" w:eastAsia="宋体" w:cs="Times New Roman"/>
                      <w:b w:val="0"/>
                      <w:bCs w:val="0"/>
                      <w:color w:val="auto"/>
                      <w:kern w:val="2"/>
                      <w:sz w:val="21"/>
                      <w:szCs w:val="21"/>
                      <w:lang w:val="en-US" w:eastAsia="zh-CN" w:bidi="ar-SA"/>
                    </w:rPr>
                  </w:pPr>
                  <w:r>
                    <w:rPr>
                      <w:rFonts w:hint="eastAsia" w:ascii="Times New Roman" w:hAnsi="宋体" w:eastAsia="宋体" w:cs="Times New Roman"/>
                      <w:b w:val="0"/>
                      <w:bCs w:val="0"/>
                      <w:color w:val="auto"/>
                      <w:kern w:val="2"/>
                      <w:sz w:val="21"/>
                      <w:szCs w:val="21"/>
                      <w:lang w:val="en-US" w:eastAsia="zh-CN" w:bidi="ar-SA"/>
                    </w:rPr>
                    <w:t>pH 值、耗氧量、氨氮、氟化物、氯化物、锌、镉、铅、砷、汞、六价铬等</w:t>
                  </w:r>
                </w:p>
              </w:tc>
              <w:tc>
                <w:tcPr>
                  <w:tcW w:w="1558" w:type="dxa"/>
                  <w:vAlign w:val="center"/>
                </w:tcPr>
                <w:p>
                  <w:pPr>
                    <w:pStyle w:val="2"/>
                    <w:jc w:val="center"/>
                    <w:rPr>
                      <w:rFonts w:hint="default" w:hAnsi="宋体" w:cs="Times New Roman"/>
                      <w:b/>
                      <w:color w:val="auto"/>
                      <w:kern w:val="2"/>
                      <w:sz w:val="24"/>
                      <w:szCs w:val="24"/>
                      <w:vertAlign w:val="baseline"/>
                      <w:lang w:val="en-US" w:eastAsia="zh-CN" w:bidi="ar-SA"/>
                    </w:rPr>
                  </w:pPr>
                  <w:r>
                    <w:rPr>
                      <w:rFonts w:hint="eastAsia" w:ascii="Times New Roman" w:hAnsi="宋体" w:eastAsia="宋体" w:cs="Times New Roman"/>
                      <w:b w:val="0"/>
                      <w:bCs w:val="0"/>
                      <w:color w:val="auto"/>
                      <w:kern w:val="2"/>
                      <w:sz w:val="21"/>
                      <w:szCs w:val="21"/>
                      <w:lang w:val="en-US" w:eastAsia="zh-CN" w:bidi="ar-SA"/>
                    </w:rPr>
                    <w:t>每年一次</w:t>
                  </w:r>
                </w:p>
              </w:tc>
              <w:tc>
                <w:tcPr>
                  <w:tcW w:w="2762" w:type="dxa"/>
                  <w:vAlign w:val="center"/>
                </w:tcPr>
                <w:p>
                  <w:pPr>
                    <w:pStyle w:val="2"/>
                    <w:ind w:left="0" w:leftChars="0" w:firstLine="0" w:firstLineChars="0"/>
                    <w:jc w:val="center"/>
                    <w:rPr>
                      <w:rFonts w:hint="eastAsia" w:ascii="Times New Roman" w:hAnsi="宋体" w:eastAsia="宋体" w:cs="Times New Roman"/>
                      <w:b w:val="0"/>
                      <w:bCs w:val="0"/>
                      <w:color w:val="auto"/>
                      <w:kern w:val="2"/>
                      <w:sz w:val="21"/>
                      <w:szCs w:val="21"/>
                      <w:lang w:val="en-US" w:eastAsia="zh-CN" w:bidi="ar-SA"/>
                    </w:rPr>
                  </w:pPr>
                  <w:r>
                    <w:rPr>
                      <w:rFonts w:hint="eastAsia" w:ascii="Times New Roman" w:hAnsi="宋体" w:eastAsia="宋体" w:cs="Times New Roman"/>
                      <w:b w:val="0"/>
                      <w:bCs w:val="0"/>
                      <w:color w:val="auto"/>
                      <w:kern w:val="2"/>
                      <w:sz w:val="21"/>
                      <w:szCs w:val="21"/>
                      <w:lang w:val="en-US" w:eastAsia="zh-CN" w:bidi="ar-SA"/>
                    </w:rPr>
                    <w:t>《地下水质量标准》（GB/T14848-2017）中表1、表2 的Ⅲ类标准</w:t>
                  </w:r>
                </w:p>
              </w:tc>
            </w:tr>
          </w:tbl>
          <w:p>
            <w:pPr>
              <w:spacing w:line="360" w:lineRule="auto"/>
              <w:ind w:firstLine="482" w:firstLineChars="200"/>
              <w:rPr>
                <w:rFonts w:hint="eastAsia" w:hAnsi="宋体" w:cs="Times New Roman"/>
                <w:b/>
                <w:color w:val="auto"/>
                <w:kern w:val="2"/>
                <w:sz w:val="24"/>
                <w:szCs w:val="24"/>
                <w:lang w:val="en-US" w:eastAsia="zh-CN" w:bidi="ar-SA"/>
              </w:rPr>
            </w:pPr>
          </w:p>
          <w:p>
            <w:pPr>
              <w:spacing w:line="360" w:lineRule="auto"/>
              <w:ind w:firstLine="482" w:firstLineChars="200"/>
              <w:rPr>
                <w:rFonts w:hint="eastAsia" w:ascii="Times New Roman" w:hAnsi="宋体" w:eastAsia="宋体" w:cs="Times New Roman"/>
                <w:b/>
                <w:color w:val="auto"/>
                <w:kern w:val="2"/>
                <w:sz w:val="24"/>
                <w:szCs w:val="24"/>
                <w:lang w:val="en-US" w:eastAsia="zh-CN" w:bidi="ar-SA"/>
              </w:rPr>
            </w:pPr>
            <w:r>
              <w:rPr>
                <w:rFonts w:hint="eastAsia" w:hAnsi="宋体" w:cs="Times New Roman"/>
                <w:b/>
                <w:color w:val="auto"/>
                <w:kern w:val="2"/>
                <w:sz w:val="24"/>
                <w:szCs w:val="24"/>
                <w:lang w:val="en-US" w:eastAsia="zh-CN" w:bidi="ar-SA"/>
              </w:rPr>
              <w:t>6</w:t>
            </w:r>
            <w:r>
              <w:rPr>
                <w:rFonts w:hint="eastAsia" w:ascii="Times New Roman" w:hAnsi="宋体" w:eastAsia="宋体" w:cs="Times New Roman"/>
                <w:b/>
                <w:color w:val="auto"/>
                <w:kern w:val="2"/>
                <w:sz w:val="24"/>
                <w:szCs w:val="24"/>
                <w:highlight w:val="none"/>
                <w:lang w:val="en-US" w:eastAsia="zh-CN" w:bidi="ar-SA"/>
              </w:rPr>
              <w:t>土壤环境影响分析</w:t>
            </w:r>
          </w:p>
          <w:p>
            <w:pPr>
              <w:spacing w:line="520" w:lineRule="exact"/>
              <w:ind w:firstLine="480" w:firstLineChars="200"/>
              <w:textAlignment w:val="baseline"/>
              <w:rPr>
                <w:rFonts w:hint="default" w:ascii="Times New Roman" w:hAnsi="Times New Roman" w:eastAsia="宋体" w:cs="Times New Roman"/>
                <w:bCs/>
                <w:color w:val="auto"/>
                <w:sz w:val="24"/>
                <w:highlight w:val="none"/>
                <w:u w:val="none"/>
                <w:lang w:val="en-US" w:eastAsia="zh-CN"/>
              </w:rPr>
            </w:pPr>
            <w:r>
              <w:rPr>
                <w:rFonts w:hint="eastAsia" w:ascii="Times New Roman" w:hAnsi="Times New Roman" w:eastAsia="宋体" w:cs="Times New Roman"/>
                <w:bCs/>
                <w:color w:val="auto"/>
                <w:sz w:val="24"/>
                <w:u w:val="none"/>
                <w:lang w:val="en-US" w:eastAsia="zh-CN"/>
              </w:rPr>
              <w:t>通过地下水环境影响分析及保护措施分析，在</w:t>
            </w:r>
            <w:r>
              <w:rPr>
                <w:rFonts w:hint="eastAsia" w:ascii="Times New Roman" w:hAnsi="Times New Roman" w:eastAsia="宋体" w:cs="Times New Roman"/>
                <w:bCs/>
                <w:color w:val="auto"/>
                <w:sz w:val="24"/>
                <w:u w:val="none"/>
              </w:rPr>
              <w:t>正常工况下，</w:t>
            </w:r>
            <w:r>
              <w:rPr>
                <w:rFonts w:hint="eastAsia" w:cs="Times New Roman"/>
                <w:bCs/>
                <w:color w:val="auto"/>
                <w:sz w:val="24"/>
                <w:u w:val="none"/>
                <w:lang w:val="en-US" w:eastAsia="zh-CN"/>
              </w:rPr>
              <w:t>本项目落实地下水相关防渗措施及管理要求的前提下，本项目对土壤环境影响较小，且根据本项目自行监测报告中对飞灰的毒性</w:t>
            </w:r>
            <w:r>
              <w:rPr>
                <w:rFonts w:hint="eastAsia" w:cs="Times New Roman"/>
                <w:bCs/>
                <w:color w:val="auto"/>
                <w:sz w:val="24"/>
                <w:highlight w:val="none"/>
                <w:u w:val="none"/>
                <w:lang w:val="en-US" w:eastAsia="zh-CN"/>
              </w:rPr>
              <w:t>浸出检验</w:t>
            </w:r>
            <w:r>
              <w:rPr>
                <w:rFonts w:hint="eastAsia" w:cs="Times New Roman"/>
                <w:bCs/>
                <w:color w:val="auto"/>
                <w:sz w:val="24"/>
                <w:u w:val="none"/>
                <w:lang w:val="en-US" w:eastAsia="zh-CN"/>
              </w:rPr>
              <w:t>可知，</w:t>
            </w:r>
            <w:r>
              <w:rPr>
                <w:rFonts w:hint="eastAsia"/>
                <w:color w:val="auto"/>
                <w:sz w:val="24"/>
                <w:lang w:val="en-US" w:eastAsia="zh-CN"/>
              </w:rPr>
              <w:t>因此本项目对土壤产生污染在可接受范围之内。</w:t>
            </w:r>
          </w:p>
          <w:p>
            <w:pPr>
              <w:numPr>
                <w:ilvl w:val="0"/>
                <w:numId w:val="0"/>
              </w:numPr>
              <w:spacing w:line="360" w:lineRule="auto"/>
              <w:ind w:firstLine="482" w:firstLineChars="200"/>
              <w:rPr>
                <w:rFonts w:hint="eastAsia" w:ascii="Times New Roman" w:hAnsi="Times New Roman" w:cs="Times New Roman"/>
                <w:b/>
                <w:color w:val="auto"/>
                <w:sz w:val="24"/>
                <w:szCs w:val="24"/>
              </w:rPr>
            </w:pPr>
            <w:r>
              <w:rPr>
                <w:rFonts w:hint="eastAsia" w:cs="Times New Roman"/>
                <w:b/>
                <w:color w:val="auto"/>
                <w:sz w:val="24"/>
                <w:szCs w:val="24"/>
                <w:highlight w:val="none"/>
                <w:lang w:val="en-US" w:eastAsia="zh-CN"/>
              </w:rPr>
              <w:t>7</w:t>
            </w:r>
            <w:r>
              <w:rPr>
                <w:rFonts w:hint="eastAsia" w:ascii="Times New Roman" w:hAnsi="Times New Roman" w:cs="Times New Roman"/>
                <w:b/>
                <w:color w:val="auto"/>
                <w:sz w:val="24"/>
                <w:szCs w:val="24"/>
                <w:highlight w:val="none"/>
              </w:rPr>
              <w:t>总量控制</w:t>
            </w:r>
          </w:p>
          <w:p>
            <w:pPr>
              <w:numPr>
                <w:ilvl w:val="0"/>
                <w:numId w:val="0"/>
              </w:numPr>
              <w:spacing w:line="360" w:lineRule="auto"/>
              <w:ind w:firstLine="480" w:firstLineChars="200"/>
              <w:rPr>
                <w:rFonts w:hint="default" w:cs="Times New Roman"/>
                <w:b w:val="0"/>
                <w:bCs w:val="0"/>
                <w:color w:val="auto"/>
                <w:sz w:val="24"/>
                <w:szCs w:val="24"/>
                <w:u w:val="none"/>
                <w:lang w:val="en-US" w:eastAsia="zh-CN"/>
              </w:rPr>
            </w:pPr>
            <w:r>
              <w:rPr>
                <w:rFonts w:hint="eastAsia" w:cs="Times New Roman"/>
                <w:b w:val="0"/>
                <w:bCs w:val="0"/>
                <w:color w:val="auto"/>
                <w:sz w:val="24"/>
                <w:szCs w:val="24"/>
                <w:u w:val="none"/>
                <w:lang w:val="en-US" w:eastAsia="zh-CN"/>
              </w:rPr>
              <w:t>本项目排放污染因子为颗粒物和氨气，根据国家相关总量文件要求，本项目不设总量控制指标。</w:t>
            </w:r>
          </w:p>
          <w:p>
            <w:pPr>
              <w:spacing w:line="360" w:lineRule="auto"/>
              <w:ind w:firstLine="482" w:firstLineChars="200"/>
              <w:rPr>
                <w:rFonts w:hint="default" w:ascii="Times New Roman" w:hAnsi="Times New Roman" w:eastAsia="宋体" w:cs="Times New Roman"/>
                <w:b/>
                <w:bCs/>
                <w:color w:val="auto"/>
                <w:sz w:val="24"/>
                <w:szCs w:val="24"/>
                <w:highlight w:val="yellow"/>
                <w:u w:val="none"/>
              </w:rPr>
            </w:pPr>
            <w:r>
              <w:rPr>
                <w:rFonts w:hint="eastAsia" w:ascii="Times New Roman" w:hAnsi="Times New Roman" w:eastAsia="宋体" w:cs="Times New Roman"/>
                <w:b/>
                <w:bCs/>
                <w:color w:val="auto"/>
                <w:sz w:val="24"/>
                <w:szCs w:val="24"/>
                <w:highlight w:val="none"/>
                <w:u w:val="none"/>
                <w:lang w:val="en-US" w:eastAsia="zh-CN"/>
              </w:rPr>
              <w:t>8</w:t>
            </w:r>
            <w:r>
              <w:rPr>
                <w:rFonts w:hint="eastAsia" w:cs="Times New Roman"/>
                <w:b/>
                <w:bCs/>
                <w:color w:val="auto"/>
                <w:sz w:val="24"/>
                <w:szCs w:val="24"/>
                <w:highlight w:val="none"/>
                <w:u w:val="none"/>
                <w:lang w:val="en-US" w:eastAsia="zh-CN"/>
              </w:rPr>
              <w:t>扩建</w:t>
            </w:r>
            <w:r>
              <w:rPr>
                <w:rFonts w:hint="default" w:ascii="Times New Roman" w:hAnsi="Times New Roman" w:eastAsia="宋体" w:cs="Times New Roman"/>
                <w:b/>
                <w:bCs/>
                <w:color w:val="auto"/>
                <w:sz w:val="24"/>
                <w:szCs w:val="24"/>
                <w:highlight w:val="none"/>
                <w:u w:val="none"/>
              </w:rPr>
              <w:t>前后全厂污染物排放三本账</w:t>
            </w:r>
          </w:p>
          <w:p>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结合现有工程验收数据和本次</w:t>
            </w:r>
            <w:r>
              <w:rPr>
                <w:rFonts w:hint="eastAsia" w:cs="Times New Roman"/>
                <w:b w:val="0"/>
                <w:bCs w:val="0"/>
                <w:color w:val="auto"/>
                <w:kern w:val="0"/>
                <w:sz w:val="24"/>
                <w:szCs w:val="24"/>
                <w:u w:val="none"/>
                <w:lang w:val="en-US" w:eastAsia="zh-CN" w:bidi="ar-SA"/>
              </w:rPr>
              <w:t>扩建</w:t>
            </w:r>
            <w:r>
              <w:rPr>
                <w:rFonts w:hint="default" w:ascii="Times New Roman" w:hAnsi="Times New Roman" w:eastAsia="宋体" w:cs="Times New Roman"/>
                <w:b w:val="0"/>
                <w:bCs w:val="0"/>
                <w:color w:val="auto"/>
                <w:kern w:val="0"/>
                <w:sz w:val="24"/>
                <w:szCs w:val="24"/>
                <w:u w:val="none"/>
                <w:lang w:val="en-US" w:eastAsia="zh-CN" w:bidi="ar-SA"/>
              </w:rPr>
              <w:t>项目工程分析可知，本</w:t>
            </w:r>
            <w:r>
              <w:rPr>
                <w:rFonts w:hint="eastAsia" w:cs="Times New Roman"/>
                <w:b w:val="0"/>
                <w:bCs w:val="0"/>
                <w:color w:val="auto"/>
                <w:kern w:val="0"/>
                <w:sz w:val="24"/>
                <w:szCs w:val="24"/>
                <w:u w:val="none"/>
                <w:lang w:val="en-US" w:eastAsia="zh-CN" w:bidi="ar-SA"/>
              </w:rPr>
              <w:t>扩建</w:t>
            </w:r>
            <w:r>
              <w:rPr>
                <w:rFonts w:hint="default" w:ascii="Times New Roman" w:hAnsi="Times New Roman" w:eastAsia="宋体" w:cs="Times New Roman"/>
                <w:b w:val="0"/>
                <w:bCs w:val="0"/>
                <w:color w:val="auto"/>
                <w:kern w:val="0"/>
                <w:sz w:val="24"/>
                <w:szCs w:val="24"/>
                <w:u w:val="none"/>
                <w:lang w:val="en-US" w:eastAsia="zh-CN" w:bidi="ar-SA"/>
              </w:rPr>
              <w:t>项目建成后全厂污染物排放“三本帐”分析情况详见表</w:t>
            </w:r>
            <w:r>
              <w:rPr>
                <w:rFonts w:hint="eastAsia" w:cs="Times New Roman"/>
                <w:b w:val="0"/>
                <w:bCs w:val="0"/>
                <w:color w:val="auto"/>
                <w:kern w:val="0"/>
                <w:sz w:val="24"/>
                <w:szCs w:val="24"/>
                <w:u w:val="none"/>
                <w:lang w:val="en-US" w:eastAsia="zh-CN" w:bidi="ar-SA"/>
              </w:rPr>
              <w:t>47</w:t>
            </w:r>
            <w:r>
              <w:rPr>
                <w:rFonts w:hint="eastAsia" w:ascii="Times New Roman" w:hAnsi="Times New Roman" w:eastAsia="宋体" w:cs="Times New Roman"/>
                <w:b w:val="0"/>
                <w:bCs w:val="0"/>
                <w:color w:val="auto"/>
                <w:kern w:val="0"/>
                <w:sz w:val="24"/>
                <w:szCs w:val="24"/>
                <w:u w:val="none"/>
                <w:lang w:val="en-US" w:eastAsia="zh-CN" w:bidi="ar-SA"/>
              </w:rPr>
              <w:t>。</w:t>
            </w:r>
          </w:p>
          <w:p>
            <w:pPr>
              <w:jc w:val="center"/>
              <w:rPr>
                <w:rFonts w:hint="default" w:ascii="Times New Roman" w:hAnsi="Times New Roman" w:eastAsia="黑体" w:cs="Times New Roman"/>
                <w:color w:val="auto"/>
                <w:kern w:val="0"/>
                <w:sz w:val="24"/>
                <w:szCs w:val="20"/>
                <w:lang w:val="en-US" w:eastAsia="zh-CN" w:bidi="zh-CN"/>
              </w:rPr>
            </w:pPr>
            <w:r>
              <w:rPr>
                <w:rFonts w:hint="default" w:ascii="Times New Roman" w:hAnsi="Times New Roman" w:eastAsia="黑体" w:cs="Times New Roman"/>
                <w:color w:val="auto"/>
                <w:kern w:val="0"/>
                <w:sz w:val="24"/>
                <w:szCs w:val="20"/>
                <w:lang w:val="en-US" w:eastAsia="zh-CN" w:bidi="zh-CN"/>
              </w:rPr>
              <w:t>表</w:t>
            </w:r>
            <w:r>
              <w:rPr>
                <w:rFonts w:hint="eastAsia" w:eastAsia="黑体" w:cs="Times New Roman"/>
                <w:color w:val="auto"/>
                <w:kern w:val="0"/>
                <w:sz w:val="24"/>
                <w:szCs w:val="20"/>
                <w:lang w:val="en-US" w:eastAsia="zh-CN" w:bidi="zh-CN"/>
              </w:rPr>
              <w:t>47</w:t>
            </w:r>
            <w:r>
              <w:rPr>
                <w:rFonts w:hint="default" w:ascii="Times New Roman" w:hAnsi="Times New Roman" w:eastAsia="黑体" w:cs="Times New Roman"/>
                <w:color w:val="auto"/>
                <w:kern w:val="0"/>
                <w:sz w:val="24"/>
                <w:szCs w:val="20"/>
                <w:lang w:val="en-US" w:eastAsia="zh-CN" w:bidi="zh-CN"/>
              </w:rPr>
              <w:t xml:space="preserve">  全厂污染物排放“三本帐”一览表</w:t>
            </w:r>
          </w:p>
          <w:tbl>
            <w:tblPr>
              <w:tblStyle w:val="28"/>
              <w:tblW w:w="86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746"/>
              <w:gridCol w:w="1094"/>
              <w:gridCol w:w="1170"/>
              <w:gridCol w:w="1311"/>
              <w:gridCol w:w="1378"/>
              <w:gridCol w:w="1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1463" w:type="pct"/>
                  <w:gridSpan w:val="2"/>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rPr>
                    <w:t>类别</w:t>
                  </w:r>
                </w:p>
              </w:tc>
              <w:tc>
                <w:tcPr>
                  <w:tcW w:w="629"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rPr>
                    <w:t>现有工程排放量</w:t>
                  </w:r>
                </w:p>
              </w:tc>
              <w:tc>
                <w:tcPr>
                  <w:tcW w:w="67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eastAsia" w:cs="Times New Roman"/>
                      <w:b/>
                      <w:bCs/>
                      <w:color w:val="auto"/>
                      <w:sz w:val="21"/>
                      <w:szCs w:val="21"/>
                      <w:u w:val="single"/>
                      <w:lang w:val="en-US" w:eastAsia="zh-CN"/>
                    </w:rPr>
                    <w:t>扩建</w:t>
                  </w:r>
                  <w:r>
                    <w:rPr>
                      <w:rFonts w:hint="default" w:ascii="Times New Roman" w:hAnsi="Times New Roman" w:eastAsia="宋体" w:cs="Times New Roman"/>
                      <w:b/>
                      <w:bCs/>
                      <w:color w:val="auto"/>
                      <w:sz w:val="21"/>
                      <w:szCs w:val="21"/>
                      <w:u w:val="single"/>
                    </w:rPr>
                    <w:t>工程排放量</w:t>
                  </w:r>
                </w:p>
              </w:tc>
              <w:tc>
                <w:tcPr>
                  <w:tcW w:w="75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rPr>
                    <w:t>“以新带老”削减量（t/a）</w:t>
                  </w:r>
                </w:p>
              </w:tc>
              <w:tc>
                <w:tcPr>
                  <w:tcW w:w="792"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eastAsia" w:cs="Times New Roman"/>
                      <w:b/>
                      <w:bCs/>
                      <w:color w:val="auto"/>
                      <w:sz w:val="21"/>
                      <w:szCs w:val="21"/>
                      <w:u w:val="single"/>
                      <w:lang w:val="en-US" w:eastAsia="zh-CN"/>
                    </w:rPr>
                    <w:t>扩建</w:t>
                  </w:r>
                  <w:r>
                    <w:rPr>
                      <w:rFonts w:hint="default" w:ascii="Times New Roman" w:hAnsi="Times New Roman" w:eastAsia="宋体" w:cs="Times New Roman"/>
                      <w:b/>
                      <w:bCs/>
                      <w:color w:val="auto"/>
                      <w:sz w:val="21"/>
                      <w:szCs w:val="21"/>
                      <w:u w:val="single"/>
                    </w:rPr>
                    <w:t>后全厂总排放量（t/a）</w:t>
                  </w:r>
                </w:p>
              </w:tc>
              <w:tc>
                <w:tcPr>
                  <w:tcW w:w="68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rPr>
                    <w:t>增减变化量（t/a）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restar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废气</w:t>
                  </w:r>
                </w:p>
              </w:tc>
              <w:tc>
                <w:tcPr>
                  <w:tcW w:w="17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eastAsia="宋体"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颗粒物</w:t>
                  </w:r>
                </w:p>
              </w:tc>
              <w:tc>
                <w:tcPr>
                  <w:tcW w:w="10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1.031t/a</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snapToGrid/>
                    <w:spacing w:line="320" w:lineRule="exact"/>
                    <w:jc w:val="center"/>
                    <w:textAlignment w:val="center"/>
                    <w:rPr>
                      <w:rFonts w:hint="default" w:ascii="Times New Roman" w:hAnsi="Times New Roman" w:eastAsia="宋体"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w:t>
                  </w:r>
                </w:p>
              </w:tc>
              <w:tc>
                <w:tcPr>
                  <w:tcW w:w="13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1.031t/a</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9"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p>
              </w:tc>
              <w:tc>
                <w:tcPr>
                  <w:tcW w:w="17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氨气</w:t>
                  </w:r>
                </w:p>
              </w:tc>
              <w:tc>
                <w:tcPr>
                  <w:tcW w:w="10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8.508</w:t>
                  </w:r>
                  <w:r>
                    <w:rPr>
                      <w:rFonts w:hint="eastAsia" w:cs="Times New Roman"/>
                      <w:b w:val="0"/>
                      <w:bCs w:val="0"/>
                      <w:color w:val="auto"/>
                      <w:kern w:val="2"/>
                      <w:sz w:val="21"/>
                      <w:szCs w:val="21"/>
                      <w:u w:val="single"/>
                      <w:lang w:val="en-US" w:eastAsia="zh-CN" w:bidi="ar-SA"/>
                    </w:rPr>
                    <w:t>t/a</w:t>
                  </w:r>
                </w:p>
              </w:tc>
              <w:tc>
                <w:tcPr>
                  <w:tcW w:w="1170" w:type="dxa"/>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lang w:val="en-US" w:eastAsia="zh-CN"/>
                    </w:rPr>
                  </w:pPr>
                  <w:r>
                    <w:rPr>
                      <w:rFonts w:hint="eastAsia" w:cs="Times New Roman"/>
                      <w:color w:val="auto"/>
                      <w:kern w:val="0"/>
                      <w:sz w:val="21"/>
                      <w:szCs w:val="21"/>
                      <w:u w:val="single"/>
                      <w:lang w:val="en-US" w:eastAsia="zh-CN" w:bidi="ar-SA"/>
                    </w:rPr>
                    <w:t>0.000126</w:t>
                  </w:r>
                  <w:r>
                    <w:rPr>
                      <w:rFonts w:hint="eastAsia" w:cs="Times New Roman"/>
                      <w:b w:val="0"/>
                      <w:bCs w:val="0"/>
                      <w:color w:val="auto"/>
                      <w:kern w:val="2"/>
                      <w:sz w:val="21"/>
                      <w:szCs w:val="21"/>
                      <w:u w:val="single"/>
                      <w:lang w:val="en-US" w:eastAsia="zh-CN" w:bidi="ar-SA"/>
                    </w:rPr>
                    <w:t>t/a</w:t>
                  </w:r>
                </w:p>
              </w:tc>
              <w:tc>
                <w:tcPr>
                  <w:tcW w:w="13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yellow"/>
                      <w:u w:val="single"/>
                      <w:lang w:val="en-US" w:eastAsia="zh-CN"/>
                    </w:rPr>
                  </w:pPr>
                  <w:r>
                    <w:rPr>
                      <w:rFonts w:hint="eastAsia" w:cs="Times New Roman"/>
                      <w:b w:val="0"/>
                      <w:bCs w:val="0"/>
                      <w:color w:val="auto"/>
                      <w:sz w:val="21"/>
                      <w:szCs w:val="21"/>
                      <w:highlight w:val="none"/>
                      <w:u w:val="single"/>
                      <w:lang w:val="en-US" w:eastAsia="zh-CN"/>
                    </w:rPr>
                    <w:t>0.0000586</w:t>
                  </w:r>
                  <w:r>
                    <w:rPr>
                      <w:rFonts w:hint="eastAsia" w:cs="Times New Roman"/>
                      <w:b w:val="0"/>
                      <w:bCs w:val="0"/>
                      <w:color w:val="auto"/>
                      <w:kern w:val="2"/>
                      <w:sz w:val="21"/>
                      <w:szCs w:val="21"/>
                      <w:highlight w:val="none"/>
                      <w:u w:val="single"/>
                      <w:lang w:val="en-US" w:eastAsia="zh-CN" w:bidi="ar-SA"/>
                    </w:rPr>
                    <w:t>t/a</w:t>
                  </w:r>
                </w:p>
              </w:tc>
              <w:tc>
                <w:tcPr>
                  <w:tcW w:w="13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yellow"/>
                      <w:u w:val="single"/>
                      <w:lang w:val="en-US" w:eastAsia="zh-CN"/>
                    </w:rPr>
                  </w:pPr>
                  <w:r>
                    <w:rPr>
                      <w:rFonts w:hint="eastAsia" w:cs="Times New Roman"/>
                      <w:b w:val="0"/>
                      <w:bCs w:val="0"/>
                      <w:color w:val="auto"/>
                      <w:sz w:val="21"/>
                      <w:szCs w:val="21"/>
                      <w:u w:val="single"/>
                      <w:lang w:val="en-US" w:eastAsia="zh-CN"/>
                    </w:rPr>
                    <w:t>8.5080674</w:t>
                  </w:r>
                  <w:r>
                    <w:rPr>
                      <w:rFonts w:hint="eastAsia" w:cs="Times New Roman"/>
                      <w:b w:val="0"/>
                      <w:bCs w:val="0"/>
                      <w:color w:val="auto"/>
                      <w:kern w:val="2"/>
                      <w:sz w:val="21"/>
                      <w:szCs w:val="21"/>
                      <w:u w:val="single"/>
                      <w:lang w:val="en-US" w:eastAsia="zh-CN" w:bidi="ar-SA"/>
                    </w:rPr>
                    <w:t>t/a</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yellow"/>
                      <w:u w:val="single"/>
                      <w:lang w:val="en-US" w:eastAsia="zh-CN"/>
                    </w:rPr>
                  </w:pPr>
                  <w:r>
                    <w:rPr>
                      <w:rFonts w:hint="eastAsia" w:cs="Times New Roman"/>
                      <w:b w:val="0"/>
                      <w:bCs w:val="0"/>
                      <w:color w:val="auto"/>
                      <w:sz w:val="21"/>
                      <w:szCs w:val="21"/>
                      <w:u w:val="single"/>
                      <w:lang w:val="en-US" w:eastAsia="zh-CN"/>
                    </w:rPr>
                    <w:t>+0.0000674</w:t>
                  </w:r>
                  <w:r>
                    <w:rPr>
                      <w:rFonts w:hint="eastAsia" w:cs="Times New Roman"/>
                      <w:b w:val="0"/>
                      <w:bCs w:val="0"/>
                      <w:color w:val="auto"/>
                      <w:kern w:val="2"/>
                      <w:sz w:val="21"/>
                      <w:szCs w:val="21"/>
                      <w:u w:val="single"/>
                      <w:lang w:val="en-US" w:eastAsia="zh-CN" w:bidi="ar-SA"/>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p>
              </w:tc>
              <w:tc>
                <w:tcPr>
                  <w:tcW w:w="17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二氧化硫</w:t>
                  </w:r>
                </w:p>
              </w:tc>
              <w:tc>
                <w:tcPr>
                  <w:tcW w:w="10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23.316</w:t>
                  </w:r>
                  <w:r>
                    <w:rPr>
                      <w:rFonts w:hint="eastAsia" w:cs="Times New Roman"/>
                      <w:b w:val="0"/>
                      <w:bCs w:val="0"/>
                      <w:color w:val="auto"/>
                      <w:kern w:val="2"/>
                      <w:sz w:val="21"/>
                      <w:szCs w:val="21"/>
                      <w:u w:val="single"/>
                      <w:lang w:val="en-US" w:eastAsia="zh-CN" w:bidi="ar-SA"/>
                    </w:rPr>
                    <w:t>t/a</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13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3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23.316</w:t>
                  </w:r>
                  <w:r>
                    <w:rPr>
                      <w:rFonts w:hint="eastAsia" w:cs="Times New Roman"/>
                      <w:b w:val="0"/>
                      <w:bCs w:val="0"/>
                      <w:color w:val="auto"/>
                      <w:kern w:val="2"/>
                      <w:sz w:val="21"/>
                      <w:szCs w:val="21"/>
                      <w:u w:val="single"/>
                      <w:lang w:val="en-US" w:eastAsia="zh-CN" w:bidi="ar-SA"/>
                    </w:rPr>
                    <w:t>t/a</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p>
              </w:tc>
              <w:tc>
                <w:tcPr>
                  <w:tcW w:w="17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氮氧化物</w:t>
                  </w:r>
                </w:p>
              </w:tc>
              <w:tc>
                <w:tcPr>
                  <w:tcW w:w="10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147.975</w:t>
                  </w:r>
                  <w:r>
                    <w:rPr>
                      <w:rFonts w:hint="eastAsia" w:cs="Times New Roman"/>
                      <w:b w:val="0"/>
                      <w:bCs w:val="0"/>
                      <w:color w:val="auto"/>
                      <w:kern w:val="2"/>
                      <w:sz w:val="21"/>
                      <w:szCs w:val="21"/>
                      <w:u w:val="single"/>
                      <w:lang w:val="en-US" w:eastAsia="zh-CN" w:bidi="ar-SA"/>
                    </w:rPr>
                    <w:t>t/a</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13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3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147.975</w:t>
                  </w:r>
                  <w:r>
                    <w:rPr>
                      <w:rFonts w:hint="eastAsia" w:cs="Times New Roman"/>
                      <w:b w:val="0"/>
                      <w:bCs w:val="0"/>
                      <w:color w:val="auto"/>
                      <w:kern w:val="2"/>
                      <w:sz w:val="21"/>
                      <w:szCs w:val="21"/>
                      <w:u w:val="single"/>
                      <w:lang w:val="en-US" w:eastAsia="zh-CN" w:bidi="ar-SA"/>
                    </w:rPr>
                    <w:t>t/a</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p>
              </w:tc>
              <w:tc>
                <w:tcPr>
                  <w:tcW w:w="17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一氧化碳</w:t>
                  </w:r>
                </w:p>
              </w:tc>
              <w:tc>
                <w:tcPr>
                  <w:tcW w:w="10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4.855</w:t>
                  </w:r>
                  <w:r>
                    <w:rPr>
                      <w:rFonts w:hint="eastAsia" w:cs="Times New Roman"/>
                      <w:b w:val="0"/>
                      <w:bCs w:val="0"/>
                      <w:color w:val="auto"/>
                      <w:kern w:val="2"/>
                      <w:sz w:val="21"/>
                      <w:szCs w:val="21"/>
                      <w:u w:val="single"/>
                      <w:lang w:val="en-US" w:eastAsia="zh-CN" w:bidi="ar-SA"/>
                    </w:rPr>
                    <w:t>t/a</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13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3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4.855</w:t>
                  </w:r>
                  <w:r>
                    <w:rPr>
                      <w:rFonts w:hint="eastAsia" w:cs="Times New Roman"/>
                      <w:b w:val="0"/>
                      <w:bCs w:val="0"/>
                      <w:color w:val="auto"/>
                      <w:kern w:val="2"/>
                      <w:sz w:val="21"/>
                      <w:szCs w:val="21"/>
                      <w:u w:val="single"/>
                      <w:lang w:val="en-US" w:eastAsia="zh-CN" w:bidi="ar-SA"/>
                    </w:rPr>
                    <w:t>t/a</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p>
              </w:tc>
              <w:tc>
                <w:tcPr>
                  <w:tcW w:w="17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氯化氢</w:t>
                  </w:r>
                </w:p>
              </w:tc>
              <w:tc>
                <w:tcPr>
                  <w:tcW w:w="10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11.953</w:t>
                  </w:r>
                  <w:r>
                    <w:rPr>
                      <w:rFonts w:hint="eastAsia" w:cs="Times New Roman"/>
                      <w:b w:val="0"/>
                      <w:bCs w:val="0"/>
                      <w:color w:val="auto"/>
                      <w:kern w:val="2"/>
                      <w:sz w:val="21"/>
                      <w:szCs w:val="21"/>
                      <w:u w:val="single"/>
                      <w:lang w:val="en-US" w:eastAsia="zh-CN" w:bidi="ar-SA"/>
                    </w:rPr>
                    <w:t>t/a</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13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3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11.953</w:t>
                  </w:r>
                  <w:r>
                    <w:rPr>
                      <w:rFonts w:hint="eastAsia" w:cs="Times New Roman"/>
                      <w:b w:val="0"/>
                      <w:bCs w:val="0"/>
                      <w:color w:val="auto"/>
                      <w:kern w:val="2"/>
                      <w:sz w:val="21"/>
                      <w:szCs w:val="21"/>
                      <w:u w:val="single"/>
                      <w:lang w:val="en-US" w:eastAsia="zh-CN" w:bidi="ar-SA"/>
                    </w:rPr>
                    <w:t>t/a</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p>
              </w:tc>
              <w:tc>
                <w:tcPr>
                  <w:tcW w:w="1746" w:type="dxa"/>
                  <w:tcBorders>
                    <w:tl2br w:val="nil"/>
                    <w:tr2bl w:val="nil"/>
                  </w:tcBorders>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氟化物</w:t>
                  </w:r>
                </w:p>
              </w:tc>
              <w:tc>
                <w:tcPr>
                  <w:tcW w:w="10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0.1095</w:t>
                  </w:r>
                  <w:r>
                    <w:rPr>
                      <w:rFonts w:hint="eastAsia" w:cs="Times New Roman"/>
                      <w:b w:val="0"/>
                      <w:bCs w:val="0"/>
                      <w:color w:val="auto"/>
                      <w:kern w:val="2"/>
                      <w:sz w:val="21"/>
                      <w:szCs w:val="21"/>
                      <w:u w:val="single"/>
                      <w:lang w:val="en-US" w:eastAsia="zh-CN" w:bidi="ar-SA"/>
                    </w:rPr>
                    <w:t>t/a</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13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3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0.1095</w:t>
                  </w:r>
                  <w:r>
                    <w:rPr>
                      <w:rFonts w:hint="eastAsia" w:cs="Times New Roman"/>
                      <w:b w:val="0"/>
                      <w:bCs w:val="0"/>
                      <w:color w:val="auto"/>
                      <w:kern w:val="2"/>
                      <w:sz w:val="21"/>
                      <w:szCs w:val="21"/>
                      <w:u w:val="single"/>
                      <w:lang w:val="en-US" w:eastAsia="zh-CN" w:bidi="ar-SA"/>
                    </w:rPr>
                    <w:t>t/a</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restar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废水</w:t>
                  </w:r>
                </w:p>
              </w:tc>
              <w:tc>
                <w:tcPr>
                  <w:tcW w:w="100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lang w:val="en-US" w:eastAsia="zh-CN"/>
                    </w:rPr>
                    <w:t>生产废水</w:t>
                  </w:r>
                </w:p>
              </w:tc>
              <w:tc>
                <w:tcPr>
                  <w:tcW w:w="629"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67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75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792"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68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59" w:type="pct"/>
                  <w:vMerge w:val="continue"/>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p>
              </w:tc>
              <w:tc>
                <w:tcPr>
                  <w:tcW w:w="100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lang w:eastAsia="zh-CN"/>
                    </w:rPr>
                    <w:t>生活污水</w:t>
                  </w:r>
                </w:p>
              </w:tc>
              <w:tc>
                <w:tcPr>
                  <w:tcW w:w="629"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673"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75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792"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c>
                <w:tcPr>
                  <w:tcW w:w="687"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59"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u w:val="single"/>
                    </w:rPr>
                  </w:pPr>
                  <w:r>
                    <w:rPr>
                      <w:rFonts w:hint="default" w:ascii="Times New Roman" w:hAnsi="Times New Roman" w:eastAsia="宋体" w:cs="Times New Roman"/>
                      <w:b w:val="0"/>
                      <w:bCs w:val="0"/>
                      <w:color w:val="auto"/>
                      <w:sz w:val="21"/>
                      <w:szCs w:val="21"/>
                      <w:u w:val="single"/>
                    </w:rPr>
                    <w:t>固废</w:t>
                  </w:r>
                </w:p>
              </w:tc>
              <w:tc>
                <w:tcPr>
                  <w:tcW w:w="1004"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val="0"/>
                      <w:color w:val="auto"/>
                      <w:sz w:val="21"/>
                      <w:szCs w:val="21"/>
                      <w:u w:val="single"/>
                      <w:lang w:val="en-US" w:eastAsia="zh-CN"/>
                    </w:rPr>
                  </w:pPr>
                  <w:r>
                    <w:rPr>
                      <w:rFonts w:hint="eastAsia" w:ascii="Times New Roman" w:hAnsi="Times New Roman" w:eastAsia="宋体" w:cs="Times New Roman"/>
                      <w:b w:val="0"/>
                      <w:bCs w:val="0"/>
                      <w:color w:val="auto"/>
                      <w:sz w:val="21"/>
                      <w:szCs w:val="21"/>
                      <w:u w:val="single"/>
                      <w:lang w:val="en-US" w:eastAsia="zh-CN"/>
                    </w:rPr>
                    <w:t>危险废物（飞灰）</w:t>
                  </w:r>
                </w:p>
              </w:tc>
              <w:tc>
                <w:tcPr>
                  <w:tcW w:w="629" w:type="pct"/>
                  <w:tcBorders>
                    <w:tl2br w:val="nil"/>
                    <w:tr2bl w:val="nil"/>
                  </w:tcBorders>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cs="Times New Roman"/>
                      <w:b w:val="0"/>
                      <w:bCs w:val="0"/>
                      <w:color w:val="auto"/>
                      <w:sz w:val="21"/>
                      <w:szCs w:val="21"/>
                      <w:highlight w:val="none"/>
                      <w:u w:val="single"/>
                      <w:lang w:val="en-US" w:eastAsia="zh-CN"/>
                    </w:rPr>
                    <w:t>/</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cs="Times New Roman"/>
                      <w:b w:val="0"/>
                      <w:bCs w:val="0"/>
                      <w:color w:val="auto"/>
                      <w:sz w:val="21"/>
                      <w:szCs w:val="21"/>
                      <w:highlight w:val="none"/>
                      <w:u w:val="single"/>
                      <w:lang w:val="en-US" w:eastAsia="zh-CN"/>
                    </w:rPr>
                    <w:t>/</w:t>
                  </w:r>
                </w:p>
              </w:tc>
              <w:tc>
                <w:tcPr>
                  <w:tcW w:w="7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rPr>
                  </w:pPr>
                  <w:r>
                    <w:rPr>
                      <w:rFonts w:hint="eastAsia" w:cs="Times New Roman"/>
                      <w:b w:val="0"/>
                      <w:bCs w:val="0"/>
                      <w:color w:val="auto"/>
                      <w:sz w:val="21"/>
                      <w:szCs w:val="21"/>
                      <w:highlight w:val="none"/>
                      <w:u w:val="single"/>
                      <w:lang w:val="en-US" w:eastAsia="zh-CN"/>
                    </w:rPr>
                    <w:t>/</w:t>
                  </w:r>
                </w:p>
              </w:tc>
              <w:tc>
                <w:tcPr>
                  <w:tcW w:w="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auto"/>
                      <w:sz w:val="21"/>
                      <w:szCs w:val="21"/>
                      <w:highlight w:val="none"/>
                      <w:u w:val="single"/>
                      <w:lang w:val="en-US" w:eastAsia="zh-CN"/>
                    </w:rPr>
                  </w:pPr>
                  <w:r>
                    <w:rPr>
                      <w:rFonts w:hint="eastAsia" w:cs="Times New Roman"/>
                      <w:b w:val="0"/>
                      <w:bCs w:val="0"/>
                      <w:color w:val="auto"/>
                      <w:sz w:val="21"/>
                      <w:szCs w:val="21"/>
                      <w:highlight w:val="none"/>
                      <w:u w:val="single"/>
                      <w:lang w:val="en-US" w:eastAsia="zh-CN"/>
                    </w:rPr>
                    <w:t>/</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val="0"/>
                      <w:color w:val="auto"/>
                      <w:sz w:val="21"/>
                      <w:szCs w:val="21"/>
                      <w:highlight w:val="none"/>
                      <w:u w:val="single"/>
                      <w:lang w:val="en-US" w:eastAsia="zh-CN"/>
                    </w:rPr>
                  </w:pPr>
                  <w:r>
                    <w:rPr>
                      <w:rFonts w:hint="eastAsia" w:cs="Times New Roman"/>
                      <w:b w:val="0"/>
                      <w:bCs w:val="0"/>
                      <w:color w:val="auto"/>
                      <w:sz w:val="21"/>
                      <w:szCs w:val="21"/>
                      <w:highlight w:val="none"/>
                      <w:u w:val="single"/>
                      <w:lang w:val="en-US" w:eastAsia="zh-CN"/>
                    </w:rPr>
                    <w:t>/</w:t>
                  </w:r>
                </w:p>
              </w:tc>
            </w:tr>
          </w:tbl>
          <w:p>
            <w:pPr>
              <w:numPr>
                <w:ilvl w:val="0"/>
                <w:numId w:val="0"/>
              </w:numPr>
              <w:spacing w:line="360" w:lineRule="auto"/>
              <w:ind w:firstLine="482" w:firstLineChars="200"/>
              <w:rPr>
                <w:rFonts w:hint="eastAsia" w:ascii="Times New Roman" w:hAnsi="Times New Roman" w:eastAsia="宋体" w:cs="Times New Roman"/>
                <w:b/>
                <w:color w:val="auto"/>
                <w:sz w:val="24"/>
                <w:szCs w:val="24"/>
              </w:rPr>
            </w:pPr>
            <w:r>
              <w:rPr>
                <w:rFonts w:hint="eastAsia" w:cs="Times New Roman"/>
                <w:b/>
                <w:color w:val="auto"/>
                <w:sz w:val="24"/>
                <w:szCs w:val="24"/>
                <w:lang w:val="en-US" w:eastAsia="zh-CN"/>
              </w:rPr>
              <w:t>9</w:t>
            </w:r>
            <w:r>
              <w:rPr>
                <w:rFonts w:hint="eastAsia" w:ascii="Times New Roman" w:hAnsi="Times New Roman" w:eastAsia="宋体" w:cs="Times New Roman"/>
                <w:b/>
                <w:color w:val="auto"/>
                <w:sz w:val="24"/>
                <w:szCs w:val="24"/>
                <w:highlight w:val="none"/>
              </w:rPr>
              <w:t>环境风险</w:t>
            </w:r>
            <w:r>
              <w:rPr>
                <w:rFonts w:hint="eastAsia" w:ascii="Times New Roman" w:hAnsi="Times New Roman" w:eastAsia="宋体" w:cs="Times New Roman"/>
                <w:b/>
                <w:color w:val="auto"/>
                <w:sz w:val="24"/>
                <w:szCs w:val="24"/>
              </w:rPr>
              <w:t>评价分析</w:t>
            </w:r>
          </w:p>
          <w:p>
            <w:pPr>
              <w:numPr>
                <w:ilvl w:val="0"/>
                <w:numId w:val="0"/>
              </w:numPr>
              <w:spacing w:line="360" w:lineRule="auto"/>
              <w:ind w:firstLine="480" w:firstLineChars="200"/>
              <w:rPr>
                <w:rFonts w:ascii="Times New Roman" w:hAnsi="Times New Roman" w:cs="Times New Roman"/>
                <w:bCs/>
                <w:color w:val="auto"/>
                <w:kern w:val="0"/>
                <w:sz w:val="24"/>
              </w:rPr>
            </w:pPr>
            <w:r>
              <w:rPr>
                <w:rFonts w:ascii="Times New Roman" w:hAnsi="Times New Roman" w:cs="Times New Roman"/>
                <w:bCs/>
                <w:color w:val="auto"/>
                <w:kern w:val="0"/>
                <w:sz w:val="24"/>
              </w:rPr>
              <w:t>所谓环境风险是指突发性灾难事故造成重大环境污染的事件，它具有危害性大、影响范围广等特点，同时风险发生的概率又有很大的不确定性，倘若一旦发生，其破坏性极强，对生态环境会产生严重破坏。</w:t>
            </w:r>
          </w:p>
          <w:p>
            <w:pPr>
              <w:spacing w:line="360" w:lineRule="auto"/>
              <w:ind w:firstLine="480" w:firstLineChars="200"/>
              <w:rPr>
                <w:rFonts w:ascii="Times New Roman" w:hAnsi="Times New Roman" w:cs="Times New Roman"/>
                <w:bCs/>
                <w:color w:val="auto"/>
                <w:kern w:val="0"/>
                <w:sz w:val="24"/>
              </w:rPr>
            </w:pPr>
            <w:r>
              <w:rPr>
                <w:rFonts w:ascii="Times New Roman" w:hAnsi="Times New Roman" w:cs="Times New Roman"/>
                <w:bCs/>
                <w:color w:val="auto"/>
                <w:kern w:val="0"/>
                <w:sz w:val="24"/>
              </w:rPr>
              <w:t>环境风险评价的目的是分析和预测建设项目存在的潜在危险、有害因素，建设项目建设和运行期间可能发生的突发性事件或事故，引起有毒有害和易燃易爆等物质的泄漏，所造成的人身安全与环境影响和损害程度，提出合理可行的防范、应急与减缓措施，以使建设项目事故率、损失和环境影响达到可接受的水平。</w:t>
            </w:r>
          </w:p>
          <w:p>
            <w:pPr>
              <w:spacing w:line="360" w:lineRule="auto"/>
              <w:ind w:firstLine="480" w:firstLineChars="200"/>
              <w:rPr>
                <w:rFonts w:hint="eastAsia" w:ascii="Times New Roman" w:hAnsi="宋体" w:cs="Times New Roman"/>
                <w:bCs/>
                <w:color w:val="auto"/>
                <w:kern w:val="0"/>
                <w:sz w:val="24"/>
              </w:rPr>
            </w:pPr>
            <w:r>
              <w:rPr>
                <w:rFonts w:hint="eastAsia" w:ascii="Times New Roman" w:hAnsi="Times New Roman" w:eastAsia="宋体" w:cs="Times New Roman"/>
                <w:bCs/>
                <w:color w:val="auto"/>
                <w:kern w:val="0"/>
                <w:sz w:val="24"/>
                <w:lang w:val="en-US" w:eastAsia="zh-CN"/>
              </w:rPr>
              <w:t>因此本次评价的重点是：分析在运行期间可能发生的突发性事故，评估其可能对环境造成的影响和危害，并提出防范、减缓措施与应急预案。</w:t>
            </w:r>
          </w:p>
          <w:p>
            <w:pPr>
              <w:spacing w:line="360" w:lineRule="auto"/>
              <w:ind w:firstLine="480" w:firstLineChars="200"/>
              <w:rPr>
                <w:rFonts w:hint="eastAsia" w:ascii="Times New Roman" w:hAnsi="宋体" w:cs="Times New Roman"/>
                <w:bCs/>
                <w:color w:val="auto"/>
                <w:kern w:val="0"/>
                <w:sz w:val="24"/>
              </w:rPr>
            </w:pPr>
            <w:r>
              <w:rPr>
                <w:rFonts w:hint="eastAsia" w:ascii="Times New Roman" w:hAnsi="宋体" w:cs="Times New Roman"/>
                <w:bCs/>
                <w:color w:val="auto"/>
                <w:kern w:val="0"/>
                <w:sz w:val="24"/>
              </w:rPr>
              <w:t>飞灰贮存过程中存在的环境风险及对应防范措施如下：</w:t>
            </w:r>
          </w:p>
          <w:p>
            <w:pPr>
              <w:numPr>
                <w:ilvl w:val="0"/>
                <w:numId w:val="7"/>
              </w:numPr>
              <w:spacing w:line="360" w:lineRule="auto"/>
              <w:ind w:firstLine="480" w:firstLineChars="200"/>
              <w:rPr>
                <w:rFonts w:hint="eastAsia" w:ascii="Times New Roman" w:hAnsi="宋体" w:cs="Times New Roman"/>
                <w:bCs/>
                <w:color w:val="auto"/>
                <w:kern w:val="0"/>
                <w:sz w:val="24"/>
              </w:rPr>
            </w:pPr>
            <w:r>
              <w:rPr>
                <w:rFonts w:hint="eastAsia" w:ascii="Times New Roman" w:hAnsi="宋体" w:cs="Times New Roman"/>
                <w:bCs/>
                <w:color w:val="auto"/>
                <w:kern w:val="0"/>
                <w:sz w:val="24"/>
              </w:rPr>
              <w:t>飞灰贮存库内吨袋倒塌、固化后的飞灰散落固化后的飞灰吨袋在飞灰贮存库堆放，存在倒塌风险，若倒塌时吨袋破裂，将进一步导致吨袋内的飞灰散落。防范措施：通过合理堆叠、定期检查可有效避免吨袋倒塌；避免临窗户坡角位置的贮存高度超过窗户；散落的飞灰呈块状，通过清扫重新收集至吨袋内，同时做好防尘措施，避免飞灰扬散。</w:t>
            </w:r>
          </w:p>
          <w:p>
            <w:pPr>
              <w:numPr>
                <w:ilvl w:val="0"/>
                <w:numId w:val="7"/>
              </w:numPr>
              <w:spacing w:line="360" w:lineRule="auto"/>
              <w:ind w:left="0" w:leftChars="0" w:firstLine="480" w:firstLineChars="200"/>
              <w:rPr>
                <w:rFonts w:hint="eastAsia" w:ascii="Times New Roman" w:hAnsi="宋体" w:cs="Times New Roman"/>
                <w:bCs/>
                <w:color w:val="auto"/>
                <w:kern w:val="0"/>
                <w:sz w:val="24"/>
              </w:rPr>
            </w:pPr>
            <w:r>
              <w:rPr>
                <w:rFonts w:hint="eastAsia" w:ascii="Times New Roman" w:hAnsi="宋体" w:cs="Times New Roman"/>
                <w:bCs/>
                <w:color w:val="auto"/>
                <w:kern w:val="0"/>
                <w:sz w:val="24"/>
              </w:rPr>
              <w:t>飞灰贮存库 PVC 落水管破裂，雨水浸入飞灰贮存库屋顶雨水通过 PVC 落水管进入雨水管网，PVC落水管位于室外，沿墙壁和承重支柱外侧垂直分布，无进水风险。</w:t>
            </w:r>
          </w:p>
          <w:p>
            <w:pPr>
              <w:numPr>
                <w:ilvl w:val="0"/>
                <w:numId w:val="7"/>
              </w:numPr>
              <w:spacing w:line="360" w:lineRule="auto"/>
              <w:ind w:left="0" w:leftChars="0" w:firstLine="480" w:firstLineChars="200"/>
              <w:rPr>
                <w:rFonts w:hint="eastAsia" w:ascii="Times New Roman" w:hAnsi="宋体" w:cs="Times New Roman"/>
                <w:bCs/>
                <w:color w:val="auto"/>
                <w:kern w:val="0"/>
                <w:sz w:val="24"/>
              </w:rPr>
            </w:pPr>
            <w:r>
              <w:rPr>
                <w:rFonts w:hint="eastAsia" w:ascii="Times New Roman" w:hAnsi="宋体" w:cs="Times New Roman"/>
                <w:bCs/>
                <w:color w:val="auto"/>
                <w:kern w:val="0"/>
                <w:sz w:val="24"/>
              </w:rPr>
              <w:t>防腐防渗措施</w:t>
            </w:r>
            <w:r>
              <w:rPr>
                <w:rFonts w:hint="eastAsia" w:hAnsi="宋体" w:cs="Times New Roman"/>
                <w:bCs/>
                <w:color w:val="auto"/>
                <w:kern w:val="0"/>
                <w:sz w:val="24"/>
                <w:lang w:eastAsia="zh-CN"/>
              </w:rPr>
              <w:t>：</w:t>
            </w:r>
            <w:r>
              <w:rPr>
                <w:rFonts w:hint="eastAsia" w:ascii="Times New Roman" w:hAnsi="宋体" w:cs="Times New Roman"/>
                <w:bCs/>
                <w:color w:val="auto"/>
                <w:kern w:val="0"/>
                <w:sz w:val="24"/>
              </w:rPr>
              <w:t>本项目贮存的飞灰固化稳定化后呈块状固体，在运输至飞灰贮存库之前已将其密封包装于防水吨袋内，暂存过程无渗滤液产生，不需对地面进行冲洗处理。</w:t>
            </w:r>
            <w:r>
              <w:rPr>
                <w:rFonts w:hint="eastAsia" w:hAnsi="宋体" w:cs="Times New Roman"/>
                <w:bCs/>
                <w:color w:val="auto"/>
                <w:kern w:val="0"/>
                <w:sz w:val="24"/>
                <w:lang w:val="en-US" w:eastAsia="zh-CN"/>
              </w:rPr>
              <w:t>为防止飞灰</w:t>
            </w:r>
            <w:r>
              <w:rPr>
                <w:rFonts w:hint="eastAsia" w:ascii="Times New Roman" w:hAnsi="宋体" w:cs="Times New Roman"/>
                <w:bCs/>
                <w:color w:val="auto"/>
                <w:kern w:val="0"/>
                <w:sz w:val="24"/>
              </w:rPr>
              <w:t>泄漏渗透到地下而造成地下水、土壤污染情况。本项目在</w:t>
            </w:r>
            <w:r>
              <w:rPr>
                <w:rFonts w:hint="eastAsia" w:hAnsi="宋体" w:cs="Times New Roman"/>
                <w:bCs/>
                <w:color w:val="auto"/>
                <w:kern w:val="0"/>
                <w:sz w:val="24"/>
                <w:lang w:val="en-US" w:eastAsia="zh-CN"/>
              </w:rPr>
              <w:t>仓库内</w:t>
            </w:r>
            <w:r>
              <w:rPr>
                <w:rFonts w:hint="eastAsia" w:ascii="Times New Roman" w:hAnsi="宋体" w:cs="Times New Roman"/>
                <w:bCs/>
                <w:color w:val="auto"/>
                <w:kern w:val="0"/>
                <w:sz w:val="24"/>
              </w:rPr>
              <w:t>区内地面采取 2.0mm 光面HDPE 防渗膜，因此对土壤和地下水产生污染的可能性极小。</w:t>
            </w:r>
          </w:p>
          <w:p>
            <w:pPr>
              <w:numPr>
                <w:ilvl w:val="0"/>
                <w:numId w:val="0"/>
              </w:numPr>
              <w:spacing w:line="360" w:lineRule="auto"/>
              <w:ind w:firstLine="480" w:firstLineChars="200"/>
              <w:rPr>
                <w:rFonts w:hint="eastAsia" w:ascii="Times New Roman" w:hAnsi="宋体" w:cs="Times New Roman"/>
                <w:bCs/>
                <w:color w:val="auto"/>
                <w:kern w:val="0"/>
                <w:sz w:val="24"/>
              </w:rPr>
            </w:pPr>
            <w:r>
              <w:rPr>
                <w:rFonts w:hint="eastAsia" w:ascii="Times New Roman" w:hAnsi="宋体" w:cs="Times New Roman"/>
                <w:bCs/>
                <w:color w:val="auto"/>
                <w:kern w:val="0"/>
                <w:sz w:val="24"/>
              </w:rPr>
              <w:t>4、防火措施在正常情况下，一般不易发生火灾，只有在操作失误、违反规程、管理不当及其它非正常生产情况或意外事故状态下，才可能由各种因素导致火灾发生。因此为了防止火灾的发生，或减少火灾发生造成的损失，根据“预防为主，防消结合”的方针，本工程在消防设计上应主要考虑以下几点：(1) 仓库建设均符合消防要求，符合相应的防火等级；(2) 在仓库设置消防栓、消防沙等消防设施；(3) 按要求设置警示牌及火灾报警装置。</w:t>
            </w:r>
          </w:p>
          <w:p>
            <w:pPr>
              <w:numPr>
                <w:ilvl w:val="0"/>
                <w:numId w:val="0"/>
              </w:numPr>
              <w:spacing w:line="360" w:lineRule="auto"/>
              <w:ind w:firstLine="480" w:firstLineChars="200"/>
              <w:rPr>
                <w:rFonts w:hint="eastAsia" w:ascii="Times New Roman" w:hAnsi="宋体" w:cs="Times New Roman"/>
                <w:color w:val="auto"/>
                <w:sz w:val="24"/>
              </w:rPr>
            </w:pPr>
            <w:r>
              <w:rPr>
                <w:rFonts w:hint="eastAsia" w:ascii="Times New Roman" w:hAnsi="宋体" w:cs="Times New Roman"/>
                <w:color w:val="auto"/>
                <w:sz w:val="24"/>
              </w:rPr>
              <w:t>5、暴雨时外部雨水进入厂内防范措施</w:t>
            </w:r>
            <w:r>
              <w:rPr>
                <w:rFonts w:hint="eastAsia" w:hAnsi="宋体" w:cs="Times New Roman"/>
                <w:color w:val="auto"/>
                <w:sz w:val="24"/>
                <w:lang w:eastAsia="zh-CN"/>
              </w:rPr>
              <w:t>：</w:t>
            </w:r>
            <w:r>
              <w:rPr>
                <w:rFonts w:hint="eastAsia" w:ascii="Times New Roman" w:hAnsi="宋体" w:cs="Times New Roman"/>
                <w:color w:val="auto"/>
                <w:sz w:val="24"/>
              </w:rPr>
              <w:t>本项目位于</w:t>
            </w:r>
            <w:r>
              <w:rPr>
                <w:rFonts w:hint="eastAsia" w:hAnsi="宋体" w:cs="Times New Roman"/>
                <w:color w:val="auto"/>
                <w:sz w:val="24"/>
                <w:lang w:val="en-US" w:eastAsia="zh-CN"/>
              </w:rPr>
              <w:t>鲁山首创生物质能源有限公司现有生物质料棚</w:t>
            </w:r>
            <w:r>
              <w:rPr>
                <w:rFonts w:hint="eastAsia" w:ascii="Times New Roman" w:hAnsi="宋体" w:cs="Times New Roman"/>
                <w:color w:val="auto"/>
                <w:sz w:val="24"/>
              </w:rPr>
              <w:t>，厂区设有雨水管网，</w:t>
            </w:r>
            <w:r>
              <w:rPr>
                <w:rFonts w:hint="eastAsia" w:hAnsi="宋体" w:cs="Times New Roman"/>
                <w:color w:val="auto"/>
                <w:sz w:val="24"/>
                <w:lang w:val="en-US" w:eastAsia="zh-CN"/>
              </w:rPr>
              <w:t>初期雨水经现有雨水收集池收集，且本项目库内大门设置堵截裙角，</w:t>
            </w:r>
            <w:r>
              <w:rPr>
                <w:rFonts w:hint="eastAsia" w:ascii="Times New Roman" w:hAnsi="宋体" w:cs="Times New Roman"/>
                <w:color w:val="auto"/>
                <w:sz w:val="24"/>
              </w:rPr>
              <w:t>雨水进入</w:t>
            </w:r>
            <w:r>
              <w:rPr>
                <w:rFonts w:hint="eastAsia" w:hAnsi="宋体" w:cs="Times New Roman"/>
                <w:color w:val="auto"/>
                <w:sz w:val="24"/>
                <w:lang w:val="en-US" w:eastAsia="zh-CN"/>
              </w:rPr>
              <w:t>库</w:t>
            </w:r>
            <w:r>
              <w:rPr>
                <w:rFonts w:hint="eastAsia" w:ascii="Times New Roman" w:hAnsi="宋体" w:cs="Times New Roman"/>
                <w:color w:val="auto"/>
                <w:sz w:val="24"/>
              </w:rPr>
              <w:t>内的可能性</w:t>
            </w:r>
            <w:r>
              <w:rPr>
                <w:rFonts w:hint="eastAsia" w:hAnsi="宋体" w:cs="Times New Roman"/>
                <w:color w:val="auto"/>
                <w:sz w:val="24"/>
                <w:lang w:val="en-US" w:eastAsia="zh-CN"/>
              </w:rPr>
              <w:t>极</w:t>
            </w:r>
            <w:r>
              <w:rPr>
                <w:rFonts w:hint="eastAsia" w:ascii="Times New Roman" w:hAnsi="宋体" w:cs="Times New Roman"/>
                <w:color w:val="auto"/>
                <w:sz w:val="24"/>
              </w:rPr>
              <w:t>低，正常情况下雨水不会进入</w:t>
            </w:r>
            <w:r>
              <w:rPr>
                <w:rFonts w:hint="eastAsia" w:hAnsi="宋体" w:cs="Times New Roman"/>
                <w:color w:val="auto"/>
                <w:sz w:val="24"/>
                <w:lang w:val="en-US" w:eastAsia="zh-CN"/>
              </w:rPr>
              <w:t>暂存库</w:t>
            </w:r>
            <w:r>
              <w:rPr>
                <w:rFonts w:hint="eastAsia" w:ascii="Times New Roman" w:hAnsi="宋体" w:cs="Times New Roman"/>
                <w:color w:val="auto"/>
                <w:sz w:val="24"/>
              </w:rPr>
              <w:t>内。</w:t>
            </w:r>
          </w:p>
          <w:p>
            <w:pPr>
              <w:spacing w:line="360" w:lineRule="auto"/>
              <w:ind w:firstLine="480" w:firstLineChars="200"/>
              <w:rPr>
                <w:rFonts w:hint="default" w:hAnsi="宋体" w:cs="Times New Roman"/>
                <w:color w:val="auto"/>
                <w:sz w:val="24"/>
                <w:u w:val="single"/>
                <w:lang w:val="en-US" w:eastAsia="zh-CN"/>
              </w:rPr>
            </w:pPr>
            <w:r>
              <w:rPr>
                <w:rFonts w:hint="eastAsia" w:hAnsi="宋体" w:cs="Times New Roman"/>
                <w:color w:val="auto"/>
                <w:sz w:val="24"/>
                <w:u w:val="single"/>
                <w:lang w:val="en-US" w:eastAsia="zh-CN"/>
              </w:rPr>
              <w:t>6、环保设施异常风险防范措施：建立厂内风险防范措施制度，加强环保设施风险排查，及维护管理，在环保设施异常时及时进行维修，缩短异常时间。</w:t>
            </w:r>
          </w:p>
          <w:p>
            <w:pPr>
              <w:spacing w:line="360" w:lineRule="auto"/>
              <w:ind w:firstLine="480" w:firstLineChars="200"/>
              <w:rPr>
                <w:rFonts w:hint="eastAsia" w:ascii="Times New Roman" w:hAnsi="宋体" w:cs="Times New Roman"/>
                <w:color w:val="auto"/>
                <w:sz w:val="24"/>
              </w:rPr>
            </w:pPr>
            <w:r>
              <w:rPr>
                <w:rFonts w:hint="eastAsia" w:hAnsi="宋体" w:cs="Times New Roman"/>
                <w:color w:val="auto"/>
                <w:sz w:val="24"/>
                <w:lang w:eastAsia="zh-CN"/>
              </w:rPr>
              <w:t>（</w:t>
            </w:r>
            <w:r>
              <w:rPr>
                <w:rFonts w:hint="eastAsia" w:hAnsi="宋体" w:cs="Times New Roman"/>
                <w:color w:val="auto"/>
                <w:sz w:val="24"/>
                <w:lang w:val="en-US" w:eastAsia="zh-CN"/>
              </w:rPr>
              <w:t>4</w:t>
            </w:r>
            <w:r>
              <w:rPr>
                <w:rFonts w:hint="eastAsia" w:hAnsi="宋体" w:cs="Times New Roman"/>
                <w:color w:val="auto"/>
                <w:sz w:val="24"/>
                <w:lang w:eastAsia="zh-CN"/>
              </w:rPr>
              <w:t>）</w:t>
            </w:r>
            <w:r>
              <w:rPr>
                <w:rFonts w:ascii="Times New Roman" w:hAnsi="宋体" w:cs="Times New Roman"/>
                <w:b/>
                <w:bCs/>
                <w:color w:val="auto"/>
                <w:sz w:val="24"/>
              </w:rPr>
              <w:t>环境风险评价结论</w:t>
            </w:r>
          </w:p>
          <w:p>
            <w:pPr>
              <w:spacing w:line="520" w:lineRule="exact"/>
              <w:ind w:firstLine="480" w:firstLineChars="200"/>
              <w:rPr>
                <w:rFonts w:ascii="Times New Roman" w:hAnsi="Times New Roman" w:cs="Times New Roman"/>
                <w:bCs/>
                <w:color w:val="auto"/>
                <w:sz w:val="24"/>
                <w:szCs w:val="20"/>
              </w:rPr>
            </w:pPr>
            <w:r>
              <w:rPr>
                <w:rFonts w:hint="eastAsia" w:ascii="Times New Roman" w:hAnsi="宋体" w:cs="Times New Roman"/>
                <w:color w:val="auto"/>
                <w:sz w:val="24"/>
              </w:rPr>
              <w:t>综上，项目可能的风险事故主要是飞灰贮存库发生泄漏事故和转运过程中发生泄漏导致环境污染事故。项目可能的风险事故主要为存放物料的单元发生泄漏事故，导致地下水、土壤环境污染风险，建设方运营中应落实工程和环评的相关要求和建议，建立安全生产规章制度，配备相关应急设备，认真实施，减小风险事故对环境的影响。</w:t>
            </w:r>
            <w:r>
              <w:rPr>
                <w:rFonts w:ascii="Times New Roman" w:hAnsi="宋体" w:cs="Times New Roman"/>
                <w:bCs/>
                <w:color w:val="auto"/>
                <w:sz w:val="24"/>
                <w:szCs w:val="20"/>
              </w:rPr>
              <w:t>通过上述分析，建设项目环境风险分析内容见表</w:t>
            </w:r>
            <w:r>
              <w:rPr>
                <w:rFonts w:hint="eastAsia" w:cs="Times New Roman"/>
                <w:bCs/>
                <w:color w:val="auto"/>
                <w:sz w:val="24"/>
                <w:szCs w:val="20"/>
                <w:lang w:val="en-US" w:eastAsia="zh-CN"/>
              </w:rPr>
              <w:t>48</w:t>
            </w:r>
            <w:r>
              <w:rPr>
                <w:rFonts w:ascii="Times New Roman" w:hAnsi="宋体" w:cs="Times New Roman"/>
                <w:bCs/>
                <w:color w:val="auto"/>
                <w:sz w:val="24"/>
                <w:szCs w:val="20"/>
              </w:rPr>
              <w:t>。</w:t>
            </w:r>
          </w:p>
          <w:p>
            <w:pPr>
              <w:jc w:val="center"/>
              <w:rPr>
                <w:rFonts w:hint="eastAsia" w:ascii="Times New Roman" w:hAnsi="Times New Roman" w:eastAsia="黑体" w:cs="Times New Roman"/>
                <w:color w:val="auto"/>
                <w:kern w:val="0"/>
                <w:sz w:val="24"/>
                <w:szCs w:val="20"/>
                <w:lang w:val="en-US" w:eastAsia="zh-CN" w:bidi="zh-CN"/>
              </w:rPr>
            </w:pPr>
            <w:r>
              <w:rPr>
                <w:rFonts w:hint="eastAsia" w:ascii="Times New Roman" w:hAnsi="Times New Roman" w:eastAsia="黑体" w:cs="Times New Roman"/>
                <w:color w:val="auto"/>
                <w:kern w:val="0"/>
                <w:sz w:val="24"/>
                <w:szCs w:val="20"/>
                <w:lang w:val="en-US" w:eastAsia="zh-CN" w:bidi="zh-CN"/>
              </w:rPr>
              <w:t>表</w:t>
            </w:r>
            <w:r>
              <w:rPr>
                <w:rFonts w:hint="eastAsia" w:eastAsia="黑体" w:cs="Times New Roman"/>
                <w:color w:val="auto"/>
                <w:kern w:val="0"/>
                <w:sz w:val="24"/>
                <w:szCs w:val="20"/>
                <w:lang w:val="en-US" w:eastAsia="zh-CN" w:bidi="zh-CN"/>
              </w:rPr>
              <w:t>48</w:t>
            </w:r>
            <w:r>
              <w:rPr>
                <w:rFonts w:hint="eastAsia" w:ascii="Times New Roman" w:hAnsi="Times New Roman" w:eastAsia="黑体" w:cs="Times New Roman"/>
                <w:color w:val="auto"/>
                <w:kern w:val="0"/>
                <w:sz w:val="24"/>
                <w:szCs w:val="20"/>
                <w:lang w:val="en-US" w:eastAsia="zh-CN" w:bidi="zh-CN"/>
              </w:rPr>
              <w:t xml:space="preserve">   建设项目环境风险简单分析内容表</w:t>
            </w:r>
          </w:p>
          <w:tbl>
            <w:tblPr>
              <w:tblStyle w:val="28"/>
              <w:tblW w:w="8659" w:type="dxa"/>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822"/>
              <w:gridCol w:w="980"/>
              <w:gridCol w:w="1066"/>
              <w:gridCol w:w="1830"/>
              <w:gridCol w:w="981"/>
              <w:gridCol w:w="2980"/>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35" w:hRule="atLeast"/>
              </w:trPr>
              <w:tc>
                <w:tcPr>
                  <w:tcW w:w="1802" w:type="dxa"/>
                  <w:gridSpan w:val="2"/>
                  <w:tcBorders>
                    <w:top w:val="single" w:color="auto" w:sz="4" w:space="0"/>
                    <w:left w:val="single" w:color="auto" w:sz="0" w:space="0"/>
                  </w:tcBorders>
                  <w:vAlign w:val="center"/>
                </w:tcPr>
                <w:p>
                  <w:pPr>
                    <w:spacing w:line="360" w:lineRule="auto"/>
                    <w:jc w:val="center"/>
                    <w:rPr>
                      <w:rFonts w:ascii="Times New Roman" w:hAnsi="Times New Roman" w:cs="Times New Roman"/>
                      <w:color w:val="auto"/>
                      <w:szCs w:val="21"/>
                    </w:rPr>
                  </w:pPr>
                  <w:r>
                    <w:rPr>
                      <w:rFonts w:ascii="Times New Roman" w:hAnsi="宋体" w:cs="Times New Roman"/>
                      <w:color w:val="auto"/>
                      <w:szCs w:val="21"/>
                    </w:rPr>
                    <w:t>建设项目名称</w:t>
                  </w:r>
                </w:p>
              </w:tc>
              <w:tc>
                <w:tcPr>
                  <w:tcW w:w="6857" w:type="dxa"/>
                  <w:gridSpan w:val="4"/>
                  <w:tcBorders>
                    <w:top w:val="single" w:color="auto" w:sz="4" w:space="0"/>
                    <w:right w:val="single" w:color="auto" w:sz="4" w:space="0"/>
                  </w:tcBorders>
                  <w:vAlign w:val="center"/>
                </w:tcPr>
                <w:p>
                  <w:pPr>
                    <w:spacing w:line="360" w:lineRule="auto"/>
                    <w:jc w:val="center"/>
                    <w:rPr>
                      <w:rFonts w:ascii="Times New Roman" w:hAnsi="宋体" w:cs="Times New Roman"/>
                      <w:color w:val="auto"/>
                      <w:szCs w:val="21"/>
                    </w:rPr>
                  </w:pPr>
                  <w:r>
                    <w:rPr>
                      <w:rFonts w:hint="eastAsia" w:hAnsi="宋体" w:cs="Times New Roman"/>
                      <w:color w:val="auto"/>
                      <w:szCs w:val="21"/>
                      <w:lang w:val="en-US" w:eastAsia="zh-CN"/>
                    </w:rPr>
                    <w:t>鲁山首创环保能源有限公司</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9" w:hRule="atLeast"/>
              </w:trPr>
              <w:tc>
                <w:tcPr>
                  <w:tcW w:w="1802" w:type="dxa"/>
                  <w:gridSpan w:val="2"/>
                  <w:tcBorders>
                    <w:left w:val="single" w:color="auto" w:sz="4" w:space="0"/>
                  </w:tcBorders>
                  <w:vAlign w:val="center"/>
                </w:tcPr>
                <w:p>
                  <w:pPr>
                    <w:spacing w:line="360" w:lineRule="auto"/>
                    <w:jc w:val="center"/>
                    <w:rPr>
                      <w:rFonts w:ascii="Times New Roman" w:hAnsi="Times New Roman" w:cs="Times New Roman"/>
                      <w:color w:val="auto"/>
                      <w:szCs w:val="21"/>
                    </w:rPr>
                  </w:pPr>
                  <w:r>
                    <w:rPr>
                      <w:rFonts w:ascii="Times New Roman" w:hAnsi="宋体" w:cs="Times New Roman"/>
                      <w:color w:val="auto"/>
                      <w:szCs w:val="21"/>
                    </w:rPr>
                    <w:t>建设地点</w:t>
                  </w:r>
                </w:p>
              </w:tc>
              <w:tc>
                <w:tcPr>
                  <w:tcW w:w="1066" w:type="dxa"/>
                  <w:vAlign w:val="center"/>
                </w:tcPr>
                <w:p>
                  <w:pPr>
                    <w:spacing w:line="360" w:lineRule="auto"/>
                    <w:jc w:val="center"/>
                    <w:rPr>
                      <w:rFonts w:ascii="Times New Roman" w:hAnsi="Times New Roman" w:cs="Times New Roman"/>
                      <w:color w:val="auto"/>
                      <w:szCs w:val="21"/>
                    </w:rPr>
                  </w:pPr>
                  <w:r>
                    <w:rPr>
                      <w:rFonts w:ascii="Times New Roman" w:hAnsi="宋体" w:cs="Times New Roman"/>
                      <w:color w:val="auto"/>
                      <w:szCs w:val="21"/>
                    </w:rPr>
                    <w:t>河南省</w:t>
                  </w:r>
                </w:p>
              </w:tc>
              <w:tc>
                <w:tcPr>
                  <w:tcW w:w="1830" w:type="dxa"/>
                  <w:vAlign w:val="center"/>
                </w:tcPr>
                <w:p>
                  <w:pPr>
                    <w:spacing w:line="240" w:lineRule="auto"/>
                    <w:jc w:val="center"/>
                    <w:rPr>
                      <w:rFonts w:ascii="Times New Roman" w:hAnsi="Times New Roman" w:cs="Times New Roman"/>
                      <w:color w:val="auto"/>
                      <w:szCs w:val="21"/>
                    </w:rPr>
                  </w:pPr>
                  <w:r>
                    <w:rPr>
                      <w:rFonts w:ascii="Times New Roman" w:hAnsi="宋体" w:cs="Times New Roman"/>
                      <w:color w:val="auto"/>
                      <w:szCs w:val="21"/>
                    </w:rPr>
                    <w:t>平顶山市</w:t>
                  </w:r>
                </w:p>
              </w:tc>
              <w:tc>
                <w:tcPr>
                  <w:tcW w:w="981" w:type="dxa"/>
                  <w:vAlign w:val="center"/>
                </w:tcPr>
                <w:p>
                  <w:pPr>
                    <w:spacing w:line="240" w:lineRule="auto"/>
                    <w:jc w:val="center"/>
                    <w:rPr>
                      <w:rFonts w:ascii="Times New Roman" w:hAnsi="Times New Roman" w:cs="Times New Roman"/>
                      <w:color w:val="auto"/>
                      <w:szCs w:val="21"/>
                    </w:rPr>
                  </w:pPr>
                  <w:r>
                    <w:rPr>
                      <w:rFonts w:hint="eastAsia" w:hAnsi="宋体" w:cs="Times New Roman"/>
                      <w:color w:val="auto"/>
                      <w:szCs w:val="21"/>
                      <w:lang w:val="en-US" w:eastAsia="zh-CN"/>
                    </w:rPr>
                    <w:t>鲁山县</w:t>
                  </w:r>
                </w:p>
              </w:tc>
              <w:tc>
                <w:tcPr>
                  <w:tcW w:w="2980" w:type="dxa"/>
                  <w:tcBorders>
                    <w:right w:val="single" w:color="auto" w:sz="4" w:space="0"/>
                  </w:tcBorders>
                  <w:vAlign w:val="center"/>
                </w:tcPr>
                <w:p>
                  <w:pPr>
                    <w:spacing w:line="240" w:lineRule="auto"/>
                    <w:jc w:val="center"/>
                    <w:rPr>
                      <w:rFonts w:ascii="Times New Roman" w:hAnsi="Times New Roman" w:cs="Times New Roman"/>
                      <w:color w:val="auto"/>
                      <w:kern w:val="0"/>
                      <w:szCs w:val="21"/>
                    </w:rPr>
                  </w:pPr>
                  <w:r>
                    <w:rPr>
                      <w:rFonts w:hint="eastAsia" w:ascii="Times New Roman" w:hAnsi="宋体" w:eastAsia="宋体" w:cs="Times New Roman"/>
                      <w:color w:val="auto"/>
                      <w:szCs w:val="21"/>
                      <w:lang w:val="en-US" w:eastAsia="zh-CN"/>
                    </w:rPr>
                    <w:t>张良镇姚吴程村四组</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1802" w:type="dxa"/>
                  <w:gridSpan w:val="2"/>
                  <w:tcBorders>
                    <w:left w:val="single" w:color="auto" w:sz="4" w:space="0"/>
                  </w:tcBorders>
                  <w:vAlign w:val="center"/>
                </w:tcPr>
                <w:p>
                  <w:pPr>
                    <w:spacing w:line="360" w:lineRule="auto"/>
                    <w:jc w:val="center"/>
                    <w:rPr>
                      <w:rFonts w:ascii="Times New Roman" w:hAnsi="Times New Roman" w:cs="Times New Roman"/>
                      <w:color w:val="auto"/>
                      <w:szCs w:val="21"/>
                    </w:rPr>
                  </w:pPr>
                  <w:r>
                    <w:rPr>
                      <w:rFonts w:ascii="Times New Roman" w:hAnsi="宋体" w:cs="Times New Roman"/>
                      <w:color w:val="auto"/>
                      <w:szCs w:val="21"/>
                    </w:rPr>
                    <w:t>地理坐标</w:t>
                  </w:r>
                </w:p>
              </w:tc>
              <w:tc>
                <w:tcPr>
                  <w:tcW w:w="1066" w:type="dxa"/>
                  <w:vAlign w:val="center"/>
                </w:tcPr>
                <w:p>
                  <w:pPr>
                    <w:spacing w:line="360" w:lineRule="auto"/>
                    <w:jc w:val="center"/>
                    <w:rPr>
                      <w:rFonts w:ascii="Times New Roman" w:hAnsi="Times New Roman" w:cs="Times New Roman"/>
                      <w:color w:val="auto"/>
                      <w:szCs w:val="21"/>
                    </w:rPr>
                  </w:pPr>
                  <w:r>
                    <w:rPr>
                      <w:rFonts w:ascii="Times New Roman" w:hAnsi="宋体" w:cs="Times New Roman"/>
                      <w:color w:val="auto"/>
                      <w:szCs w:val="21"/>
                    </w:rPr>
                    <w:t>经度</w:t>
                  </w:r>
                </w:p>
              </w:tc>
              <w:tc>
                <w:tcPr>
                  <w:tcW w:w="1830" w:type="dxa"/>
                  <w:vAlign w:val="center"/>
                </w:tcPr>
                <w:p>
                  <w:pPr>
                    <w:spacing w:line="240" w:lineRule="auto"/>
                    <w:jc w:val="center"/>
                    <w:rPr>
                      <w:rFonts w:hint="eastAsia" w:ascii="Times New Roman" w:hAnsi="宋体" w:eastAsia="宋体" w:cs="Times New Roman"/>
                      <w:color w:val="auto"/>
                      <w:szCs w:val="21"/>
                      <w:lang w:val="en-US" w:eastAsia="zh-CN"/>
                    </w:rPr>
                  </w:pPr>
                  <w:r>
                    <w:rPr>
                      <w:rFonts w:hint="eastAsia" w:ascii="Times New Roman" w:hAnsi="宋体" w:eastAsia="宋体" w:cs="Times New Roman"/>
                      <w:color w:val="auto"/>
                      <w:szCs w:val="21"/>
                      <w:lang w:val="en-US" w:eastAsia="zh-CN"/>
                    </w:rPr>
                    <w:t>经度 113 度 0</w:t>
                  </w:r>
                  <w:r>
                    <w:rPr>
                      <w:rFonts w:hint="eastAsia" w:hAnsi="宋体" w:cs="Times New Roman"/>
                      <w:color w:val="auto"/>
                      <w:szCs w:val="21"/>
                      <w:lang w:val="en-US" w:eastAsia="zh-CN"/>
                    </w:rPr>
                    <w:t>1</w:t>
                  </w:r>
                  <w:r>
                    <w:rPr>
                      <w:rFonts w:hint="eastAsia" w:ascii="Times New Roman" w:hAnsi="宋体" w:eastAsia="宋体" w:cs="Times New Roman"/>
                      <w:color w:val="auto"/>
                      <w:szCs w:val="21"/>
                      <w:lang w:val="en-US" w:eastAsia="zh-CN"/>
                    </w:rPr>
                    <w:t xml:space="preserve"> 分 </w:t>
                  </w:r>
                  <w:r>
                    <w:rPr>
                      <w:rFonts w:hint="eastAsia" w:hAnsi="宋体" w:cs="Times New Roman"/>
                      <w:color w:val="auto"/>
                      <w:szCs w:val="21"/>
                      <w:lang w:val="en-US" w:eastAsia="zh-CN"/>
                    </w:rPr>
                    <w:t>84</w:t>
                  </w:r>
                  <w:r>
                    <w:rPr>
                      <w:rFonts w:hint="eastAsia" w:ascii="Times New Roman" w:hAnsi="宋体" w:eastAsia="宋体" w:cs="Times New Roman"/>
                      <w:color w:val="auto"/>
                      <w:szCs w:val="21"/>
                      <w:lang w:val="en-US" w:eastAsia="zh-CN"/>
                    </w:rPr>
                    <w:t>.</w:t>
                  </w:r>
                  <w:r>
                    <w:rPr>
                      <w:rFonts w:hint="eastAsia" w:hAnsi="宋体" w:cs="Times New Roman"/>
                      <w:color w:val="auto"/>
                      <w:szCs w:val="21"/>
                      <w:lang w:val="en-US" w:eastAsia="zh-CN"/>
                    </w:rPr>
                    <w:t>876</w:t>
                  </w:r>
                  <w:r>
                    <w:rPr>
                      <w:rFonts w:hint="eastAsia" w:ascii="Times New Roman" w:hAnsi="宋体" w:eastAsia="宋体" w:cs="Times New Roman"/>
                      <w:color w:val="auto"/>
                      <w:szCs w:val="21"/>
                      <w:lang w:val="en-US" w:eastAsia="zh-CN"/>
                    </w:rPr>
                    <w:t xml:space="preserve"> 秒 </w:t>
                  </w:r>
                </w:p>
              </w:tc>
              <w:tc>
                <w:tcPr>
                  <w:tcW w:w="981" w:type="dxa"/>
                  <w:vAlign w:val="center"/>
                </w:tcPr>
                <w:p>
                  <w:pPr>
                    <w:spacing w:line="240" w:lineRule="auto"/>
                    <w:jc w:val="center"/>
                    <w:rPr>
                      <w:rFonts w:hint="eastAsia" w:ascii="Times New Roman" w:hAnsi="宋体" w:eastAsia="宋体" w:cs="Times New Roman"/>
                      <w:color w:val="auto"/>
                      <w:szCs w:val="21"/>
                      <w:lang w:val="en-US" w:eastAsia="zh-CN"/>
                    </w:rPr>
                  </w:pPr>
                  <w:r>
                    <w:rPr>
                      <w:rFonts w:hint="eastAsia" w:ascii="Times New Roman" w:hAnsi="宋体" w:eastAsia="宋体" w:cs="Times New Roman"/>
                      <w:color w:val="auto"/>
                      <w:szCs w:val="21"/>
                      <w:lang w:val="en-US" w:eastAsia="zh-CN"/>
                    </w:rPr>
                    <w:t>纬度</w:t>
                  </w:r>
                </w:p>
              </w:tc>
              <w:tc>
                <w:tcPr>
                  <w:tcW w:w="2980" w:type="dxa"/>
                  <w:tcBorders>
                    <w:right w:val="single" w:color="auto" w:sz="4" w:space="0"/>
                  </w:tcBorders>
                  <w:vAlign w:val="center"/>
                </w:tcPr>
                <w:p>
                  <w:pPr>
                    <w:spacing w:line="240" w:lineRule="auto"/>
                    <w:jc w:val="center"/>
                    <w:rPr>
                      <w:rFonts w:hint="eastAsia" w:ascii="Times New Roman" w:hAnsi="宋体" w:eastAsia="宋体" w:cs="Times New Roman"/>
                      <w:color w:val="auto"/>
                      <w:szCs w:val="21"/>
                      <w:lang w:val="en-US" w:eastAsia="zh-CN"/>
                    </w:rPr>
                  </w:pPr>
                  <w:r>
                    <w:rPr>
                      <w:rFonts w:hint="eastAsia" w:ascii="Times New Roman" w:hAnsi="宋体" w:eastAsia="宋体" w:cs="Times New Roman"/>
                      <w:color w:val="auto"/>
                      <w:szCs w:val="21"/>
                      <w:lang w:val="en-US" w:eastAsia="zh-CN"/>
                    </w:rPr>
                    <w:t xml:space="preserve">纬度 33 度 </w:t>
                  </w:r>
                  <w:r>
                    <w:rPr>
                      <w:rFonts w:hint="eastAsia" w:hAnsi="宋体" w:cs="Times New Roman"/>
                      <w:color w:val="auto"/>
                      <w:szCs w:val="21"/>
                      <w:lang w:val="en-US" w:eastAsia="zh-CN"/>
                    </w:rPr>
                    <w:t>61</w:t>
                  </w:r>
                  <w:r>
                    <w:rPr>
                      <w:rFonts w:hint="eastAsia" w:ascii="Times New Roman" w:hAnsi="宋体" w:eastAsia="宋体" w:cs="Times New Roman"/>
                      <w:color w:val="auto"/>
                      <w:szCs w:val="21"/>
                      <w:lang w:val="en-US" w:eastAsia="zh-CN"/>
                    </w:rPr>
                    <w:t xml:space="preserve"> 分 </w:t>
                  </w:r>
                  <w:r>
                    <w:rPr>
                      <w:rFonts w:hint="eastAsia" w:hAnsi="宋体" w:cs="Times New Roman"/>
                      <w:color w:val="auto"/>
                      <w:szCs w:val="21"/>
                      <w:lang w:val="en-US" w:eastAsia="zh-CN"/>
                    </w:rPr>
                    <w:t>39</w:t>
                  </w:r>
                  <w:r>
                    <w:rPr>
                      <w:rFonts w:hint="eastAsia" w:ascii="Times New Roman" w:hAnsi="宋体" w:eastAsia="宋体" w:cs="Times New Roman"/>
                      <w:color w:val="auto"/>
                      <w:szCs w:val="21"/>
                      <w:lang w:val="en-US" w:eastAsia="zh-CN"/>
                    </w:rPr>
                    <w:t>.</w:t>
                  </w:r>
                  <w:r>
                    <w:rPr>
                      <w:rFonts w:hint="eastAsia" w:hAnsi="宋体" w:cs="Times New Roman"/>
                      <w:color w:val="auto"/>
                      <w:szCs w:val="21"/>
                      <w:lang w:val="en-US" w:eastAsia="zh-CN"/>
                    </w:rPr>
                    <w:t>214</w:t>
                  </w:r>
                  <w:r>
                    <w:rPr>
                      <w:rFonts w:hint="eastAsia" w:ascii="Times New Roman" w:hAnsi="宋体" w:eastAsia="宋体" w:cs="Times New Roman"/>
                      <w:color w:val="auto"/>
                      <w:szCs w:val="21"/>
                      <w:lang w:val="en-US" w:eastAsia="zh-CN"/>
                    </w:rPr>
                    <w:t xml:space="preserve"> 秒</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1802" w:type="dxa"/>
                  <w:gridSpan w:val="2"/>
                  <w:tcBorders>
                    <w:left w:val="single" w:color="auto" w:sz="4" w:space="0"/>
                  </w:tcBorders>
                  <w:vAlign w:val="center"/>
                </w:tcPr>
                <w:p>
                  <w:pPr>
                    <w:spacing w:line="360" w:lineRule="auto"/>
                    <w:jc w:val="center"/>
                    <w:rPr>
                      <w:rFonts w:ascii="Times New Roman" w:hAnsi="Times New Roman" w:cs="Times New Roman"/>
                      <w:color w:val="auto"/>
                      <w:szCs w:val="21"/>
                    </w:rPr>
                  </w:pPr>
                  <w:r>
                    <w:rPr>
                      <w:rFonts w:ascii="Times New Roman" w:hAnsi="宋体" w:cs="Times New Roman"/>
                      <w:color w:val="auto"/>
                      <w:szCs w:val="21"/>
                    </w:rPr>
                    <w:t>主要物质及分布</w:t>
                  </w:r>
                </w:p>
              </w:tc>
              <w:tc>
                <w:tcPr>
                  <w:tcW w:w="6857" w:type="dxa"/>
                  <w:gridSpan w:val="4"/>
                  <w:tcBorders>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eastAsia" w:hAnsi="宋体" w:cs="Times New Roman"/>
                      <w:color w:val="auto"/>
                      <w:szCs w:val="21"/>
                      <w:lang w:val="en-US" w:eastAsia="zh-CN"/>
                    </w:rPr>
                    <w:t>飞灰仓库内吨袋装飞灰</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9" w:hRule="atLeast"/>
              </w:trPr>
              <w:tc>
                <w:tcPr>
                  <w:tcW w:w="822" w:type="dxa"/>
                  <w:vMerge w:val="restart"/>
                  <w:tcBorders>
                    <w:left w:val="single" w:color="auto" w:sz="4" w:space="0"/>
                  </w:tcBorders>
                  <w:vAlign w:val="center"/>
                </w:tcPr>
                <w:p>
                  <w:pPr>
                    <w:jc w:val="center"/>
                    <w:rPr>
                      <w:rFonts w:ascii="Times New Roman" w:hAnsi="Times New Roman" w:cs="Times New Roman"/>
                      <w:color w:val="auto"/>
                      <w:szCs w:val="21"/>
                    </w:rPr>
                  </w:pPr>
                  <w:r>
                    <w:rPr>
                      <w:rFonts w:ascii="Times New Roman" w:hAnsi="宋体" w:cs="Times New Roman"/>
                      <w:color w:val="auto"/>
                      <w:szCs w:val="21"/>
                    </w:rPr>
                    <w:t>环境影响途径及后果</w:t>
                  </w:r>
                </w:p>
              </w:tc>
              <w:tc>
                <w:tcPr>
                  <w:tcW w:w="980" w:type="dxa"/>
                  <w:vAlign w:val="center"/>
                </w:tcPr>
                <w:p>
                  <w:pPr>
                    <w:jc w:val="center"/>
                    <w:rPr>
                      <w:rFonts w:ascii="Times New Roman" w:hAnsi="Times New Roman" w:cs="Times New Roman"/>
                      <w:color w:val="auto"/>
                      <w:szCs w:val="21"/>
                    </w:rPr>
                  </w:pPr>
                  <w:r>
                    <w:rPr>
                      <w:rFonts w:ascii="Times New Roman" w:hAnsi="宋体" w:cs="Times New Roman"/>
                      <w:color w:val="auto"/>
                      <w:szCs w:val="21"/>
                    </w:rPr>
                    <w:t>大气</w:t>
                  </w:r>
                </w:p>
              </w:tc>
              <w:tc>
                <w:tcPr>
                  <w:tcW w:w="6857" w:type="dxa"/>
                  <w:gridSpan w:val="4"/>
                  <w:vMerge w:val="restart"/>
                  <w:tcBorders>
                    <w:right w:val="single" w:color="auto" w:sz="4" w:space="0"/>
                  </w:tcBorders>
                  <w:vAlign w:val="center"/>
                </w:tcPr>
                <w:p>
                  <w:pPr>
                    <w:jc w:val="center"/>
                    <w:rPr>
                      <w:rFonts w:ascii="Times New Roman" w:hAnsi="Times New Roman" w:cs="Times New Roman"/>
                      <w:bCs/>
                      <w:color w:val="auto"/>
                      <w:szCs w:val="21"/>
                    </w:rPr>
                  </w:pPr>
                  <w:r>
                    <w:rPr>
                      <w:rFonts w:hint="eastAsia" w:hAnsi="宋体" w:cs="Times New Roman"/>
                      <w:bCs/>
                      <w:color w:val="auto"/>
                      <w:szCs w:val="21"/>
                      <w:lang w:val="en-US" w:eastAsia="zh-CN"/>
                    </w:rPr>
                    <w:t>(1) 飞灰吨袋在贮存库堆放，存在倒塌风险，若倒塌时吨袋破裂，将导致吨袋内的飞灰散落；(2) 危险物质泄漏引起地下水、土壤事故，危害周边环境及人员生命财产安全；(3) 危险物质转运过程中发生撒漏导致环境污染事故；(4) 暴雨情况时一旦雨水进入厂区，将对周边环境将造成较大影响。</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90" w:hRule="atLeast"/>
              </w:trPr>
              <w:tc>
                <w:tcPr>
                  <w:tcW w:w="822" w:type="dxa"/>
                  <w:vMerge w:val="continue"/>
                  <w:tcBorders>
                    <w:left w:val="single" w:color="auto" w:sz="4" w:space="0"/>
                  </w:tcBorders>
                  <w:vAlign w:val="center"/>
                </w:tcPr>
                <w:p>
                  <w:pPr>
                    <w:widowControl/>
                    <w:jc w:val="center"/>
                    <w:rPr>
                      <w:rFonts w:ascii="Times New Roman" w:hAnsi="Times New Roman" w:cs="Times New Roman"/>
                      <w:color w:val="auto"/>
                      <w:szCs w:val="21"/>
                    </w:rPr>
                  </w:pPr>
                </w:p>
              </w:tc>
              <w:tc>
                <w:tcPr>
                  <w:tcW w:w="980" w:type="dxa"/>
                  <w:vAlign w:val="center"/>
                </w:tcPr>
                <w:p>
                  <w:pPr>
                    <w:jc w:val="center"/>
                    <w:rPr>
                      <w:rFonts w:ascii="Times New Roman" w:hAnsi="Times New Roman" w:cs="Times New Roman"/>
                      <w:color w:val="auto"/>
                      <w:szCs w:val="21"/>
                    </w:rPr>
                  </w:pPr>
                  <w:r>
                    <w:rPr>
                      <w:rFonts w:ascii="Times New Roman" w:hAnsi="宋体" w:cs="Times New Roman"/>
                      <w:color w:val="auto"/>
                      <w:szCs w:val="21"/>
                    </w:rPr>
                    <w:t>地表水</w:t>
                  </w:r>
                </w:p>
              </w:tc>
              <w:tc>
                <w:tcPr>
                  <w:tcW w:w="6857" w:type="dxa"/>
                  <w:gridSpan w:val="4"/>
                  <w:vMerge w:val="continue"/>
                  <w:tcBorders>
                    <w:right w:val="single" w:color="auto" w:sz="4" w:space="0"/>
                  </w:tcBorders>
                  <w:vAlign w:val="center"/>
                </w:tcPr>
                <w:p>
                  <w:pPr>
                    <w:jc w:val="center"/>
                    <w:rPr>
                      <w:rFonts w:ascii="Times New Roman" w:hAnsi="Times New Roman" w:cs="Times New Roman"/>
                      <w:bCs/>
                      <w:color w:val="auto"/>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9" w:hRule="atLeast"/>
              </w:trPr>
              <w:tc>
                <w:tcPr>
                  <w:tcW w:w="822" w:type="dxa"/>
                  <w:vMerge w:val="continue"/>
                  <w:tcBorders>
                    <w:left w:val="single" w:color="auto" w:sz="4" w:space="0"/>
                  </w:tcBorders>
                  <w:vAlign w:val="center"/>
                </w:tcPr>
                <w:p>
                  <w:pPr>
                    <w:widowControl/>
                    <w:jc w:val="center"/>
                    <w:rPr>
                      <w:rFonts w:ascii="Times New Roman" w:hAnsi="Times New Roman" w:cs="Times New Roman"/>
                      <w:color w:val="auto"/>
                      <w:szCs w:val="21"/>
                    </w:rPr>
                  </w:pPr>
                </w:p>
              </w:tc>
              <w:tc>
                <w:tcPr>
                  <w:tcW w:w="980" w:type="dxa"/>
                  <w:vAlign w:val="center"/>
                </w:tcPr>
                <w:p>
                  <w:pPr>
                    <w:jc w:val="center"/>
                    <w:rPr>
                      <w:rFonts w:ascii="Times New Roman" w:hAnsi="Times New Roman" w:cs="Times New Roman"/>
                      <w:color w:val="auto"/>
                      <w:szCs w:val="21"/>
                    </w:rPr>
                  </w:pPr>
                  <w:r>
                    <w:rPr>
                      <w:rFonts w:ascii="Times New Roman" w:hAnsi="宋体" w:cs="Times New Roman"/>
                      <w:color w:val="auto"/>
                      <w:szCs w:val="21"/>
                    </w:rPr>
                    <w:t>地下水</w:t>
                  </w:r>
                </w:p>
              </w:tc>
              <w:tc>
                <w:tcPr>
                  <w:tcW w:w="6857" w:type="dxa"/>
                  <w:gridSpan w:val="4"/>
                  <w:vMerge w:val="continue"/>
                  <w:tcBorders>
                    <w:right w:val="single" w:color="auto" w:sz="4" w:space="0"/>
                  </w:tcBorders>
                  <w:vAlign w:val="center"/>
                </w:tcPr>
                <w:p>
                  <w:pPr>
                    <w:jc w:val="center"/>
                    <w:rPr>
                      <w:rFonts w:ascii="Times New Roman" w:hAnsi="Times New Roman" w:cs="Times New Roman"/>
                      <w:bCs/>
                      <w:color w:val="auto"/>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89" w:hRule="atLeast"/>
              </w:trPr>
              <w:tc>
                <w:tcPr>
                  <w:tcW w:w="822" w:type="dxa"/>
                  <w:vMerge w:val="restart"/>
                  <w:tcBorders>
                    <w:left w:val="single" w:color="auto" w:sz="4" w:space="0"/>
                  </w:tcBorders>
                  <w:vAlign w:val="center"/>
                </w:tcPr>
                <w:p>
                  <w:pPr>
                    <w:jc w:val="center"/>
                    <w:rPr>
                      <w:rFonts w:ascii="Times New Roman" w:hAnsi="Times New Roman" w:cs="Times New Roman"/>
                      <w:color w:val="auto"/>
                      <w:szCs w:val="21"/>
                    </w:rPr>
                  </w:pPr>
                  <w:r>
                    <w:rPr>
                      <w:rFonts w:ascii="Times New Roman" w:hAnsi="宋体" w:cs="Times New Roman"/>
                      <w:color w:val="auto"/>
                      <w:szCs w:val="21"/>
                    </w:rPr>
                    <w:t>风险防范措施要求</w:t>
                  </w:r>
                </w:p>
              </w:tc>
              <w:tc>
                <w:tcPr>
                  <w:tcW w:w="980" w:type="dxa"/>
                  <w:vAlign w:val="center"/>
                </w:tcPr>
                <w:p>
                  <w:pPr>
                    <w:jc w:val="center"/>
                    <w:rPr>
                      <w:rFonts w:ascii="Times New Roman" w:hAnsi="Times New Roman" w:cs="Times New Roman"/>
                      <w:color w:val="auto"/>
                      <w:szCs w:val="21"/>
                    </w:rPr>
                  </w:pPr>
                  <w:r>
                    <w:rPr>
                      <w:rFonts w:ascii="Times New Roman" w:hAnsi="宋体" w:cs="Times New Roman"/>
                      <w:color w:val="auto"/>
                      <w:szCs w:val="21"/>
                    </w:rPr>
                    <w:t>大气</w:t>
                  </w:r>
                </w:p>
              </w:tc>
              <w:tc>
                <w:tcPr>
                  <w:tcW w:w="6857" w:type="dxa"/>
                  <w:gridSpan w:val="4"/>
                  <w:vMerge w:val="restart"/>
                  <w:tcBorders>
                    <w:right w:val="single" w:color="auto" w:sz="4" w:space="0"/>
                  </w:tcBorders>
                  <w:vAlign w:val="center"/>
                </w:tcPr>
                <w:p>
                  <w:pPr>
                    <w:jc w:val="center"/>
                    <w:rPr>
                      <w:rFonts w:hint="eastAsia" w:ascii="Times New Roman" w:hAnsi="Times New Roman" w:eastAsia="宋体" w:cs="Times New Roman"/>
                      <w:color w:val="auto"/>
                      <w:szCs w:val="21"/>
                      <w:lang w:eastAsia="zh-CN"/>
                    </w:rPr>
                  </w:pPr>
                  <w:r>
                    <w:rPr>
                      <w:rFonts w:hint="eastAsia" w:ascii="Times New Roman" w:hAnsi="宋体" w:cs="Times New Roman"/>
                      <w:color w:val="auto"/>
                      <w:szCs w:val="21"/>
                    </w:rPr>
                    <w:t>(1) 倒塌时吨袋破裂，应及时清扫收集至吨袋内，同时做好防尘措施，避免飞灰扬散；(2) 按要求做好地面、</w:t>
                  </w:r>
                  <w:r>
                    <w:rPr>
                      <w:rFonts w:hint="eastAsia" w:hAnsi="宋体" w:cs="Times New Roman"/>
                      <w:color w:val="auto"/>
                      <w:szCs w:val="21"/>
                      <w:lang w:val="en-US" w:eastAsia="zh-CN"/>
                    </w:rPr>
                    <w:t>裙脚</w:t>
                  </w:r>
                  <w:r>
                    <w:rPr>
                      <w:rFonts w:hint="eastAsia" w:ascii="Times New Roman" w:hAnsi="宋体" w:cs="Times New Roman"/>
                      <w:color w:val="auto"/>
                      <w:szCs w:val="21"/>
                    </w:rPr>
                    <w:t xml:space="preserve">等设施防渗措施，防渗等级为重点防渗；(3) 危险废物运输途中应做好密封、覆盖等措施，防止飞灰撒漏或逸散；(4) 配备灭火器消防设备，加强人员安全意识培训，建议建设单位制定定期巡检计划并执行；做好应急设施的检修；(5) </w:t>
                  </w:r>
                  <w:r>
                    <w:rPr>
                      <w:rFonts w:hint="eastAsia" w:ascii="Times New Roman" w:hAnsi="宋体" w:eastAsia="宋体" w:cs="Times New Roman"/>
                      <w:color w:val="auto"/>
                      <w:szCs w:val="21"/>
                    </w:rPr>
                    <w:t>本项目位于</w:t>
                  </w:r>
                  <w:r>
                    <w:rPr>
                      <w:rFonts w:hint="eastAsia" w:ascii="Times New Roman" w:hAnsi="宋体" w:eastAsia="宋体" w:cs="Times New Roman"/>
                      <w:color w:val="auto"/>
                      <w:szCs w:val="21"/>
                      <w:lang w:val="en-US" w:eastAsia="zh-CN"/>
                    </w:rPr>
                    <w:t>鲁山首创生物质能源有限公司现有生物质料棚</w:t>
                  </w:r>
                  <w:r>
                    <w:rPr>
                      <w:rFonts w:hint="eastAsia" w:ascii="Times New Roman" w:hAnsi="宋体" w:eastAsia="宋体" w:cs="Times New Roman"/>
                      <w:color w:val="auto"/>
                      <w:szCs w:val="21"/>
                    </w:rPr>
                    <w:t>，厂区设有雨水管网，</w:t>
                  </w:r>
                  <w:r>
                    <w:rPr>
                      <w:rFonts w:hint="eastAsia" w:ascii="Times New Roman" w:hAnsi="宋体" w:eastAsia="宋体" w:cs="Times New Roman"/>
                      <w:color w:val="auto"/>
                      <w:szCs w:val="21"/>
                      <w:lang w:val="en-US" w:eastAsia="zh-CN"/>
                    </w:rPr>
                    <w:t>初期雨水经现有雨水收集池收集，且本项目库内大门设置堵截裙角，</w:t>
                  </w:r>
                  <w:r>
                    <w:rPr>
                      <w:rFonts w:hint="eastAsia" w:ascii="Times New Roman" w:hAnsi="宋体" w:eastAsia="宋体" w:cs="Times New Roman"/>
                      <w:color w:val="auto"/>
                      <w:szCs w:val="21"/>
                    </w:rPr>
                    <w:t>雨水进入</w:t>
                  </w:r>
                  <w:r>
                    <w:rPr>
                      <w:rFonts w:hint="eastAsia" w:ascii="Times New Roman" w:hAnsi="宋体" w:eastAsia="宋体" w:cs="Times New Roman"/>
                      <w:color w:val="auto"/>
                      <w:szCs w:val="21"/>
                      <w:lang w:val="en-US" w:eastAsia="zh-CN"/>
                    </w:rPr>
                    <w:t>库</w:t>
                  </w:r>
                  <w:r>
                    <w:rPr>
                      <w:rFonts w:hint="eastAsia" w:ascii="Times New Roman" w:hAnsi="宋体" w:eastAsia="宋体" w:cs="Times New Roman"/>
                      <w:color w:val="auto"/>
                      <w:szCs w:val="21"/>
                    </w:rPr>
                    <w:t>内的可能性</w:t>
                  </w:r>
                  <w:r>
                    <w:rPr>
                      <w:rFonts w:hint="eastAsia" w:ascii="Times New Roman" w:hAnsi="宋体" w:eastAsia="宋体" w:cs="Times New Roman"/>
                      <w:color w:val="auto"/>
                      <w:szCs w:val="21"/>
                      <w:lang w:val="en-US" w:eastAsia="zh-CN"/>
                    </w:rPr>
                    <w:t>极</w:t>
                  </w:r>
                  <w:r>
                    <w:rPr>
                      <w:rFonts w:hint="eastAsia" w:ascii="Times New Roman" w:hAnsi="宋体" w:eastAsia="宋体" w:cs="Times New Roman"/>
                      <w:color w:val="auto"/>
                      <w:szCs w:val="21"/>
                    </w:rPr>
                    <w:t>低，正常情况下雨水不会进入</w:t>
                  </w:r>
                  <w:r>
                    <w:rPr>
                      <w:rFonts w:hint="eastAsia" w:ascii="Times New Roman" w:hAnsi="宋体" w:eastAsia="宋体" w:cs="Times New Roman"/>
                      <w:color w:val="auto"/>
                      <w:szCs w:val="21"/>
                      <w:lang w:val="en-US" w:eastAsia="zh-CN"/>
                    </w:rPr>
                    <w:t>暂存库</w:t>
                  </w:r>
                  <w:r>
                    <w:rPr>
                      <w:rFonts w:hint="eastAsia" w:ascii="Times New Roman" w:hAnsi="宋体" w:eastAsia="宋体" w:cs="Times New Roman"/>
                      <w:color w:val="auto"/>
                      <w:szCs w:val="21"/>
                    </w:rPr>
                    <w:t>内。</w:t>
                  </w:r>
                  <w:r>
                    <w:rPr>
                      <w:rFonts w:hint="eastAsia" w:ascii="Times New Roman" w:hAnsi="宋体" w:eastAsia="宋体" w:cs="Times New Roman"/>
                      <w:color w:val="auto"/>
                      <w:szCs w:val="21"/>
                      <w:u w:val="single"/>
                      <w:lang w:eastAsia="zh-CN"/>
                    </w:rPr>
                    <w:t>（</w:t>
                  </w:r>
                  <w:r>
                    <w:rPr>
                      <w:rFonts w:hint="eastAsia" w:ascii="Times New Roman" w:hAnsi="宋体" w:eastAsia="宋体" w:cs="Times New Roman"/>
                      <w:color w:val="auto"/>
                      <w:szCs w:val="21"/>
                      <w:u w:val="single"/>
                      <w:lang w:val="en-US" w:eastAsia="zh-CN"/>
                    </w:rPr>
                    <w:t>6</w:t>
                  </w:r>
                  <w:r>
                    <w:rPr>
                      <w:rFonts w:hint="eastAsia" w:ascii="Times New Roman" w:hAnsi="宋体" w:eastAsia="宋体" w:cs="Times New Roman"/>
                      <w:color w:val="auto"/>
                      <w:szCs w:val="21"/>
                      <w:u w:val="single"/>
                      <w:lang w:eastAsia="zh-CN"/>
                    </w:rPr>
                    <w:t>）</w:t>
                  </w:r>
                  <w:r>
                    <w:rPr>
                      <w:rFonts w:hint="eastAsia" w:ascii="Times New Roman" w:hAnsi="宋体" w:eastAsia="宋体" w:cs="Times New Roman"/>
                      <w:color w:val="auto"/>
                      <w:szCs w:val="21"/>
                      <w:u w:val="single"/>
                      <w:lang w:val="en-US" w:eastAsia="zh-CN"/>
                    </w:rPr>
                    <w:t>建立厂内风险防范措施制度，加强环保设施风险排查，及维护管理，在环保设施异常时及时进行维修，缩短异常时间</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9" w:hRule="atLeast"/>
              </w:trPr>
              <w:tc>
                <w:tcPr>
                  <w:tcW w:w="822" w:type="dxa"/>
                  <w:vMerge w:val="continue"/>
                  <w:tcBorders>
                    <w:left w:val="single" w:color="auto" w:sz="4" w:space="0"/>
                  </w:tcBorders>
                  <w:vAlign w:val="center"/>
                </w:tcPr>
                <w:p>
                  <w:pPr>
                    <w:widowControl/>
                    <w:jc w:val="center"/>
                    <w:rPr>
                      <w:rFonts w:ascii="Times New Roman" w:hAnsi="Times New Roman" w:cs="Times New Roman"/>
                      <w:color w:val="auto"/>
                      <w:szCs w:val="21"/>
                    </w:rPr>
                  </w:pPr>
                </w:p>
              </w:tc>
              <w:tc>
                <w:tcPr>
                  <w:tcW w:w="980" w:type="dxa"/>
                  <w:vAlign w:val="center"/>
                </w:tcPr>
                <w:p>
                  <w:pPr>
                    <w:jc w:val="center"/>
                    <w:rPr>
                      <w:rFonts w:ascii="Times New Roman" w:hAnsi="Times New Roman" w:cs="Times New Roman"/>
                      <w:color w:val="auto"/>
                      <w:szCs w:val="21"/>
                    </w:rPr>
                  </w:pPr>
                  <w:r>
                    <w:rPr>
                      <w:rFonts w:ascii="Times New Roman" w:hAnsi="宋体" w:cs="Times New Roman"/>
                      <w:color w:val="auto"/>
                      <w:szCs w:val="21"/>
                    </w:rPr>
                    <w:t>地表水</w:t>
                  </w:r>
                </w:p>
              </w:tc>
              <w:tc>
                <w:tcPr>
                  <w:tcW w:w="6857" w:type="dxa"/>
                  <w:gridSpan w:val="4"/>
                  <w:vMerge w:val="continue"/>
                  <w:tcBorders>
                    <w:right w:val="single" w:color="auto" w:sz="4" w:space="0"/>
                  </w:tcBorders>
                  <w:vAlign w:val="center"/>
                </w:tcPr>
                <w:p>
                  <w:pPr>
                    <w:jc w:val="center"/>
                    <w:rPr>
                      <w:rFonts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89" w:hRule="atLeast"/>
              </w:trPr>
              <w:tc>
                <w:tcPr>
                  <w:tcW w:w="822" w:type="dxa"/>
                  <w:vMerge w:val="continue"/>
                  <w:tcBorders>
                    <w:left w:val="single" w:color="auto" w:sz="4" w:space="0"/>
                    <w:bottom w:val="single" w:color="auto" w:sz="4" w:space="0"/>
                  </w:tcBorders>
                  <w:vAlign w:val="center"/>
                </w:tcPr>
                <w:p>
                  <w:pPr>
                    <w:widowControl/>
                    <w:jc w:val="center"/>
                    <w:rPr>
                      <w:rFonts w:ascii="Times New Roman" w:hAnsi="Times New Roman" w:cs="Times New Roman"/>
                      <w:color w:val="auto"/>
                      <w:szCs w:val="21"/>
                    </w:rPr>
                  </w:pPr>
                </w:p>
              </w:tc>
              <w:tc>
                <w:tcPr>
                  <w:tcW w:w="980" w:type="dxa"/>
                  <w:tcBorders>
                    <w:bottom w:val="single" w:color="auto" w:sz="4" w:space="0"/>
                  </w:tcBorders>
                  <w:vAlign w:val="center"/>
                </w:tcPr>
                <w:p>
                  <w:pPr>
                    <w:jc w:val="center"/>
                    <w:rPr>
                      <w:rFonts w:ascii="Times New Roman" w:hAnsi="Times New Roman" w:cs="Times New Roman"/>
                      <w:color w:val="auto"/>
                      <w:szCs w:val="21"/>
                    </w:rPr>
                  </w:pPr>
                  <w:r>
                    <w:rPr>
                      <w:rFonts w:ascii="Times New Roman" w:hAnsi="宋体" w:cs="Times New Roman"/>
                      <w:color w:val="auto"/>
                      <w:szCs w:val="21"/>
                    </w:rPr>
                    <w:t>地下水</w:t>
                  </w:r>
                </w:p>
              </w:tc>
              <w:tc>
                <w:tcPr>
                  <w:tcW w:w="6857" w:type="dxa"/>
                  <w:gridSpan w:val="4"/>
                  <w:vMerge w:val="continue"/>
                  <w:tcBorders>
                    <w:bottom w:val="single" w:color="auto" w:sz="4" w:space="0"/>
                    <w:right w:val="single" w:color="auto" w:sz="4" w:space="0"/>
                  </w:tcBorders>
                  <w:vAlign w:val="center"/>
                </w:tcPr>
                <w:p>
                  <w:pPr>
                    <w:jc w:val="center"/>
                    <w:rPr>
                      <w:rFonts w:ascii="Times New Roman" w:hAnsi="Times New Roman" w:cs="Times New Roman"/>
                      <w:color w:val="auto"/>
                      <w:szCs w:val="21"/>
                    </w:rPr>
                  </w:pPr>
                </w:p>
              </w:tc>
            </w:tr>
          </w:tbl>
          <w:p>
            <w:pPr>
              <w:bidi w:val="0"/>
              <w:spacing w:line="360" w:lineRule="auto"/>
              <w:ind w:firstLine="482" w:firstLineChars="200"/>
              <w:rPr>
                <w:rFonts w:hint="eastAsia" w:ascii="宋体" w:hAnsi="宋体" w:eastAsia="宋体" w:cs="宋体"/>
                <w:b/>
                <w:color w:val="auto"/>
                <w:kern w:val="2"/>
                <w:sz w:val="24"/>
                <w:szCs w:val="24"/>
                <w:highlight w:val="none"/>
                <w:u w:val="none"/>
                <w:lang w:val="en-US" w:eastAsia="zh-CN" w:bidi="ar-SA"/>
              </w:rPr>
            </w:pPr>
            <w:r>
              <w:rPr>
                <w:rFonts w:hint="eastAsia" w:ascii="宋体" w:hAnsi="宋体" w:cs="宋体"/>
                <w:b/>
                <w:color w:val="auto"/>
                <w:kern w:val="2"/>
                <w:sz w:val="24"/>
                <w:szCs w:val="24"/>
                <w:highlight w:val="none"/>
                <w:u w:val="none"/>
                <w:lang w:val="en-US" w:eastAsia="zh-CN" w:bidi="ar-SA"/>
              </w:rPr>
              <w:t>10</w:t>
            </w:r>
            <w:r>
              <w:rPr>
                <w:rFonts w:hint="eastAsia" w:ascii="宋体" w:hAnsi="宋体" w:eastAsia="宋体" w:cs="宋体"/>
                <w:b/>
                <w:color w:val="auto"/>
                <w:kern w:val="2"/>
                <w:sz w:val="24"/>
                <w:szCs w:val="24"/>
                <w:highlight w:val="none"/>
                <w:u w:val="none"/>
                <w:lang w:val="en-US" w:eastAsia="zh-CN" w:bidi="ar-SA"/>
              </w:rPr>
              <w:t>应急预案</w:t>
            </w:r>
          </w:p>
          <w:p>
            <w:pPr>
              <w:spacing w:line="360" w:lineRule="auto"/>
              <w:ind w:firstLine="480" w:firstLineChars="200"/>
              <w:rPr>
                <w:rFonts w:ascii="Times New Roman" w:hAnsi="Times New Roman" w:eastAsia="宋体" w:cs="Times New Roman"/>
                <w:color w:val="auto"/>
                <w:kern w:val="2"/>
                <w:sz w:val="24"/>
                <w:szCs w:val="32"/>
                <w:u w:val="none"/>
                <w:lang w:val="en-US" w:eastAsia="zh-CN" w:bidi="ar-SA"/>
              </w:rPr>
            </w:pPr>
            <w:r>
              <w:rPr>
                <w:rFonts w:ascii="Times New Roman" w:hAnsi="Times New Roman" w:eastAsia="宋体" w:cs="Times New Roman"/>
                <w:color w:val="auto"/>
                <w:kern w:val="2"/>
                <w:sz w:val="24"/>
                <w:szCs w:val="32"/>
                <w:u w:val="none"/>
                <w:lang w:val="en-US" w:eastAsia="zh-CN" w:bidi="ar-SA"/>
              </w:rPr>
              <w:t>为了在发生突发环境事件时，能够及时、有序、高效地实施抢险救援工作，最大限度地减少人员伤亡和财产损失，尽快恢复正常工作秩序，建设单位应按照《建设项目环境风险评价</w:t>
            </w:r>
            <w:r>
              <w:rPr>
                <w:rFonts w:ascii="Times New Roman" w:hAnsi="Times New Roman" w:eastAsia="宋体" w:cs="Times New Roman"/>
                <w:color w:val="auto"/>
                <w:kern w:val="2"/>
                <w:sz w:val="24"/>
                <w:szCs w:val="32"/>
                <w:highlight w:val="none"/>
                <w:u w:val="none"/>
                <w:lang w:val="en-US" w:eastAsia="zh-CN" w:bidi="ar-SA"/>
              </w:rPr>
              <w:t>技术导则》</w:t>
            </w:r>
            <w:r>
              <w:rPr>
                <w:rFonts w:hint="eastAsia" w:cs="Times New Roman"/>
                <w:color w:val="auto"/>
                <w:kern w:val="2"/>
                <w:sz w:val="24"/>
                <w:szCs w:val="32"/>
                <w:highlight w:val="none"/>
                <w:u w:val="none"/>
                <w:lang w:val="en-US" w:eastAsia="zh-CN" w:bidi="ar-SA"/>
              </w:rPr>
              <w:t>HJ169-2018</w:t>
            </w:r>
            <w:r>
              <w:rPr>
                <w:rFonts w:ascii="Times New Roman" w:hAnsi="Times New Roman" w:eastAsia="宋体" w:cs="Times New Roman"/>
                <w:color w:val="auto"/>
                <w:kern w:val="2"/>
                <w:sz w:val="24"/>
                <w:szCs w:val="32"/>
                <w:u w:val="none"/>
                <w:lang w:val="en-US" w:eastAsia="zh-CN" w:bidi="ar-SA"/>
              </w:rPr>
              <w:t>、《</w:t>
            </w:r>
            <w:r>
              <w:rPr>
                <w:rFonts w:hint="eastAsia" w:ascii="Times New Roman" w:hAnsi="Times New Roman" w:eastAsia="宋体" w:cs="Times New Roman"/>
                <w:color w:val="auto"/>
                <w:kern w:val="2"/>
                <w:sz w:val="24"/>
                <w:szCs w:val="32"/>
                <w:u w:val="none"/>
                <w:lang w:val="en-US" w:eastAsia="zh-CN" w:bidi="ar-SA"/>
              </w:rPr>
              <w:t>河南</w:t>
            </w:r>
            <w:r>
              <w:rPr>
                <w:rFonts w:ascii="Times New Roman" w:hAnsi="Times New Roman" w:eastAsia="宋体" w:cs="Times New Roman"/>
                <w:color w:val="auto"/>
                <w:kern w:val="2"/>
                <w:sz w:val="24"/>
                <w:szCs w:val="32"/>
                <w:u w:val="none"/>
                <w:lang w:val="en-US" w:eastAsia="zh-CN" w:bidi="ar-SA"/>
              </w:rPr>
              <w:t>省突发环境事件应急预案编制导则（试行）（企业事业单位版）》和《企业事业单位突发环境事件应急预案备案管理办法（试行）》（环发[2015]4号）等文件的要求编制拟建项目突发环境事件应急预案，并进行备案，应急预案具体内容见表</w:t>
            </w:r>
            <w:r>
              <w:rPr>
                <w:rFonts w:hint="eastAsia" w:cs="Times New Roman"/>
                <w:color w:val="auto"/>
                <w:kern w:val="2"/>
                <w:sz w:val="24"/>
                <w:szCs w:val="32"/>
                <w:u w:val="none"/>
                <w:lang w:val="en-US" w:eastAsia="zh-CN" w:bidi="ar-SA"/>
              </w:rPr>
              <w:t>49</w:t>
            </w:r>
            <w:r>
              <w:rPr>
                <w:rFonts w:ascii="Times New Roman" w:hAnsi="Times New Roman" w:eastAsia="宋体" w:cs="Times New Roman"/>
                <w:color w:val="auto"/>
                <w:kern w:val="2"/>
                <w:sz w:val="24"/>
                <w:szCs w:val="32"/>
                <w:u w:val="none"/>
                <w:lang w:val="en-US" w:eastAsia="zh-CN" w:bidi="ar-SA"/>
              </w:rPr>
              <w:t>。</w:t>
            </w:r>
          </w:p>
          <w:p>
            <w:pPr>
              <w:jc w:val="center"/>
              <w:rPr>
                <w:rFonts w:hint="eastAsia" w:ascii="Times New Roman" w:hAnsi="Times New Roman" w:eastAsia="黑体" w:cs="Times New Roman"/>
                <w:b w:val="0"/>
                <w:color w:val="auto"/>
                <w:kern w:val="0"/>
                <w:sz w:val="24"/>
                <w:szCs w:val="20"/>
                <w:u w:val="none"/>
                <w:lang w:val="en-US" w:eastAsia="zh-CN" w:bidi="zh-CN"/>
              </w:rPr>
            </w:pPr>
            <w:r>
              <w:rPr>
                <w:rFonts w:hint="eastAsia" w:ascii="Times New Roman" w:hAnsi="Times New Roman" w:eastAsia="黑体" w:cs="Times New Roman"/>
                <w:b w:val="0"/>
                <w:color w:val="auto"/>
                <w:kern w:val="0"/>
                <w:sz w:val="24"/>
                <w:szCs w:val="20"/>
                <w:u w:val="none"/>
                <w:lang w:val="en-US" w:eastAsia="zh-CN" w:bidi="zh-CN"/>
              </w:rPr>
              <w:t>表</w:t>
            </w:r>
            <w:r>
              <w:rPr>
                <w:rFonts w:hint="eastAsia" w:eastAsia="黑体" w:cs="Times New Roman"/>
                <w:b w:val="0"/>
                <w:color w:val="auto"/>
                <w:kern w:val="0"/>
                <w:sz w:val="24"/>
                <w:szCs w:val="20"/>
                <w:u w:val="none"/>
                <w:lang w:val="en-US" w:eastAsia="zh-CN" w:bidi="zh-CN"/>
              </w:rPr>
              <w:t>49</w:t>
            </w:r>
            <w:r>
              <w:rPr>
                <w:rFonts w:hint="eastAsia" w:ascii="Times New Roman" w:hAnsi="Times New Roman" w:eastAsia="黑体" w:cs="Times New Roman"/>
                <w:b w:val="0"/>
                <w:color w:val="auto"/>
                <w:kern w:val="0"/>
                <w:sz w:val="24"/>
                <w:szCs w:val="20"/>
                <w:u w:val="none"/>
                <w:lang w:val="en-US" w:eastAsia="zh-CN" w:bidi="zh-CN"/>
              </w:rPr>
              <w:t xml:space="preserve">  应急预案内容</w:t>
            </w:r>
          </w:p>
          <w:tbl>
            <w:tblPr>
              <w:tblStyle w:val="102"/>
              <w:tblW w:w="865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800"/>
              <w:gridCol w:w="61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676" w:type="dxa"/>
                  <w:tcBorders>
                    <w:top w:val="single" w:color="auto" w:sz="4" w:space="0"/>
                    <w:left w:val="single" w:color="auto" w:sz="0" w:space="0"/>
                  </w:tcBorders>
                  <w:noWrap w:val="0"/>
                  <w:vAlign w:val="center"/>
                </w:tcPr>
                <w:p>
                  <w:pPr>
                    <w:adjustRightInd w:val="0"/>
                    <w:snapToGrid w:val="0"/>
                    <w:spacing w:line="240" w:lineRule="auto"/>
                    <w:ind w:firstLine="0" w:firstLineChars="0"/>
                    <w:jc w:val="center"/>
                    <w:rPr>
                      <w:b/>
                      <w:color w:val="auto"/>
                      <w:kern w:val="0"/>
                      <w:sz w:val="21"/>
                      <w:szCs w:val="20"/>
                      <w:u w:val="none"/>
                    </w:rPr>
                  </w:pPr>
                  <w:r>
                    <w:rPr>
                      <w:b/>
                      <w:color w:val="auto"/>
                      <w:kern w:val="0"/>
                      <w:sz w:val="21"/>
                      <w:szCs w:val="20"/>
                      <w:u w:val="none"/>
                    </w:rPr>
                    <w:t>序号</w:t>
                  </w:r>
                </w:p>
              </w:tc>
              <w:tc>
                <w:tcPr>
                  <w:tcW w:w="1800" w:type="dxa"/>
                  <w:tcBorders>
                    <w:top w:val="single" w:color="auto" w:sz="4" w:space="0"/>
                  </w:tcBorders>
                  <w:noWrap w:val="0"/>
                  <w:vAlign w:val="center"/>
                </w:tcPr>
                <w:p>
                  <w:pPr>
                    <w:adjustRightInd w:val="0"/>
                    <w:snapToGrid w:val="0"/>
                    <w:spacing w:line="240" w:lineRule="auto"/>
                    <w:ind w:firstLine="0" w:firstLineChars="0"/>
                    <w:jc w:val="center"/>
                    <w:rPr>
                      <w:b/>
                      <w:color w:val="auto"/>
                      <w:kern w:val="0"/>
                      <w:sz w:val="21"/>
                      <w:szCs w:val="20"/>
                      <w:u w:val="none"/>
                    </w:rPr>
                  </w:pPr>
                  <w:r>
                    <w:rPr>
                      <w:b/>
                      <w:color w:val="auto"/>
                      <w:kern w:val="0"/>
                      <w:sz w:val="21"/>
                      <w:szCs w:val="20"/>
                      <w:u w:val="none"/>
                    </w:rPr>
                    <w:t>项目</w:t>
                  </w:r>
                </w:p>
              </w:tc>
              <w:tc>
                <w:tcPr>
                  <w:tcW w:w="6183" w:type="dxa"/>
                  <w:tcBorders>
                    <w:top w:val="single" w:color="auto" w:sz="4" w:space="0"/>
                    <w:right w:val="single" w:color="auto" w:sz="4" w:space="0"/>
                  </w:tcBorders>
                  <w:noWrap w:val="0"/>
                  <w:vAlign w:val="center"/>
                </w:tcPr>
                <w:p>
                  <w:pPr>
                    <w:adjustRightInd w:val="0"/>
                    <w:snapToGrid w:val="0"/>
                    <w:spacing w:line="240" w:lineRule="auto"/>
                    <w:ind w:firstLine="0" w:firstLineChars="0"/>
                    <w:jc w:val="center"/>
                    <w:rPr>
                      <w:b/>
                      <w:color w:val="auto"/>
                      <w:kern w:val="0"/>
                      <w:sz w:val="21"/>
                      <w:szCs w:val="20"/>
                      <w:u w:val="none"/>
                    </w:rPr>
                  </w:pPr>
                  <w:r>
                    <w:rPr>
                      <w:b/>
                      <w:color w:val="auto"/>
                      <w:kern w:val="0"/>
                      <w:sz w:val="21"/>
                      <w:szCs w:val="20"/>
                      <w:u w:val="none"/>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总则</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明确编制目的、编制依据、适用范围、工作原则等。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2</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危险源概况</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环境风险源基本情况、周边环境状况及环境保护目标调查结果。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3</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应急计划区</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危险目标：储存区、环境保护目标等。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4</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组织机构及职责</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依据企业的规模大小和突发环境事件危害程度的级别，设置分级应急救援的组织机构。并明确各组及人员职责。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5</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预防与预警</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明确事件预警的条件、方式、方法。报警、通讯联络方式等。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6</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信息报告与通报</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明确信息报告时限和发布的程序、内容和方式。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7</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应急响应与措施</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规定预案的级别和相应的分级响应程序，明确应急措施、应急监测相关内容、应急终止响应条件等，并考虑与区域应急预案的衔接。一级—装置区；二级—全厂；三级—社会（结合园区、平顶山市体系）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2"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8</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应急救援保障</w:t>
                  </w:r>
                </w:p>
              </w:tc>
              <w:tc>
                <w:tcPr>
                  <w:tcW w:w="6183" w:type="dxa"/>
                  <w:tcBorders>
                    <w:right w:val="single" w:color="auto" w:sz="4" w:space="0"/>
                  </w:tcBorders>
                  <w:noWrap w:val="0"/>
                  <w:vAlign w:val="center"/>
                </w:tcPr>
                <w:p>
                  <w:pPr>
                    <w:jc w:val="both"/>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应急设施、设备与器材等生产装置：</w:t>
                  </w:r>
                </w:p>
                <w:p>
                  <w:pPr>
                    <w:spacing w:line="240" w:lineRule="auto"/>
                    <w:jc w:val="both"/>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（1）防火灾、爆炸事故应急设施、设备与材料，主要为消防器材</w:t>
                  </w:r>
                </w:p>
                <w:p>
                  <w:pPr>
                    <w:spacing w:line="240" w:lineRule="auto"/>
                    <w:jc w:val="both"/>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（2）防有毒有害物质外溢、扩散、泄漏，主要靠</w:t>
                  </w:r>
                  <w:r>
                    <w:rPr>
                      <w:rFonts w:hint="eastAsia" w:ascii="Times New Roman" w:hAnsi="Times New Roman" w:cs="Times New Roman"/>
                      <w:color w:val="auto"/>
                      <w:kern w:val="0"/>
                      <w:sz w:val="21"/>
                      <w:szCs w:val="20"/>
                      <w:u w:val="none"/>
                      <w:lang w:val="en-US" w:eastAsia="zh-CN" w:bidi="ar-SA"/>
                    </w:rPr>
                    <w:t>收集工具、</w:t>
                  </w:r>
                  <w:r>
                    <w:rPr>
                      <w:rFonts w:hint="eastAsia" w:ascii="Times New Roman" w:hAnsi="Times New Roman" w:eastAsia="宋体" w:cs="Times New Roman"/>
                      <w:color w:val="auto"/>
                      <w:kern w:val="0"/>
                      <w:sz w:val="21"/>
                      <w:szCs w:val="20"/>
                      <w:u w:val="none"/>
                      <w:lang w:val="en-US" w:eastAsia="zh-CN" w:bidi="ar-SA"/>
                    </w:rPr>
                    <w:t>堵漏材料等</w:t>
                  </w:r>
                </w:p>
                <w:p>
                  <w:pPr>
                    <w:spacing w:line="240" w:lineRule="auto"/>
                    <w:jc w:val="both"/>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（3）防火灾、爆炸事故应急设施、设备与材料，主要为消防器材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9</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后期处置</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明确受灾人员的安置及损失赔偿。组织专家对突发环境事件中长期环境影响进行评估，明确修复方案。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10</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应急培训和演练</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对工厂及临近地区开展公众教育、培训和发布有关信息。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11</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奖惩</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明确突发环境事件应急救援工作中奖励和处罚的条件和内容。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676" w:type="dxa"/>
                  <w:tcBorders>
                    <w:lef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12</w:t>
                  </w:r>
                </w:p>
              </w:tc>
              <w:tc>
                <w:tcPr>
                  <w:tcW w:w="1800" w:type="dxa"/>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保障措施</w:t>
                  </w:r>
                </w:p>
              </w:tc>
              <w:tc>
                <w:tcPr>
                  <w:tcW w:w="6183" w:type="dxa"/>
                  <w:tcBorders>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明确应急专项经费、应急救援需要使用的应急物资及装备、应急队伍的组成、通信与信息保障等内容。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676" w:type="dxa"/>
                  <w:tcBorders>
                    <w:left w:val="single" w:color="auto" w:sz="4" w:space="0"/>
                    <w:bottom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13</w:t>
                  </w:r>
                </w:p>
              </w:tc>
              <w:tc>
                <w:tcPr>
                  <w:tcW w:w="1800" w:type="dxa"/>
                  <w:tcBorders>
                    <w:bottom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附件</w:t>
                  </w:r>
                </w:p>
              </w:tc>
              <w:tc>
                <w:tcPr>
                  <w:tcW w:w="6183" w:type="dxa"/>
                  <w:tcBorders>
                    <w:bottom w:val="single" w:color="auto" w:sz="4" w:space="0"/>
                    <w:right w:val="single" w:color="auto" w:sz="4" w:space="0"/>
                  </w:tcBorders>
                  <w:noWrap w:val="0"/>
                  <w:vAlign w:val="center"/>
                </w:tcPr>
                <w:p>
                  <w:pPr>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与应急事故有关的多种附件材料的准备和形成。</w:t>
                  </w:r>
                </w:p>
              </w:tc>
            </w:tr>
          </w:tbl>
          <w:p>
            <w:pPr>
              <w:spacing w:line="520" w:lineRule="exact"/>
              <w:ind w:firstLine="482" w:firstLineChars="200"/>
              <w:rPr>
                <w:rFonts w:hint="eastAsia" w:hAnsi="宋体"/>
                <w:b/>
                <w:color w:val="auto"/>
                <w:sz w:val="24"/>
                <w:szCs w:val="24"/>
              </w:rPr>
            </w:pPr>
            <w:r>
              <w:rPr>
                <w:rFonts w:hint="eastAsia" w:hAnsi="宋体"/>
                <w:b/>
                <w:color w:val="auto"/>
                <w:sz w:val="24"/>
                <w:szCs w:val="24"/>
                <w:lang w:val="en-US" w:eastAsia="zh-CN"/>
              </w:rPr>
              <w:t>11</w:t>
            </w:r>
            <w:r>
              <w:rPr>
                <w:rFonts w:hint="eastAsia" w:hAnsi="宋体"/>
                <w:b/>
                <w:color w:val="auto"/>
                <w:sz w:val="24"/>
                <w:szCs w:val="24"/>
              </w:rPr>
              <w:t>环境管理与</w:t>
            </w:r>
            <w:r>
              <w:rPr>
                <w:rFonts w:hint="eastAsia"/>
                <w:b/>
                <w:bCs/>
                <w:color w:val="auto"/>
                <w:sz w:val="24"/>
                <w:lang w:val="zh-CN"/>
              </w:rPr>
              <w:t>监测</w:t>
            </w:r>
          </w:p>
          <w:p>
            <w:pPr>
              <w:autoSpaceDE w:val="0"/>
              <w:autoSpaceDN w:val="0"/>
              <w:adjustRightInd w:val="0"/>
              <w:spacing w:line="520" w:lineRule="exact"/>
              <w:ind w:firstLine="480" w:firstLineChars="200"/>
              <w:rPr>
                <w:rFonts w:hint="eastAsia"/>
                <w:bCs/>
                <w:color w:val="auto"/>
                <w:sz w:val="24"/>
                <w:lang w:val="zh-CN"/>
              </w:rPr>
            </w:pPr>
            <w:r>
              <w:rPr>
                <w:rFonts w:hint="eastAsia"/>
                <w:bCs/>
                <w:color w:val="auto"/>
                <w:sz w:val="24"/>
                <w:lang w:val="zh-CN"/>
              </w:rPr>
              <w:t>（1）环境管理</w:t>
            </w:r>
          </w:p>
          <w:p>
            <w:pPr>
              <w:autoSpaceDE w:val="0"/>
              <w:autoSpaceDN w:val="0"/>
              <w:adjustRightInd w:val="0"/>
              <w:spacing w:line="520" w:lineRule="exact"/>
              <w:ind w:firstLine="480" w:firstLineChars="200"/>
              <w:rPr>
                <w:rFonts w:hint="eastAsia"/>
                <w:bCs/>
                <w:color w:val="auto"/>
                <w:sz w:val="24"/>
                <w:lang w:val="zh-CN"/>
              </w:rPr>
            </w:pPr>
            <w:r>
              <w:rPr>
                <w:rFonts w:hint="eastAsia"/>
                <w:bCs/>
                <w:color w:val="auto"/>
                <w:sz w:val="24"/>
                <w:lang w:val="zh-CN"/>
              </w:rPr>
              <w:t>加强环境管理是保证污染源稳定达标排放和污染治理设施正常运转的必要手段，建设单位环境管理直接关系到区域环境质量状况。因此，建设单位必须加强环境管理工作，实行对环境污染的有效控制与管理。</w:t>
            </w:r>
          </w:p>
          <w:p>
            <w:pPr>
              <w:autoSpaceDE w:val="0"/>
              <w:autoSpaceDN w:val="0"/>
              <w:adjustRightInd w:val="0"/>
              <w:spacing w:line="520" w:lineRule="exact"/>
              <w:ind w:firstLine="480" w:firstLineChars="200"/>
              <w:rPr>
                <w:color w:val="auto"/>
                <w:sz w:val="24"/>
                <w:lang w:val="zh-CN"/>
              </w:rPr>
            </w:pPr>
            <w:r>
              <w:rPr>
                <w:rFonts w:hint="eastAsia" w:ascii="宋体" w:hAnsi="宋体" w:cs="宋体"/>
                <w:color w:val="auto"/>
                <w:sz w:val="24"/>
              </w:rPr>
              <w:t>①</w:t>
            </w:r>
            <w:r>
              <w:rPr>
                <w:rFonts w:hint="eastAsia"/>
                <w:color w:val="auto"/>
                <w:sz w:val="24"/>
                <w:lang w:val="zh-CN"/>
              </w:rPr>
              <w:t>认真落实“</w:t>
            </w:r>
            <w:r>
              <w:rPr>
                <w:color w:val="auto"/>
                <w:sz w:val="24"/>
                <w:lang w:val="zh-CN"/>
              </w:rPr>
              <w:t>三同时</w:t>
            </w:r>
            <w:r>
              <w:rPr>
                <w:rFonts w:hint="eastAsia"/>
                <w:color w:val="auto"/>
                <w:sz w:val="24"/>
                <w:lang w:val="zh-CN"/>
              </w:rPr>
              <w:t>”制度</w:t>
            </w:r>
            <w:r>
              <w:rPr>
                <w:color w:val="auto"/>
                <w:sz w:val="24"/>
                <w:lang w:val="zh-CN"/>
              </w:rPr>
              <w:t>，各项环境治理设施须与主体工程同时设计，同时施工、同时投入使用；</w:t>
            </w:r>
          </w:p>
          <w:p>
            <w:pPr>
              <w:spacing w:line="520" w:lineRule="exact"/>
              <w:ind w:firstLine="480" w:firstLineChars="200"/>
              <w:rPr>
                <w:color w:val="auto"/>
                <w:sz w:val="24"/>
              </w:rPr>
            </w:pPr>
            <w:r>
              <w:rPr>
                <w:rFonts w:hint="eastAsia"/>
                <w:color w:val="auto"/>
                <w:sz w:val="24"/>
              </w:rPr>
              <w:t>②应建立环保设施定期检查制度和污染治理措施岗位责任制，实行污染治理岗位运行记录制度，以确保污染治理设施稳定高效运行。当污染治理设施发生故障时，应及时组织抢修，并根据实际情况采取措施，防止污染事故的发生。</w:t>
            </w:r>
          </w:p>
          <w:p>
            <w:pPr>
              <w:spacing w:line="520" w:lineRule="exact"/>
              <w:ind w:firstLine="480" w:firstLineChars="200"/>
              <w:rPr>
                <w:rFonts w:hint="eastAsia"/>
                <w:color w:val="auto"/>
                <w:sz w:val="24"/>
              </w:rPr>
            </w:pPr>
            <w:r>
              <w:rPr>
                <w:rFonts w:hAnsi="宋体"/>
                <w:color w:val="auto"/>
                <w:sz w:val="24"/>
              </w:rPr>
              <w:t>③</w:t>
            </w:r>
            <w:r>
              <w:rPr>
                <w:color w:val="auto"/>
                <w:sz w:val="24"/>
              </w:rPr>
              <w:t>生产过程环境管理</w:t>
            </w:r>
            <w:r>
              <w:rPr>
                <w:rFonts w:hint="eastAsia"/>
                <w:color w:val="auto"/>
                <w:sz w:val="24"/>
              </w:rPr>
              <w:t>：</w:t>
            </w:r>
            <w:r>
              <w:rPr>
                <w:color w:val="auto"/>
                <w:sz w:val="24"/>
              </w:rPr>
              <w:t>项目投产后，建设方</w:t>
            </w:r>
            <w:r>
              <w:rPr>
                <w:rFonts w:hint="eastAsia"/>
                <w:color w:val="auto"/>
                <w:sz w:val="24"/>
              </w:rPr>
              <w:t>应</w:t>
            </w:r>
            <w:r>
              <w:rPr>
                <w:color w:val="auto"/>
                <w:sz w:val="24"/>
              </w:rPr>
              <w:t>加强对生产过程的全程监管与控制，不断改进和完善生产工艺，降低能耗及物耗</w:t>
            </w:r>
            <w:r>
              <w:rPr>
                <w:rFonts w:hint="eastAsia"/>
                <w:color w:val="auto"/>
                <w:sz w:val="24"/>
              </w:rPr>
              <w:t>，</w:t>
            </w:r>
            <w:r>
              <w:rPr>
                <w:color w:val="auto"/>
                <w:sz w:val="24"/>
              </w:rPr>
              <w:t>努力降低残次品率，力争达到“节能、减排、降耗、增效”的清洁生产指标要求。</w:t>
            </w:r>
          </w:p>
          <w:p>
            <w:pPr>
              <w:spacing w:line="520" w:lineRule="exact"/>
              <w:ind w:firstLine="480" w:firstLineChars="200"/>
              <w:rPr>
                <w:rFonts w:hint="eastAsia" w:ascii="Times New Roman" w:hAnsi="Times New Roman" w:eastAsia="宋体" w:cs="Times New Roman"/>
                <w:color w:val="auto"/>
                <w:sz w:val="24"/>
                <w:szCs w:val="24"/>
              </w:rPr>
            </w:pPr>
            <w:r>
              <w:rPr>
                <w:rFonts w:hint="eastAsia"/>
                <w:color w:val="auto"/>
                <w:sz w:val="24"/>
              </w:rPr>
              <w:t>④</w:t>
            </w:r>
            <w:r>
              <w:rPr>
                <w:color w:val="auto"/>
                <w:sz w:val="24"/>
              </w:rPr>
              <w:t>企业应建立台账，记录废气收集处理系统的主要运行和维护信息，如运行时间、废气处理量、操作温度、停留时间等关键运行参数。台账保存期限不少于</w:t>
            </w:r>
            <w:r>
              <w:rPr>
                <w:rFonts w:hint="eastAsia"/>
                <w:color w:val="auto"/>
                <w:sz w:val="24"/>
                <w:lang w:val="en-US" w:eastAsia="zh-CN"/>
              </w:rPr>
              <w:t>5</w:t>
            </w:r>
            <w:r>
              <w:rPr>
                <w:color w:val="auto"/>
                <w:sz w:val="24"/>
              </w:rPr>
              <w:t>年</w:t>
            </w:r>
            <w:r>
              <w:rPr>
                <w:rFonts w:hint="eastAsia"/>
                <w:color w:val="auto"/>
                <w:sz w:val="24"/>
              </w:rPr>
              <w:t>。</w:t>
            </w:r>
          </w:p>
          <w:p>
            <w:pPr>
              <w:spacing w:line="520" w:lineRule="exact"/>
              <w:ind w:firstLine="480" w:firstLineChars="200"/>
              <w:rPr>
                <w:rFonts w:hint="eastAsia"/>
                <w:color w:val="auto"/>
                <w:sz w:val="24"/>
              </w:rPr>
            </w:pPr>
            <w:r>
              <w:rPr>
                <w:rFonts w:hint="eastAsia"/>
                <w:color w:val="auto"/>
                <w:sz w:val="24"/>
              </w:rPr>
              <w:t>（2）环境监测</w:t>
            </w:r>
          </w:p>
          <w:p>
            <w:pPr>
              <w:spacing w:line="520" w:lineRule="exact"/>
              <w:ind w:firstLine="480" w:firstLineChars="200"/>
              <w:rPr>
                <w:color w:val="auto"/>
                <w:sz w:val="24"/>
                <w:szCs w:val="24"/>
              </w:rPr>
            </w:pPr>
            <w:r>
              <w:rPr>
                <w:color w:val="auto"/>
                <w:sz w:val="24"/>
                <w:szCs w:val="24"/>
              </w:rPr>
              <w:t>环境监测是工业污染防治的依据和环境管理的基础，加强污染监控工作是了解和掌握企业排污特征，实施</w:t>
            </w:r>
            <w:r>
              <w:rPr>
                <w:rFonts w:hint="eastAsia"/>
                <w:color w:val="auto"/>
                <w:sz w:val="24"/>
                <w:szCs w:val="24"/>
              </w:rPr>
              <w:t>“</w:t>
            </w:r>
            <w:r>
              <w:rPr>
                <w:color w:val="auto"/>
                <w:sz w:val="24"/>
                <w:szCs w:val="24"/>
              </w:rPr>
              <w:t>生产全过程污染控制</w:t>
            </w:r>
            <w:r>
              <w:rPr>
                <w:rFonts w:hint="eastAsia"/>
                <w:color w:val="auto"/>
                <w:sz w:val="24"/>
                <w:szCs w:val="24"/>
              </w:rPr>
              <w:t>”</w:t>
            </w:r>
            <w:r>
              <w:rPr>
                <w:color w:val="auto"/>
                <w:sz w:val="24"/>
                <w:szCs w:val="24"/>
              </w:rPr>
              <w:t>的重要措施，是为环境管理提供科学依据的基础性工作，是执行环保法规、评价环境质量、判断环保治理措施运行效果的重要手段。</w:t>
            </w:r>
          </w:p>
          <w:p>
            <w:pPr>
              <w:adjustRightInd w:val="0"/>
              <w:snapToGrid w:val="0"/>
              <w:spacing w:line="520" w:lineRule="exact"/>
              <w:ind w:firstLine="480" w:firstLineChars="200"/>
              <w:jc w:val="center"/>
              <w:rPr>
                <w:rFonts w:eastAsia="黑体"/>
                <w:bCs/>
                <w:color w:val="auto"/>
                <w:sz w:val="24"/>
              </w:rPr>
            </w:pPr>
            <w:r>
              <w:rPr>
                <w:rFonts w:hAnsi="黑体" w:eastAsia="黑体"/>
                <w:bCs/>
                <w:color w:val="auto"/>
                <w:sz w:val="24"/>
                <w:szCs w:val="24"/>
              </w:rPr>
              <w:t>表</w:t>
            </w:r>
            <w:r>
              <w:rPr>
                <w:rFonts w:hint="eastAsia" w:hAnsi="黑体" w:eastAsia="黑体"/>
                <w:bCs/>
                <w:color w:val="auto"/>
                <w:sz w:val="24"/>
                <w:szCs w:val="24"/>
                <w:lang w:val="en-US" w:eastAsia="zh-CN"/>
              </w:rPr>
              <w:t>50</w:t>
            </w:r>
            <w:r>
              <w:rPr>
                <w:rFonts w:eastAsia="黑体"/>
                <w:bCs/>
                <w:color w:val="auto"/>
                <w:sz w:val="24"/>
                <w:szCs w:val="24"/>
              </w:rPr>
              <w:t xml:space="preserve"> </w:t>
            </w:r>
            <w:r>
              <w:rPr>
                <w:rFonts w:hint="eastAsia" w:eastAsia="黑体"/>
                <w:bCs/>
                <w:color w:val="auto"/>
                <w:sz w:val="24"/>
                <w:szCs w:val="24"/>
              </w:rPr>
              <w:t xml:space="preserve">        </w:t>
            </w:r>
            <w:r>
              <w:rPr>
                <w:rFonts w:eastAsia="黑体"/>
                <w:bCs/>
                <w:color w:val="auto"/>
                <w:sz w:val="24"/>
                <w:szCs w:val="24"/>
              </w:rPr>
              <w:t xml:space="preserve"> </w:t>
            </w:r>
            <w:r>
              <w:rPr>
                <w:rFonts w:hint="eastAsia" w:eastAsia="黑体"/>
                <w:bCs/>
                <w:color w:val="auto"/>
                <w:sz w:val="24"/>
                <w:szCs w:val="24"/>
              </w:rPr>
              <w:t xml:space="preserve">        </w:t>
            </w:r>
            <w:r>
              <w:rPr>
                <w:rFonts w:eastAsia="黑体"/>
                <w:bCs/>
                <w:color w:val="auto"/>
                <w:sz w:val="24"/>
                <w:highlight w:val="none"/>
              </w:rPr>
              <w:t xml:space="preserve"> 营</w:t>
            </w:r>
            <w:r>
              <w:rPr>
                <w:rFonts w:eastAsia="黑体"/>
                <w:bCs/>
                <w:color w:val="auto"/>
                <w:sz w:val="24"/>
              </w:rPr>
              <w:t>运期环境监测计划</w:t>
            </w:r>
          </w:p>
          <w:tbl>
            <w:tblPr>
              <w:tblStyle w:val="28"/>
              <w:tblW w:w="869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50"/>
              <w:gridCol w:w="1078"/>
              <w:gridCol w:w="1556"/>
              <w:gridCol w:w="1252"/>
              <w:gridCol w:w="27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247" w:type="pct"/>
                  <w:noWrap w:val="0"/>
                  <w:vAlign w:val="center"/>
                </w:tcPr>
                <w:p>
                  <w:pPr>
                    <w:spacing w:line="360" w:lineRule="exact"/>
                    <w:jc w:val="center"/>
                    <w:textAlignment w:val="baseline"/>
                    <w:rPr>
                      <w:color w:val="auto"/>
                      <w:szCs w:val="21"/>
                    </w:rPr>
                  </w:pPr>
                  <w:r>
                    <w:rPr>
                      <w:color w:val="auto"/>
                      <w:szCs w:val="21"/>
                    </w:rPr>
                    <w:t>类别</w:t>
                  </w:r>
                </w:p>
              </w:tc>
              <w:tc>
                <w:tcPr>
                  <w:tcW w:w="949" w:type="pct"/>
                  <w:noWrap w:val="0"/>
                  <w:vAlign w:val="center"/>
                </w:tcPr>
                <w:p>
                  <w:pPr>
                    <w:spacing w:line="360" w:lineRule="exact"/>
                    <w:jc w:val="center"/>
                    <w:textAlignment w:val="baseline"/>
                    <w:rPr>
                      <w:color w:val="auto"/>
                      <w:szCs w:val="21"/>
                    </w:rPr>
                  </w:pPr>
                  <w:r>
                    <w:rPr>
                      <w:color w:val="auto"/>
                      <w:szCs w:val="21"/>
                    </w:rPr>
                    <w:t>监测点位</w:t>
                  </w:r>
                </w:p>
              </w:tc>
              <w:tc>
                <w:tcPr>
                  <w:tcW w:w="620" w:type="pct"/>
                  <w:noWrap w:val="0"/>
                  <w:vAlign w:val="center"/>
                </w:tcPr>
                <w:p>
                  <w:pPr>
                    <w:spacing w:line="360" w:lineRule="exact"/>
                    <w:jc w:val="center"/>
                    <w:textAlignment w:val="baseline"/>
                    <w:rPr>
                      <w:color w:val="auto"/>
                      <w:szCs w:val="21"/>
                    </w:rPr>
                  </w:pPr>
                  <w:r>
                    <w:rPr>
                      <w:color w:val="auto"/>
                      <w:szCs w:val="21"/>
                    </w:rPr>
                    <w:t>测点数</w:t>
                  </w:r>
                </w:p>
              </w:tc>
              <w:tc>
                <w:tcPr>
                  <w:tcW w:w="894" w:type="pct"/>
                  <w:noWrap w:val="0"/>
                  <w:vAlign w:val="center"/>
                </w:tcPr>
                <w:p>
                  <w:pPr>
                    <w:spacing w:line="360" w:lineRule="exact"/>
                    <w:jc w:val="center"/>
                    <w:textAlignment w:val="baseline"/>
                    <w:rPr>
                      <w:color w:val="auto"/>
                      <w:szCs w:val="21"/>
                    </w:rPr>
                  </w:pPr>
                  <w:r>
                    <w:rPr>
                      <w:color w:val="auto"/>
                      <w:szCs w:val="21"/>
                    </w:rPr>
                    <w:t>监测因子</w:t>
                  </w:r>
                </w:p>
              </w:tc>
              <w:tc>
                <w:tcPr>
                  <w:tcW w:w="720" w:type="pct"/>
                  <w:noWrap w:val="0"/>
                  <w:vAlign w:val="center"/>
                </w:tcPr>
                <w:p>
                  <w:pPr>
                    <w:spacing w:line="360" w:lineRule="exact"/>
                    <w:jc w:val="center"/>
                    <w:textAlignment w:val="baseline"/>
                    <w:rPr>
                      <w:color w:val="auto"/>
                      <w:szCs w:val="21"/>
                    </w:rPr>
                  </w:pPr>
                  <w:r>
                    <w:rPr>
                      <w:color w:val="auto"/>
                      <w:szCs w:val="21"/>
                    </w:rPr>
                    <w:t>频次</w:t>
                  </w:r>
                </w:p>
              </w:tc>
              <w:tc>
                <w:tcPr>
                  <w:tcW w:w="1568" w:type="pct"/>
                  <w:noWrap w:val="0"/>
                  <w:vAlign w:val="center"/>
                </w:tcPr>
                <w:p>
                  <w:pPr>
                    <w:spacing w:line="360" w:lineRule="exact"/>
                    <w:jc w:val="center"/>
                    <w:textAlignment w:val="baseline"/>
                    <w:rPr>
                      <w:rFonts w:hint="eastAsia" w:eastAsia="宋体"/>
                      <w:color w:val="auto"/>
                      <w:szCs w:val="21"/>
                      <w:lang w:val="en-US" w:eastAsia="zh-CN"/>
                    </w:rPr>
                  </w:pPr>
                  <w:r>
                    <w:rPr>
                      <w:rFonts w:hint="eastAsia"/>
                      <w:color w:val="auto"/>
                      <w:szCs w:val="21"/>
                      <w:lang w:val="en-US"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247" w:type="pct"/>
                  <w:vMerge w:val="restart"/>
                  <w:noWrap w:val="0"/>
                  <w:vAlign w:val="center"/>
                </w:tcPr>
                <w:p>
                  <w:pPr>
                    <w:spacing w:line="360" w:lineRule="exact"/>
                    <w:jc w:val="center"/>
                    <w:textAlignment w:val="baseline"/>
                    <w:rPr>
                      <w:color w:val="auto"/>
                      <w:szCs w:val="21"/>
                      <w:highlight w:val="yellow"/>
                    </w:rPr>
                  </w:pPr>
                  <w:r>
                    <w:rPr>
                      <w:color w:val="auto"/>
                      <w:szCs w:val="21"/>
                    </w:rPr>
                    <w:t>废气</w:t>
                  </w:r>
                </w:p>
              </w:tc>
              <w:tc>
                <w:tcPr>
                  <w:tcW w:w="949" w:type="pct"/>
                  <w:noWrap w:val="0"/>
                  <w:vAlign w:val="center"/>
                </w:tcPr>
                <w:p>
                  <w:pPr>
                    <w:widowControl/>
                    <w:spacing w:line="360" w:lineRule="exact"/>
                    <w:jc w:val="center"/>
                    <w:rPr>
                      <w:rFonts w:hint="default" w:eastAsia="宋体"/>
                      <w:bCs/>
                      <w:color w:val="auto"/>
                      <w:kern w:val="0"/>
                      <w:szCs w:val="21"/>
                      <w:lang w:val="en-US" w:eastAsia="zh-CN"/>
                    </w:rPr>
                  </w:pPr>
                  <w:r>
                    <w:rPr>
                      <w:rFonts w:hint="eastAsia"/>
                      <w:bCs/>
                      <w:color w:val="auto"/>
                      <w:kern w:val="0"/>
                      <w:szCs w:val="21"/>
                      <w:lang w:val="en-US" w:eastAsia="zh-CN"/>
                    </w:rPr>
                    <w:t>飞灰仓库排气筒</w:t>
                  </w:r>
                </w:p>
              </w:tc>
              <w:tc>
                <w:tcPr>
                  <w:tcW w:w="620" w:type="pct"/>
                  <w:noWrap w:val="0"/>
                  <w:vAlign w:val="center"/>
                </w:tcPr>
                <w:p>
                  <w:pPr>
                    <w:spacing w:line="360" w:lineRule="exact"/>
                    <w:jc w:val="center"/>
                    <w:textAlignment w:val="baseline"/>
                    <w:rPr>
                      <w:rFonts w:hint="eastAsia" w:eastAsia="宋体"/>
                      <w:bCs/>
                      <w:color w:val="auto"/>
                      <w:szCs w:val="21"/>
                      <w:lang w:val="en-US" w:eastAsia="zh-CN"/>
                    </w:rPr>
                  </w:pPr>
                  <w:r>
                    <w:rPr>
                      <w:rFonts w:hint="eastAsia"/>
                      <w:bCs/>
                      <w:color w:val="auto"/>
                      <w:szCs w:val="21"/>
                      <w:lang w:val="en-US" w:eastAsia="zh-CN"/>
                    </w:rPr>
                    <w:t>1</w:t>
                  </w:r>
                </w:p>
              </w:tc>
              <w:tc>
                <w:tcPr>
                  <w:tcW w:w="894" w:type="pct"/>
                  <w:noWrap w:val="0"/>
                  <w:vAlign w:val="center"/>
                </w:tcPr>
                <w:p>
                  <w:pPr>
                    <w:widowControl/>
                    <w:spacing w:line="360" w:lineRule="exact"/>
                    <w:jc w:val="center"/>
                    <w:rPr>
                      <w:rFonts w:hint="eastAsia" w:eastAsia="宋体"/>
                      <w:color w:val="auto"/>
                      <w:kern w:val="0"/>
                      <w:szCs w:val="21"/>
                      <w:lang w:val="en-US" w:eastAsia="zh-CN"/>
                    </w:rPr>
                  </w:pPr>
                  <w:r>
                    <w:rPr>
                      <w:rFonts w:hint="eastAsia"/>
                      <w:color w:val="auto"/>
                      <w:kern w:val="0"/>
                      <w:szCs w:val="21"/>
                      <w:lang w:val="en-US" w:eastAsia="zh-CN"/>
                    </w:rPr>
                    <w:t>氨气</w:t>
                  </w:r>
                </w:p>
              </w:tc>
              <w:tc>
                <w:tcPr>
                  <w:tcW w:w="720" w:type="pct"/>
                  <w:noWrap w:val="0"/>
                  <w:vAlign w:val="center"/>
                </w:tcPr>
                <w:p>
                  <w:pPr>
                    <w:spacing w:line="360" w:lineRule="exact"/>
                    <w:jc w:val="center"/>
                    <w:textAlignment w:val="baseline"/>
                    <w:rPr>
                      <w:rFonts w:hint="eastAsia" w:eastAsia="宋体"/>
                      <w:color w:val="auto"/>
                      <w:szCs w:val="21"/>
                      <w:lang w:val="en-US" w:eastAsia="zh-CN"/>
                    </w:rPr>
                  </w:pPr>
                  <w:r>
                    <w:rPr>
                      <w:rFonts w:hint="eastAsia"/>
                      <w:color w:val="auto"/>
                      <w:szCs w:val="21"/>
                      <w:lang w:val="en-US" w:eastAsia="zh-CN"/>
                    </w:rPr>
                    <w:t>每年一次</w:t>
                  </w:r>
                </w:p>
              </w:tc>
              <w:tc>
                <w:tcPr>
                  <w:tcW w:w="1568" w:type="pct"/>
                  <w:noWrap w:val="0"/>
                  <w:vAlign w:val="center"/>
                </w:tcPr>
                <w:p>
                  <w:pPr>
                    <w:spacing w:line="360" w:lineRule="exact"/>
                    <w:jc w:val="center"/>
                    <w:textAlignment w:val="baseline"/>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《恶臭污染物排放标准》(GB14554-1993)表 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8" w:hRule="atLeast"/>
              </w:trPr>
              <w:tc>
                <w:tcPr>
                  <w:tcW w:w="247" w:type="pct"/>
                  <w:vMerge w:val="continue"/>
                  <w:noWrap w:val="0"/>
                  <w:vAlign w:val="center"/>
                </w:tcPr>
                <w:p>
                  <w:pPr>
                    <w:spacing w:line="360" w:lineRule="exact"/>
                    <w:jc w:val="center"/>
                    <w:textAlignment w:val="baseline"/>
                    <w:rPr>
                      <w:color w:val="auto"/>
                      <w:szCs w:val="21"/>
                      <w:highlight w:val="yellow"/>
                    </w:rPr>
                  </w:pPr>
                </w:p>
              </w:tc>
              <w:tc>
                <w:tcPr>
                  <w:tcW w:w="949" w:type="pct"/>
                  <w:vMerge w:val="restart"/>
                  <w:noWrap w:val="0"/>
                  <w:vAlign w:val="center"/>
                </w:tcPr>
                <w:p>
                  <w:pPr>
                    <w:widowControl/>
                    <w:spacing w:line="360" w:lineRule="exact"/>
                    <w:jc w:val="center"/>
                    <w:rPr>
                      <w:bCs/>
                      <w:color w:val="auto"/>
                      <w:kern w:val="0"/>
                      <w:szCs w:val="21"/>
                    </w:rPr>
                  </w:pPr>
                  <w:r>
                    <w:rPr>
                      <w:rFonts w:hint="eastAsia"/>
                      <w:bCs/>
                      <w:color w:val="auto"/>
                      <w:kern w:val="0"/>
                      <w:szCs w:val="21"/>
                    </w:rPr>
                    <w:t>厂区上、下风向</w:t>
                  </w:r>
                </w:p>
              </w:tc>
              <w:tc>
                <w:tcPr>
                  <w:tcW w:w="620" w:type="pct"/>
                  <w:vMerge w:val="restart"/>
                  <w:noWrap w:val="0"/>
                  <w:vAlign w:val="center"/>
                </w:tcPr>
                <w:p>
                  <w:pPr>
                    <w:spacing w:line="360" w:lineRule="exact"/>
                    <w:jc w:val="center"/>
                    <w:textAlignment w:val="baseline"/>
                    <w:rPr>
                      <w:bCs/>
                      <w:color w:val="auto"/>
                      <w:szCs w:val="21"/>
                    </w:rPr>
                  </w:pPr>
                  <w:r>
                    <w:rPr>
                      <w:rFonts w:hint="eastAsia"/>
                      <w:bCs/>
                      <w:color w:val="auto"/>
                      <w:szCs w:val="21"/>
                    </w:rPr>
                    <w:t>4（上风向1、下风向3）</w:t>
                  </w:r>
                </w:p>
              </w:tc>
              <w:tc>
                <w:tcPr>
                  <w:tcW w:w="894" w:type="pct"/>
                  <w:noWrap w:val="0"/>
                  <w:vAlign w:val="center"/>
                </w:tcPr>
                <w:p>
                  <w:pPr>
                    <w:widowControl/>
                    <w:spacing w:line="360" w:lineRule="exact"/>
                    <w:jc w:val="center"/>
                    <w:rPr>
                      <w:color w:val="auto"/>
                      <w:kern w:val="0"/>
                      <w:szCs w:val="21"/>
                    </w:rPr>
                  </w:pPr>
                  <w:r>
                    <w:rPr>
                      <w:color w:val="auto"/>
                      <w:kern w:val="0"/>
                      <w:szCs w:val="21"/>
                    </w:rPr>
                    <w:t>颗粒物</w:t>
                  </w:r>
                </w:p>
              </w:tc>
              <w:tc>
                <w:tcPr>
                  <w:tcW w:w="720" w:type="pct"/>
                  <w:noWrap w:val="0"/>
                  <w:vAlign w:val="center"/>
                </w:tcPr>
                <w:p>
                  <w:pPr>
                    <w:spacing w:line="360" w:lineRule="exact"/>
                    <w:jc w:val="center"/>
                    <w:textAlignment w:val="baseline"/>
                    <w:rPr>
                      <w:color w:val="auto"/>
                      <w:szCs w:val="21"/>
                    </w:rPr>
                  </w:pPr>
                  <w:r>
                    <w:rPr>
                      <w:rFonts w:hint="eastAsia"/>
                      <w:color w:val="auto"/>
                      <w:szCs w:val="21"/>
                      <w:lang w:val="en-US" w:eastAsia="zh-CN"/>
                    </w:rPr>
                    <w:t>每年一次</w:t>
                  </w:r>
                </w:p>
              </w:tc>
              <w:tc>
                <w:tcPr>
                  <w:tcW w:w="1568" w:type="pct"/>
                  <w:noWrap w:val="0"/>
                  <w:vAlign w:val="center"/>
                </w:tcPr>
                <w:p>
                  <w:pPr>
                    <w:spacing w:line="360" w:lineRule="exact"/>
                    <w:jc w:val="center"/>
                    <w:textAlignment w:val="baseline"/>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247" w:type="pct"/>
                  <w:vMerge w:val="continue"/>
                  <w:noWrap w:val="0"/>
                  <w:vAlign w:val="center"/>
                </w:tcPr>
                <w:p>
                  <w:pPr>
                    <w:spacing w:line="360" w:lineRule="exact"/>
                    <w:jc w:val="center"/>
                    <w:textAlignment w:val="baseline"/>
                    <w:rPr>
                      <w:color w:val="auto"/>
                      <w:szCs w:val="21"/>
                    </w:rPr>
                  </w:pPr>
                </w:p>
              </w:tc>
              <w:tc>
                <w:tcPr>
                  <w:tcW w:w="949" w:type="pct"/>
                  <w:vMerge w:val="continue"/>
                  <w:noWrap w:val="0"/>
                  <w:vAlign w:val="center"/>
                </w:tcPr>
                <w:p>
                  <w:pPr>
                    <w:widowControl/>
                    <w:spacing w:line="360" w:lineRule="exact"/>
                    <w:jc w:val="center"/>
                    <w:rPr>
                      <w:bCs/>
                      <w:color w:val="auto"/>
                      <w:kern w:val="0"/>
                      <w:szCs w:val="21"/>
                    </w:rPr>
                  </w:pPr>
                </w:p>
              </w:tc>
              <w:tc>
                <w:tcPr>
                  <w:tcW w:w="620" w:type="pct"/>
                  <w:vMerge w:val="continue"/>
                  <w:noWrap w:val="0"/>
                  <w:vAlign w:val="center"/>
                </w:tcPr>
                <w:p>
                  <w:pPr>
                    <w:spacing w:line="360" w:lineRule="exact"/>
                    <w:jc w:val="center"/>
                    <w:textAlignment w:val="baseline"/>
                    <w:rPr>
                      <w:bCs/>
                      <w:color w:val="auto"/>
                      <w:szCs w:val="21"/>
                    </w:rPr>
                  </w:pPr>
                </w:p>
              </w:tc>
              <w:tc>
                <w:tcPr>
                  <w:tcW w:w="894" w:type="pct"/>
                  <w:noWrap w:val="0"/>
                  <w:vAlign w:val="center"/>
                </w:tcPr>
                <w:p>
                  <w:pPr>
                    <w:spacing w:line="360" w:lineRule="exact"/>
                    <w:jc w:val="center"/>
                    <w:rPr>
                      <w:rFonts w:hint="eastAsia" w:eastAsia="宋体"/>
                      <w:bCs/>
                      <w:color w:val="auto"/>
                      <w:kern w:val="0"/>
                      <w:szCs w:val="21"/>
                      <w:lang w:eastAsia="zh-CN"/>
                    </w:rPr>
                  </w:pPr>
                  <w:r>
                    <w:rPr>
                      <w:rFonts w:hint="eastAsia"/>
                      <w:bCs/>
                      <w:color w:val="auto"/>
                      <w:kern w:val="0"/>
                      <w:szCs w:val="21"/>
                      <w:lang w:val="en-US" w:eastAsia="zh-CN"/>
                    </w:rPr>
                    <w:t>氨气</w:t>
                  </w:r>
                </w:p>
              </w:tc>
              <w:tc>
                <w:tcPr>
                  <w:tcW w:w="720" w:type="pct"/>
                  <w:noWrap w:val="0"/>
                  <w:vAlign w:val="center"/>
                </w:tcPr>
                <w:p>
                  <w:pPr>
                    <w:spacing w:line="360" w:lineRule="exact"/>
                    <w:jc w:val="center"/>
                    <w:textAlignment w:val="baseline"/>
                    <w:rPr>
                      <w:bCs/>
                      <w:color w:val="auto"/>
                      <w:szCs w:val="21"/>
                    </w:rPr>
                  </w:pPr>
                  <w:r>
                    <w:rPr>
                      <w:rFonts w:hint="eastAsia"/>
                      <w:color w:val="auto"/>
                      <w:szCs w:val="21"/>
                      <w:lang w:val="en-US" w:eastAsia="zh-CN"/>
                    </w:rPr>
                    <w:t>每年一次</w:t>
                  </w:r>
                </w:p>
              </w:tc>
              <w:tc>
                <w:tcPr>
                  <w:tcW w:w="1568" w:type="pct"/>
                  <w:noWrap w:val="0"/>
                  <w:vAlign w:val="center"/>
                </w:tcPr>
                <w:p>
                  <w:pPr>
                    <w:spacing w:line="360" w:lineRule="exact"/>
                    <w:jc w:val="center"/>
                    <w:textAlignment w:val="baseline"/>
                    <w:rPr>
                      <w:rFonts w:hint="eastAsia"/>
                      <w:bCs/>
                      <w:color w:val="auto"/>
                      <w:szCs w:val="21"/>
                    </w:rPr>
                  </w:pPr>
                  <w:r>
                    <w:rPr>
                      <w:rFonts w:hint="eastAsia" w:ascii="Times New Roman" w:hAnsi="Times New Roman" w:cs="Times New Roman"/>
                      <w:bCs/>
                      <w:color w:val="auto"/>
                      <w:szCs w:val="21"/>
                      <w:lang w:val="en-US" w:eastAsia="zh-CN"/>
                    </w:rPr>
                    <w:t>氨气执行《恶臭污染物排放标准》(GB14554-1993)表 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247" w:type="pct"/>
                  <w:noWrap w:val="0"/>
                  <w:vAlign w:val="center"/>
                </w:tcPr>
                <w:p>
                  <w:pPr>
                    <w:spacing w:line="360" w:lineRule="exact"/>
                    <w:jc w:val="center"/>
                    <w:textAlignment w:val="baseline"/>
                    <w:rPr>
                      <w:color w:val="auto"/>
                      <w:szCs w:val="21"/>
                    </w:rPr>
                  </w:pPr>
                  <w:r>
                    <w:rPr>
                      <w:color w:val="auto"/>
                      <w:szCs w:val="21"/>
                    </w:rPr>
                    <w:t>噪声</w:t>
                  </w:r>
                </w:p>
              </w:tc>
              <w:tc>
                <w:tcPr>
                  <w:tcW w:w="949" w:type="pct"/>
                  <w:noWrap w:val="0"/>
                  <w:vAlign w:val="center"/>
                </w:tcPr>
                <w:p>
                  <w:pPr>
                    <w:spacing w:line="360" w:lineRule="exact"/>
                    <w:jc w:val="center"/>
                    <w:textAlignment w:val="baseline"/>
                    <w:rPr>
                      <w:color w:val="auto"/>
                      <w:szCs w:val="21"/>
                    </w:rPr>
                  </w:pPr>
                  <w:r>
                    <w:rPr>
                      <w:color w:val="auto"/>
                      <w:szCs w:val="21"/>
                    </w:rPr>
                    <w:t>四周厂界</w:t>
                  </w:r>
                </w:p>
              </w:tc>
              <w:tc>
                <w:tcPr>
                  <w:tcW w:w="620" w:type="pct"/>
                  <w:noWrap w:val="0"/>
                  <w:vAlign w:val="center"/>
                </w:tcPr>
                <w:p>
                  <w:pPr>
                    <w:spacing w:line="360" w:lineRule="exact"/>
                    <w:jc w:val="center"/>
                    <w:textAlignment w:val="baseline"/>
                    <w:rPr>
                      <w:color w:val="auto"/>
                      <w:szCs w:val="21"/>
                    </w:rPr>
                  </w:pPr>
                  <w:r>
                    <w:rPr>
                      <w:color w:val="auto"/>
                      <w:szCs w:val="21"/>
                    </w:rPr>
                    <w:t>4</w:t>
                  </w:r>
                </w:p>
              </w:tc>
              <w:tc>
                <w:tcPr>
                  <w:tcW w:w="894" w:type="pct"/>
                  <w:noWrap w:val="0"/>
                  <w:vAlign w:val="center"/>
                </w:tcPr>
                <w:p>
                  <w:pPr>
                    <w:spacing w:line="360" w:lineRule="exact"/>
                    <w:jc w:val="center"/>
                    <w:textAlignment w:val="baseline"/>
                    <w:rPr>
                      <w:color w:val="auto"/>
                      <w:szCs w:val="21"/>
                    </w:rPr>
                  </w:pPr>
                  <w:r>
                    <w:rPr>
                      <w:color w:val="auto"/>
                      <w:szCs w:val="21"/>
                    </w:rPr>
                    <w:t>等效连续A声级</w:t>
                  </w:r>
                </w:p>
              </w:tc>
              <w:tc>
                <w:tcPr>
                  <w:tcW w:w="720" w:type="pct"/>
                  <w:noWrap w:val="0"/>
                  <w:vAlign w:val="center"/>
                </w:tcPr>
                <w:p>
                  <w:pPr>
                    <w:spacing w:line="360" w:lineRule="exact"/>
                    <w:jc w:val="center"/>
                    <w:textAlignment w:val="baseline"/>
                    <w:rPr>
                      <w:color w:val="auto"/>
                      <w:szCs w:val="21"/>
                    </w:rPr>
                  </w:pPr>
                  <w:r>
                    <w:rPr>
                      <w:rFonts w:hint="eastAsia"/>
                      <w:color w:val="auto"/>
                      <w:szCs w:val="21"/>
                      <w:lang w:val="en-US" w:eastAsia="zh-CN"/>
                    </w:rPr>
                    <w:t>每季度</w:t>
                  </w:r>
                  <w:r>
                    <w:rPr>
                      <w:color w:val="auto"/>
                      <w:szCs w:val="21"/>
                    </w:rPr>
                    <w:t>1次</w:t>
                  </w:r>
                </w:p>
              </w:tc>
              <w:tc>
                <w:tcPr>
                  <w:tcW w:w="1568" w:type="pct"/>
                  <w:noWrap w:val="0"/>
                  <w:vAlign w:val="center"/>
                </w:tcPr>
                <w:p>
                  <w:pPr>
                    <w:spacing w:line="360" w:lineRule="exact"/>
                    <w:jc w:val="center"/>
                    <w:textAlignment w:val="baseline"/>
                    <w:rPr>
                      <w:rFonts w:hint="eastAsia"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《工业企业厂界环境噪声排放标准》（GB12348-2008）2类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6" w:hRule="atLeast"/>
              </w:trPr>
              <w:tc>
                <w:tcPr>
                  <w:tcW w:w="247" w:type="pct"/>
                  <w:noWrap w:val="0"/>
                  <w:vAlign w:val="center"/>
                </w:tcPr>
                <w:p>
                  <w:pPr>
                    <w:spacing w:line="360" w:lineRule="exact"/>
                    <w:jc w:val="center"/>
                    <w:textAlignment w:val="baseline"/>
                    <w:rPr>
                      <w:rFonts w:hint="eastAsia" w:eastAsia="宋体"/>
                      <w:color w:val="auto"/>
                      <w:szCs w:val="21"/>
                      <w:lang w:val="en-US" w:eastAsia="zh-CN"/>
                    </w:rPr>
                  </w:pPr>
                  <w:r>
                    <w:rPr>
                      <w:rFonts w:hint="eastAsia"/>
                      <w:color w:val="auto"/>
                      <w:szCs w:val="21"/>
                      <w:lang w:val="en-US" w:eastAsia="zh-CN"/>
                    </w:rPr>
                    <w:t>地下水</w:t>
                  </w:r>
                </w:p>
              </w:tc>
              <w:tc>
                <w:tcPr>
                  <w:tcW w:w="949" w:type="pct"/>
                  <w:noWrap w:val="0"/>
                  <w:vAlign w:val="center"/>
                </w:tcPr>
                <w:p>
                  <w:pPr>
                    <w:spacing w:line="360" w:lineRule="exact"/>
                    <w:jc w:val="center"/>
                    <w:textAlignment w:val="baseline"/>
                    <w:rPr>
                      <w:color w:val="auto"/>
                      <w:szCs w:val="21"/>
                    </w:rPr>
                  </w:pPr>
                  <w:r>
                    <w:rPr>
                      <w:rFonts w:hint="eastAsia" w:ascii="Times New Roman" w:hAnsi="宋体" w:eastAsia="宋体" w:cs="Times New Roman"/>
                      <w:b w:val="0"/>
                      <w:bCs w:val="0"/>
                      <w:color w:val="auto"/>
                      <w:kern w:val="2"/>
                      <w:sz w:val="21"/>
                      <w:szCs w:val="21"/>
                      <w:lang w:val="en-US" w:eastAsia="zh-CN" w:bidi="ar-SA"/>
                    </w:rPr>
                    <w:t>现有工程厂区内地下水监测井</w:t>
                  </w:r>
                </w:p>
              </w:tc>
              <w:tc>
                <w:tcPr>
                  <w:tcW w:w="620" w:type="pct"/>
                  <w:noWrap w:val="0"/>
                  <w:vAlign w:val="center"/>
                </w:tcPr>
                <w:p>
                  <w:pPr>
                    <w:spacing w:line="360" w:lineRule="exact"/>
                    <w:jc w:val="center"/>
                    <w:textAlignment w:val="baseline"/>
                    <w:rPr>
                      <w:rFonts w:hint="eastAsia" w:eastAsia="宋体"/>
                      <w:color w:val="auto"/>
                      <w:szCs w:val="21"/>
                      <w:lang w:val="en-US" w:eastAsia="zh-CN"/>
                    </w:rPr>
                  </w:pPr>
                  <w:r>
                    <w:rPr>
                      <w:rFonts w:hint="eastAsia"/>
                      <w:color w:val="auto"/>
                      <w:szCs w:val="21"/>
                      <w:lang w:val="en-US" w:eastAsia="zh-CN"/>
                    </w:rPr>
                    <w:t>1</w:t>
                  </w:r>
                </w:p>
              </w:tc>
              <w:tc>
                <w:tcPr>
                  <w:tcW w:w="894" w:type="pct"/>
                  <w:noWrap w:val="0"/>
                  <w:vAlign w:val="center"/>
                </w:tcPr>
                <w:p>
                  <w:pPr>
                    <w:spacing w:line="360" w:lineRule="exact"/>
                    <w:jc w:val="center"/>
                    <w:textAlignment w:val="baseline"/>
                    <w:rPr>
                      <w:color w:val="auto"/>
                      <w:szCs w:val="21"/>
                    </w:rPr>
                  </w:pPr>
                  <w:r>
                    <w:rPr>
                      <w:rFonts w:hint="eastAsia" w:ascii="Times New Roman" w:hAnsi="宋体" w:eastAsia="宋体" w:cs="Times New Roman"/>
                      <w:b w:val="0"/>
                      <w:bCs w:val="0"/>
                      <w:color w:val="auto"/>
                      <w:kern w:val="2"/>
                      <w:sz w:val="21"/>
                      <w:szCs w:val="21"/>
                      <w:lang w:val="en-US" w:eastAsia="zh-CN" w:bidi="ar-SA"/>
                    </w:rPr>
                    <w:t>pH 值、耗氧量、氨氮、氟化物、氯化物、锌、镉、铅、砷、汞、六价铬等</w:t>
                  </w:r>
                </w:p>
              </w:tc>
              <w:tc>
                <w:tcPr>
                  <w:tcW w:w="720" w:type="pct"/>
                  <w:noWrap w:val="0"/>
                  <w:vAlign w:val="center"/>
                </w:tcPr>
                <w:p>
                  <w:pPr>
                    <w:spacing w:line="360" w:lineRule="exact"/>
                    <w:jc w:val="center"/>
                    <w:textAlignment w:val="baseline"/>
                    <w:rPr>
                      <w:rFonts w:hint="eastAsia"/>
                      <w:color w:val="auto"/>
                      <w:szCs w:val="21"/>
                      <w:lang w:val="en-US" w:eastAsia="zh-CN"/>
                    </w:rPr>
                  </w:pPr>
                  <w:r>
                    <w:rPr>
                      <w:rFonts w:hint="eastAsia"/>
                      <w:color w:val="auto"/>
                      <w:szCs w:val="21"/>
                      <w:lang w:val="en-US" w:eastAsia="zh-CN"/>
                    </w:rPr>
                    <w:t>每年一次</w:t>
                  </w:r>
                </w:p>
              </w:tc>
              <w:tc>
                <w:tcPr>
                  <w:tcW w:w="1568" w:type="pct"/>
                  <w:noWrap w:val="0"/>
                  <w:vAlign w:val="center"/>
                </w:tcPr>
                <w:p>
                  <w:pPr>
                    <w:spacing w:line="360" w:lineRule="exact"/>
                    <w:jc w:val="center"/>
                    <w:textAlignment w:val="baseline"/>
                    <w:rPr>
                      <w:rFonts w:hint="eastAsia"/>
                      <w:color w:val="auto"/>
                      <w:szCs w:val="21"/>
                      <w:lang w:val="en-US" w:eastAsia="zh-CN"/>
                    </w:rPr>
                  </w:pPr>
                  <w:r>
                    <w:rPr>
                      <w:rFonts w:hint="eastAsia" w:ascii="Times New Roman" w:hAnsi="宋体" w:eastAsia="宋体" w:cs="Times New Roman"/>
                      <w:b w:val="0"/>
                      <w:bCs w:val="0"/>
                      <w:color w:val="auto"/>
                      <w:kern w:val="2"/>
                      <w:sz w:val="21"/>
                      <w:szCs w:val="21"/>
                      <w:lang w:val="en-US" w:eastAsia="zh-CN" w:bidi="ar-SA"/>
                    </w:rPr>
                    <w:t>《地下水质量标准》（GB/T14848-2017）中表1、表2 的Ⅲ类标准</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rPr>
                <w:rFonts w:hint="default" w:ascii="Times New Roman" w:hAnsi="Times New Roman" w:eastAsia="宋体" w:cs="Times New Roman"/>
                <w:b/>
                <w:bCs/>
                <w:color w:val="auto"/>
                <w:sz w:val="24"/>
                <w:szCs w:val="24"/>
                <w:highlight w:val="none"/>
                <w:u w:val="none"/>
              </w:rPr>
            </w:pPr>
            <w:r>
              <w:rPr>
                <w:rFonts w:hint="eastAsia" w:cs="Times New Roman"/>
                <w:b/>
                <w:bCs/>
                <w:color w:val="auto"/>
                <w:sz w:val="24"/>
                <w:szCs w:val="24"/>
                <w:highlight w:val="none"/>
                <w:u w:val="none"/>
                <w:lang w:val="en-US" w:eastAsia="zh-CN"/>
              </w:rPr>
              <w:t>12</w:t>
            </w:r>
            <w:r>
              <w:rPr>
                <w:rFonts w:hint="default" w:ascii="Times New Roman" w:hAnsi="Times New Roman" w:eastAsia="宋体" w:cs="Times New Roman"/>
                <w:b/>
                <w:bCs/>
                <w:color w:val="auto"/>
                <w:sz w:val="24"/>
                <w:szCs w:val="24"/>
                <w:highlight w:val="none"/>
                <w:u w:val="none"/>
              </w:rPr>
              <w:t>环保投资及环保验收</w:t>
            </w:r>
          </w:p>
          <w:p>
            <w:pPr>
              <w:keepNext w:val="0"/>
              <w:keepLines w:val="0"/>
              <w:pageBreakBefore w:val="0"/>
              <w:widowControl w:val="0"/>
              <w:kinsoku/>
              <w:wordWrap/>
              <w:overflowPunct/>
              <w:topLinePunct w:val="0"/>
              <w:autoSpaceDE/>
              <w:autoSpaceDN/>
              <w:bidi w:val="0"/>
              <w:spacing w:line="520" w:lineRule="exact"/>
              <w:ind w:firstLine="480" w:firstLineChars="200"/>
              <w:textAlignment w:val="baseline"/>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项目建设总投资</w:t>
            </w:r>
            <w:r>
              <w:rPr>
                <w:rFonts w:hint="eastAsia" w:cs="Times New Roman"/>
                <w:color w:val="auto"/>
                <w:sz w:val="24"/>
                <w:szCs w:val="24"/>
                <w:u w:val="none"/>
                <w:lang w:val="en-US" w:eastAsia="zh-CN"/>
              </w:rPr>
              <w:t>60</w:t>
            </w:r>
            <w:r>
              <w:rPr>
                <w:rFonts w:hint="default" w:ascii="Times New Roman" w:hAnsi="Times New Roman" w:eastAsia="宋体" w:cs="Times New Roman"/>
                <w:color w:val="auto"/>
                <w:sz w:val="24"/>
                <w:szCs w:val="24"/>
                <w:u w:val="none"/>
              </w:rPr>
              <w:t>万元，</w:t>
            </w:r>
            <w:r>
              <w:rPr>
                <w:rFonts w:hint="eastAsia" w:cs="Times New Roman"/>
                <w:color w:val="auto"/>
                <w:sz w:val="24"/>
                <w:szCs w:val="24"/>
                <w:u w:val="none"/>
                <w:lang w:val="en-US" w:eastAsia="zh-CN"/>
              </w:rPr>
              <w:t>环保投资为50万元</w:t>
            </w:r>
            <w:r>
              <w:rPr>
                <w:rFonts w:hint="default" w:ascii="Times New Roman" w:hAnsi="Times New Roman" w:eastAsia="宋体" w:cs="Times New Roman"/>
                <w:color w:val="auto"/>
                <w:sz w:val="24"/>
                <w:szCs w:val="24"/>
                <w:u w:val="none"/>
              </w:rPr>
              <w:t>，约占总投资的</w:t>
            </w:r>
            <w:r>
              <w:rPr>
                <w:rFonts w:hint="eastAsia" w:cs="Times New Roman"/>
                <w:color w:val="auto"/>
                <w:sz w:val="24"/>
                <w:szCs w:val="24"/>
                <w:highlight w:val="none"/>
                <w:u w:val="none"/>
                <w:lang w:val="en-US" w:eastAsia="zh-CN"/>
              </w:rPr>
              <w:t>83.33</w:t>
            </w:r>
            <w:r>
              <w:rPr>
                <w:rFonts w:hint="default" w:ascii="Times New Roman" w:hAnsi="Times New Roman" w:eastAsia="宋体" w:cs="Times New Roman"/>
                <w:color w:val="auto"/>
                <w:sz w:val="24"/>
                <w:szCs w:val="24"/>
                <w:u w:val="none"/>
              </w:rPr>
              <w:t>%，具体内容见下表。</w:t>
            </w:r>
          </w:p>
          <w:p>
            <w:pPr>
              <w:spacing w:line="520" w:lineRule="exact"/>
              <w:ind w:firstLine="480" w:firstLineChars="200"/>
              <w:jc w:val="center"/>
              <w:rPr>
                <w:rFonts w:hint="eastAsia" w:eastAsia="黑体"/>
                <w:color w:val="auto"/>
                <w:sz w:val="24"/>
                <w:lang w:val="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51</w:t>
            </w:r>
            <w:r>
              <w:rPr>
                <w:rFonts w:hint="default" w:ascii="Times New Roman" w:hAnsi="Times New Roman" w:eastAsia="黑体" w:cs="Times New Roman"/>
                <w:b w:val="0"/>
                <w:bCs w:val="0"/>
                <w:color w:val="auto"/>
                <w:sz w:val="24"/>
                <w:szCs w:val="24"/>
                <w:u w:val="none"/>
                <w:lang w:val="en-US" w:eastAsia="zh-CN"/>
              </w:rPr>
              <w:t xml:space="preserve"> </w:t>
            </w:r>
            <w:r>
              <w:rPr>
                <w:rFonts w:hint="eastAsia" w:eastAsia="黑体" w:cs="Times New Roman"/>
                <w:b w:val="0"/>
                <w:bCs w:val="0"/>
                <w:color w:val="auto"/>
                <w:sz w:val="24"/>
                <w:szCs w:val="24"/>
                <w:u w:val="none"/>
                <w:lang w:val="en-US" w:eastAsia="zh-CN"/>
              </w:rPr>
              <w:t xml:space="preserve">    </w:t>
            </w:r>
            <w:r>
              <w:rPr>
                <w:rFonts w:eastAsia="黑体"/>
                <w:color w:val="auto"/>
                <w:sz w:val="24"/>
                <w:lang w:val="zh-CN"/>
              </w:rPr>
              <w:t>环保投资</w:t>
            </w:r>
            <w:r>
              <w:rPr>
                <w:rFonts w:hint="eastAsia" w:eastAsia="黑体"/>
                <w:color w:val="auto"/>
                <w:sz w:val="24"/>
                <w:lang w:val="zh-CN"/>
              </w:rPr>
              <w:t>及三同时设施验收一览表</w:t>
            </w:r>
          </w:p>
          <w:tbl>
            <w:tblPr>
              <w:tblStyle w:val="28"/>
              <w:tblW w:w="8854"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230"/>
              <w:gridCol w:w="903"/>
              <w:gridCol w:w="927"/>
              <w:gridCol w:w="2074"/>
              <w:gridCol w:w="989"/>
              <w:gridCol w:w="2495"/>
              <w:gridCol w:w="23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649" w:hRule="atLeast"/>
              </w:trPr>
              <w:tc>
                <w:tcPr>
                  <w:tcW w:w="2133" w:type="dxa"/>
                  <w:gridSpan w:val="2"/>
                  <w:vAlign w:val="center"/>
                </w:tcPr>
                <w:p>
                  <w:pPr>
                    <w:spacing w:line="276" w:lineRule="auto"/>
                    <w:jc w:val="center"/>
                    <w:textAlignment w:val="baseline"/>
                    <w:rPr>
                      <w:color w:val="auto"/>
                      <w:szCs w:val="21"/>
                      <w:u w:val="none"/>
                    </w:rPr>
                  </w:pPr>
                  <w:r>
                    <w:rPr>
                      <w:rFonts w:hAnsi="宋体"/>
                      <w:color w:val="auto"/>
                      <w:szCs w:val="21"/>
                      <w:u w:val="none"/>
                    </w:rPr>
                    <w:t>污染因子</w:t>
                  </w:r>
                </w:p>
              </w:tc>
              <w:tc>
                <w:tcPr>
                  <w:tcW w:w="3001" w:type="dxa"/>
                  <w:gridSpan w:val="2"/>
                  <w:vAlign w:val="center"/>
                </w:tcPr>
                <w:p>
                  <w:pPr>
                    <w:spacing w:line="276" w:lineRule="auto"/>
                    <w:jc w:val="center"/>
                    <w:textAlignment w:val="baseline"/>
                    <w:rPr>
                      <w:color w:val="auto"/>
                      <w:szCs w:val="21"/>
                      <w:u w:val="none"/>
                    </w:rPr>
                  </w:pPr>
                  <w:r>
                    <w:rPr>
                      <w:rFonts w:hAnsi="宋体"/>
                      <w:color w:val="auto"/>
                      <w:szCs w:val="21"/>
                      <w:u w:val="none"/>
                    </w:rPr>
                    <w:t>环保措施</w:t>
                  </w:r>
                </w:p>
              </w:tc>
              <w:tc>
                <w:tcPr>
                  <w:tcW w:w="989" w:type="dxa"/>
                  <w:vAlign w:val="center"/>
                </w:tcPr>
                <w:p>
                  <w:pPr>
                    <w:spacing w:line="276" w:lineRule="auto"/>
                    <w:jc w:val="center"/>
                    <w:textAlignment w:val="baseline"/>
                    <w:rPr>
                      <w:color w:val="auto"/>
                      <w:szCs w:val="21"/>
                      <w:u w:val="none"/>
                    </w:rPr>
                  </w:pPr>
                  <w:r>
                    <w:rPr>
                      <w:rFonts w:hAnsi="宋体"/>
                      <w:color w:val="auto"/>
                      <w:szCs w:val="21"/>
                      <w:u w:val="none"/>
                    </w:rPr>
                    <w:t>投资</w:t>
                  </w:r>
                  <w:r>
                    <w:rPr>
                      <w:color w:val="auto"/>
                      <w:szCs w:val="21"/>
                      <w:u w:val="none"/>
                    </w:rPr>
                    <w:t>/</w:t>
                  </w:r>
                  <w:r>
                    <w:rPr>
                      <w:rFonts w:hAnsi="宋体"/>
                      <w:color w:val="auto"/>
                      <w:szCs w:val="21"/>
                      <w:u w:val="none"/>
                    </w:rPr>
                    <w:t>万元</w:t>
                  </w:r>
                </w:p>
              </w:tc>
              <w:tc>
                <w:tcPr>
                  <w:tcW w:w="2495" w:type="dxa"/>
                  <w:vAlign w:val="center"/>
                </w:tcPr>
                <w:p>
                  <w:pPr>
                    <w:spacing w:line="276" w:lineRule="auto"/>
                    <w:jc w:val="center"/>
                    <w:textAlignment w:val="baseline"/>
                    <w:rPr>
                      <w:rFonts w:hAnsi="宋体"/>
                      <w:color w:val="auto"/>
                      <w:szCs w:val="21"/>
                      <w:u w:val="none"/>
                    </w:rPr>
                  </w:pPr>
                  <w:r>
                    <w:rPr>
                      <w:rFonts w:hint="eastAsia" w:hAnsi="宋体"/>
                      <w:color w:val="auto"/>
                      <w:szCs w:val="21"/>
                      <w:u w:val="none"/>
                    </w:rPr>
                    <w:t>验收标准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630" w:hRule="atLeast"/>
              </w:trPr>
              <w:tc>
                <w:tcPr>
                  <w:tcW w:w="1230" w:type="dxa"/>
                  <w:vMerge w:val="restart"/>
                  <w:vAlign w:val="center"/>
                </w:tcPr>
                <w:p>
                  <w:pPr>
                    <w:spacing w:line="240" w:lineRule="auto"/>
                    <w:ind w:left="0" w:leftChars="0" w:firstLine="0" w:firstLineChars="0"/>
                    <w:jc w:val="center"/>
                    <w:rPr>
                      <w:rFonts w:hAnsi="宋体"/>
                      <w:color w:val="auto"/>
                      <w:szCs w:val="21"/>
                      <w:u w:val="single"/>
                    </w:rPr>
                  </w:pPr>
                  <w:r>
                    <w:rPr>
                      <w:rFonts w:hint="eastAsia" w:hAnsi="宋体"/>
                      <w:color w:val="auto"/>
                      <w:szCs w:val="21"/>
                      <w:u w:val="single"/>
                    </w:rPr>
                    <w:t>废气</w:t>
                  </w:r>
                </w:p>
              </w:tc>
              <w:tc>
                <w:tcPr>
                  <w:tcW w:w="903"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0"/>
                      <w:u w:val="single"/>
                      <w:lang w:val="en-US" w:eastAsia="zh-CN" w:bidi="ar-SA"/>
                    </w:rPr>
                  </w:pPr>
                  <w:r>
                    <w:rPr>
                      <w:rFonts w:hint="eastAsia" w:cs="Times New Roman"/>
                      <w:color w:val="auto"/>
                      <w:kern w:val="2"/>
                      <w:sz w:val="21"/>
                      <w:szCs w:val="20"/>
                      <w:u w:val="single"/>
                      <w:lang w:val="en-US" w:eastAsia="zh-CN" w:bidi="ar-SA"/>
                    </w:rPr>
                    <w:t>氨气有组织</w:t>
                  </w:r>
                </w:p>
              </w:tc>
              <w:tc>
                <w:tcPr>
                  <w:tcW w:w="3001" w:type="dxa"/>
                  <w:gridSpan w:val="2"/>
                  <w:vAlign w:val="center"/>
                </w:tcPr>
                <w:p>
                  <w:pPr>
                    <w:spacing w:line="240" w:lineRule="auto"/>
                    <w:ind w:left="0" w:leftChars="0" w:firstLine="0" w:firstLineChars="0"/>
                    <w:jc w:val="center"/>
                    <w:rPr>
                      <w:rFonts w:hint="eastAsia" w:cs="Times New Roman"/>
                      <w:color w:val="auto"/>
                      <w:kern w:val="2"/>
                      <w:sz w:val="21"/>
                      <w:szCs w:val="20"/>
                      <w:u w:val="single"/>
                      <w:lang w:val="en-US" w:eastAsia="zh-CN" w:bidi="ar-SA"/>
                    </w:rPr>
                  </w:pPr>
                  <w:r>
                    <w:rPr>
                      <w:rFonts w:hint="eastAsia" w:cs="Times New Roman"/>
                      <w:color w:val="auto"/>
                      <w:kern w:val="2"/>
                      <w:sz w:val="21"/>
                      <w:szCs w:val="20"/>
                      <w:u w:val="single"/>
                      <w:lang w:val="en-US" w:eastAsia="zh-CN" w:bidi="ar-SA"/>
                    </w:rPr>
                    <w:t>在飞灰库内安装收集管道，将氨气收集后由水喷淋塔进行处理后经15m高排气筒</w:t>
                  </w:r>
                  <w:r>
                    <w:rPr>
                      <w:rFonts w:hint="eastAsia" w:ascii="Times New Roman" w:hAnsi="Times New Roman" w:eastAsia="宋体" w:cs="Times New Roman"/>
                      <w:color w:val="auto"/>
                      <w:kern w:val="2"/>
                      <w:sz w:val="21"/>
                      <w:szCs w:val="20"/>
                      <w:u w:val="single"/>
                      <w:lang w:val="en-US" w:eastAsia="zh-CN" w:bidi="ar-SA"/>
                    </w:rPr>
                    <w:t>排放</w:t>
                  </w:r>
                </w:p>
              </w:tc>
              <w:tc>
                <w:tcPr>
                  <w:tcW w:w="989" w:type="dxa"/>
                  <w:vMerge w:val="restart"/>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0"/>
                      <w:u w:val="single"/>
                      <w:lang w:val="en-US" w:eastAsia="zh-CN" w:bidi="ar-SA"/>
                    </w:rPr>
                  </w:pPr>
                  <w:r>
                    <w:rPr>
                      <w:rFonts w:hint="eastAsia" w:cs="Times New Roman"/>
                      <w:color w:val="auto"/>
                      <w:kern w:val="2"/>
                      <w:sz w:val="21"/>
                      <w:szCs w:val="20"/>
                      <w:u w:val="single"/>
                      <w:lang w:val="en-US" w:eastAsia="zh-CN" w:bidi="ar-SA"/>
                    </w:rPr>
                    <w:t>28</w:t>
                  </w:r>
                </w:p>
              </w:tc>
              <w:tc>
                <w:tcPr>
                  <w:tcW w:w="249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0"/>
                      <w:u w:val="single"/>
                      <w:lang w:val="en-US" w:eastAsia="zh-CN" w:bidi="ar-SA"/>
                    </w:rPr>
                  </w:pPr>
                  <w:r>
                    <w:rPr>
                      <w:rFonts w:hint="eastAsia" w:ascii="Times New Roman" w:hAnsi="Times New Roman" w:eastAsia="宋体" w:cs="Times New Roman"/>
                      <w:color w:val="auto"/>
                      <w:kern w:val="2"/>
                      <w:sz w:val="21"/>
                      <w:szCs w:val="20"/>
                      <w:u w:val="single"/>
                      <w:lang w:val="en-US" w:eastAsia="zh-CN" w:bidi="ar-SA"/>
                    </w:rPr>
                    <w:t>《 恶臭污染物排放标准》(GB 14554-93)中表2要求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630" w:hRule="atLeast"/>
              </w:trPr>
              <w:tc>
                <w:tcPr>
                  <w:tcW w:w="1230" w:type="dxa"/>
                  <w:vMerge w:val="continue"/>
                  <w:vAlign w:val="center"/>
                </w:tcPr>
                <w:p>
                  <w:pPr>
                    <w:spacing w:line="240" w:lineRule="auto"/>
                    <w:ind w:left="0" w:leftChars="0" w:firstLine="0" w:firstLineChars="0"/>
                    <w:jc w:val="center"/>
                    <w:rPr>
                      <w:rFonts w:hint="eastAsia" w:hAnsi="宋体"/>
                      <w:color w:val="auto"/>
                      <w:szCs w:val="21"/>
                      <w:u w:val="single"/>
                    </w:rPr>
                  </w:pPr>
                </w:p>
              </w:tc>
              <w:tc>
                <w:tcPr>
                  <w:tcW w:w="903" w:type="dxa"/>
                  <w:vAlign w:val="center"/>
                </w:tcPr>
                <w:p>
                  <w:pPr>
                    <w:spacing w:line="240" w:lineRule="auto"/>
                    <w:ind w:left="0" w:leftChars="0" w:firstLine="0" w:firstLineChars="0"/>
                    <w:jc w:val="center"/>
                    <w:rPr>
                      <w:rFonts w:hint="default" w:hAnsi="宋体" w:eastAsia="宋体"/>
                      <w:color w:val="auto"/>
                      <w:szCs w:val="21"/>
                      <w:u w:val="single"/>
                      <w:lang w:val="en-US" w:eastAsia="zh-CN"/>
                    </w:rPr>
                  </w:pPr>
                  <w:r>
                    <w:rPr>
                      <w:rFonts w:hint="eastAsia" w:hAnsi="宋体"/>
                      <w:color w:val="auto"/>
                      <w:szCs w:val="21"/>
                      <w:u w:val="single"/>
                      <w:lang w:val="en-US" w:eastAsia="zh-CN"/>
                    </w:rPr>
                    <w:t>氨气无组织</w:t>
                  </w:r>
                </w:p>
              </w:tc>
              <w:tc>
                <w:tcPr>
                  <w:tcW w:w="3001" w:type="dxa"/>
                  <w:gridSpan w:val="2"/>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0"/>
                      <w:u w:val="single"/>
                      <w:lang w:val="en-US" w:eastAsia="zh-CN" w:bidi="ar-SA"/>
                    </w:rPr>
                  </w:pPr>
                  <w:r>
                    <w:rPr>
                      <w:rFonts w:hint="eastAsia" w:ascii="Times New Roman" w:hAnsi="Times New Roman" w:eastAsia="宋体" w:cs="Times New Roman"/>
                      <w:color w:val="auto"/>
                      <w:kern w:val="2"/>
                      <w:sz w:val="21"/>
                      <w:szCs w:val="20"/>
                      <w:u w:val="single"/>
                      <w:lang w:val="en-US" w:eastAsia="zh-CN" w:bidi="ar-SA"/>
                    </w:rPr>
                    <w:t>通过加强环保设施密闭收集，提高收集效率，加强飞灰库密闭</w:t>
                  </w:r>
                </w:p>
              </w:tc>
              <w:tc>
                <w:tcPr>
                  <w:tcW w:w="989" w:type="dxa"/>
                  <w:vMerge w:val="continue"/>
                  <w:vAlign w:val="center"/>
                </w:tcPr>
                <w:p>
                  <w:pPr>
                    <w:spacing w:line="240" w:lineRule="auto"/>
                    <w:ind w:left="0" w:leftChars="0" w:firstLine="0" w:firstLineChars="0"/>
                    <w:jc w:val="center"/>
                    <w:rPr>
                      <w:rFonts w:hint="eastAsia" w:hAnsi="宋体"/>
                      <w:color w:val="auto"/>
                      <w:szCs w:val="21"/>
                      <w:u w:val="single"/>
                    </w:rPr>
                  </w:pPr>
                </w:p>
              </w:tc>
              <w:tc>
                <w:tcPr>
                  <w:tcW w:w="249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0"/>
                      <w:u w:val="single"/>
                      <w:lang w:val="en-US" w:eastAsia="zh-CN" w:bidi="ar-SA"/>
                    </w:rPr>
                  </w:pPr>
                  <w:r>
                    <w:rPr>
                      <w:rFonts w:hint="eastAsia" w:ascii="Times New Roman" w:hAnsi="Times New Roman" w:eastAsia="宋体" w:cs="Times New Roman"/>
                      <w:color w:val="auto"/>
                      <w:kern w:val="2"/>
                      <w:sz w:val="21"/>
                      <w:szCs w:val="20"/>
                      <w:u w:val="single"/>
                      <w:lang w:val="en-US" w:eastAsia="zh-CN" w:bidi="ar-SA"/>
                    </w:rPr>
                    <w:t>《恶臭污染物排放标准》(GB14554-1993)表 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630" w:hRule="atLeast"/>
              </w:trPr>
              <w:tc>
                <w:tcPr>
                  <w:tcW w:w="1230" w:type="dxa"/>
                  <w:vMerge w:val="continue"/>
                  <w:vAlign w:val="center"/>
                </w:tcPr>
                <w:p>
                  <w:pPr>
                    <w:spacing w:line="240" w:lineRule="auto"/>
                    <w:ind w:left="0" w:leftChars="0" w:firstLine="0" w:firstLineChars="0"/>
                    <w:jc w:val="center"/>
                    <w:rPr>
                      <w:rFonts w:hint="eastAsia" w:hAnsi="宋体"/>
                      <w:color w:val="auto"/>
                      <w:szCs w:val="21"/>
                      <w:u w:val="single"/>
                    </w:rPr>
                  </w:pPr>
                </w:p>
              </w:tc>
              <w:tc>
                <w:tcPr>
                  <w:tcW w:w="903" w:type="dxa"/>
                  <w:vAlign w:val="center"/>
                </w:tcPr>
                <w:p>
                  <w:pPr>
                    <w:spacing w:line="240" w:lineRule="auto"/>
                    <w:ind w:left="0" w:leftChars="0" w:firstLine="0" w:firstLineChars="0"/>
                    <w:jc w:val="center"/>
                    <w:rPr>
                      <w:rFonts w:hint="default" w:hAnsi="宋体" w:eastAsia="宋体"/>
                      <w:color w:val="auto"/>
                      <w:szCs w:val="21"/>
                      <w:u w:val="single"/>
                      <w:lang w:val="en-US" w:eastAsia="zh-CN"/>
                    </w:rPr>
                  </w:pPr>
                  <w:r>
                    <w:rPr>
                      <w:rFonts w:hint="eastAsia" w:hAnsi="宋体"/>
                      <w:color w:val="auto"/>
                      <w:szCs w:val="21"/>
                      <w:u w:val="single"/>
                      <w:lang w:val="en-US" w:eastAsia="zh-CN"/>
                    </w:rPr>
                    <w:t>颗粒物无组织</w:t>
                  </w:r>
                </w:p>
              </w:tc>
              <w:tc>
                <w:tcPr>
                  <w:tcW w:w="3001" w:type="dxa"/>
                  <w:gridSpan w:val="2"/>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0"/>
                      <w:u w:val="single"/>
                      <w:lang w:val="en-US" w:eastAsia="zh-CN" w:bidi="ar-SA"/>
                    </w:rPr>
                  </w:pPr>
                  <w:r>
                    <w:rPr>
                      <w:rFonts w:hint="eastAsia" w:ascii="Times New Roman" w:hAnsi="Times New Roman" w:eastAsia="宋体" w:cs="Times New Roman"/>
                      <w:color w:val="auto"/>
                      <w:kern w:val="2"/>
                      <w:sz w:val="21"/>
                      <w:szCs w:val="20"/>
                      <w:u w:val="single"/>
                      <w:lang w:val="en-US" w:eastAsia="zh-CN" w:bidi="ar-SA"/>
                    </w:rPr>
                    <w:t>无组织粉尘通过在暂存库上方安装喷干雾装置、定期对厂内进行洒水抑尘且在运输道路上进行洒水抑尘降低</w:t>
                  </w:r>
                </w:p>
              </w:tc>
              <w:tc>
                <w:tcPr>
                  <w:tcW w:w="989" w:type="dxa"/>
                  <w:vAlign w:val="center"/>
                </w:tcPr>
                <w:p>
                  <w:pPr>
                    <w:spacing w:line="240" w:lineRule="auto"/>
                    <w:ind w:left="0" w:leftChars="0" w:firstLine="0" w:firstLineChars="0"/>
                    <w:jc w:val="center"/>
                    <w:rPr>
                      <w:rFonts w:hint="eastAsia" w:hAnsi="宋体" w:eastAsia="宋体"/>
                      <w:color w:val="auto"/>
                      <w:szCs w:val="21"/>
                      <w:u w:val="single"/>
                      <w:lang w:val="en-US" w:eastAsia="zh-CN"/>
                    </w:rPr>
                  </w:pPr>
                  <w:r>
                    <w:rPr>
                      <w:rFonts w:hint="eastAsia" w:hAnsi="宋体"/>
                      <w:color w:val="auto"/>
                      <w:szCs w:val="21"/>
                      <w:u w:val="single"/>
                      <w:lang w:val="en-US" w:eastAsia="zh-CN"/>
                    </w:rPr>
                    <w:t>0（库内已安装）</w:t>
                  </w:r>
                </w:p>
              </w:tc>
              <w:tc>
                <w:tcPr>
                  <w:tcW w:w="249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0"/>
                      <w:u w:val="single"/>
                      <w:lang w:val="en-US" w:eastAsia="zh-CN" w:bidi="ar-SA"/>
                    </w:rPr>
                  </w:pPr>
                  <w:r>
                    <w:rPr>
                      <w:rFonts w:hint="eastAsia" w:ascii="Times New Roman" w:hAnsi="Times New Roman" w:eastAsia="宋体" w:cs="Times New Roman"/>
                      <w:color w:val="auto"/>
                      <w:kern w:val="2"/>
                      <w:sz w:val="21"/>
                      <w:szCs w:val="20"/>
                      <w:u w:val="single"/>
                      <w:lang w:val="en-US" w:eastAsia="zh-CN" w:bidi="ar-SA"/>
                    </w:rPr>
                    <w:t>《大气污染物综合排放标准》（GB16297-1996）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504" w:hRule="atLeast"/>
              </w:trPr>
              <w:tc>
                <w:tcPr>
                  <w:tcW w:w="2133" w:type="dxa"/>
                  <w:gridSpan w:val="2"/>
                  <w:vAlign w:val="center"/>
                </w:tcPr>
                <w:p>
                  <w:pPr>
                    <w:spacing w:line="276" w:lineRule="auto"/>
                    <w:jc w:val="center"/>
                    <w:rPr>
                      <w:rFonts w:hint="eastAsia" w:hAnsi="宋体"/>
                      <w:color w:val="auto"/>
                      <w:szCs w:val="21"/>
                      <w:u w:val="single"/>
                    </w:rPr>
                  </w:pPr>
                  <w:r>
                    <w:rPr>
                      <w:rFonts w:hint="eastAsia" w:hAnsi="宋体"/>
                      <w:color w:val="auto"/>
                      <w:szCs w:val="21"/>
                      <w:u w:val="single"/>
                    </w:rPr>
                    <w:t>废水</w:t>
                  </w:r>
                </w:p>
              </w:tc>
              <w:tc>
                <w:tcPr>
                  <w:tcW w:w="6485" w:type="dxa"/>
                  <w:gridSpan w:val="4"/>
                  <w:vAlign w:val="center"/>
                </w:tcPr>
                <w:p>
                  <w:pPr>
                    <w:spacing w:line="240" w:lineRule="auto"/>
                    <w:jc w:val="center"/>
                    <w:rPr>
                      <w:rFonts w:hint="default" w:eastAsia="宋体"/>
                      <w:bCs/>
                      <w:color w:val="auto"/>
                      <w:szCs w:val="21"/>
                      <w:u w:val="single"/>
                      <w:lang w:val="en-US" w:eastAsia="zh-CN"/>
                    </w:rPr>
                  </w:pPr>
                  <w:r>
                    <w:rPr>
                      <w:rFonts w:hint="eastAsia"/>
                      <w:bCs/>
                      <w:color w:val="auto"/>
                      <w:szCs w:val="21"/>
                      <w:u w:val="single"/>
                      <w:lang w:val="en-US" w:eastAsia="zh-CN"/>
                    </w:rPr>
                    <w:t>喷淋塔收集废水进入现有工程工业废水处理站进行处理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459" w:hRule="atLeast"/>
              </w:trPr>
              <w:tc>
                <w:tcPr>
                  <w:tcW w:w="2133" w:type="dxa"/>
                  <w:gridSpan w:val="2"/>
                  <w:vAlign w:val="center"/>
                </w:tcPr>
                <w:p>
                  <w:pPr>
                    <w:spacing w:line="276" w:lineRule="auto"/>
                    <w:jc w:val="center"/>
                    <w:rPr>
                      <w:rFonts w:hint="eastAsia" w:hAnsi="宋体"/>
                      <w:color w:val="auto"/>
                      <w:szCs w:val="21"/>
                      <w:u w:val="single"/>
                    </w:rPr>
                  </w:pPr>
                  <w:r>
                    <w:rPr>
                      <w:rFonts w:hint="eastAsia" w:hAnsi="宋体"/>
                      <w:color w:val="auto"/>
                      <w:szCs w:val="21"/>
                      <w:u w:val="single"/>
                    </w:rPr>
                    <w:t>噪声</w:t>
                  </w:r>
                </w:p>
              </w:tc>
              <w:tc>
                <w:tcPr>
                  <w:tcW w:w="3001" w:type="dxa"/>
                  <w:gridSpan w:val="2"/>
                  <w:vAlign w:val="center"/>
                </w:tcPr>
                <w:p>
                  <w:pPr>
                    <w:spacing w:line="240" w:lineRule="auto"/>
                    <w:jc w:val="center"/>
                    <w:rPr>
                      <w:rFonts w:hint="default" w:eastAsia="宋体"/>
                      <w:bCs/>
                      <w:color w:val="auto"/>
                      <w:szCs w:val="21"/>
                      <w:u w:val="single"/>
                      <w:lang w:val="en-US" w:eastAsia="zh-CN"/>
                    </w:rPr>
                  </w:pPr>
                  <w:r>
                    <w:rPr>
                      <w:rFonts w:hint="eastAsia" w:ascii="Times New Roman" w:hAnsi="宋体" w:eastAsia="宋体" w:cs="Times New Roman"/>
                      <w:color w:val="auto"/>
                      <w:szCs w:val="21"/>
                      <w:u w:val="single"/>
                    </w:rPr>
                    <w:t>根据周围环境情况合理安排</w:t>
                  </w:r>
                  <w:r>
                    <w:rPr>
                      <w:rFonts w:hint="eastAsia" w:ascii="Times New Roman" w:hAnsi="宋体" w:eastAsia="宋体" w:cs="Times New Roman"/>
                      <w:color w:val="auto"/>
                      <w:szCs w:val="21"/>
                      <w:u w:val="single"/>
                      <w:lang w:val="en-US" w:eastAsia="zh-CN"/>
                    </w:rPr>
                    <w:t>运输</w:t>
                  </w:r>
                  <w:r>
                    <w:rPr>
                      <w:rFonts w:hint="eastAsia" w:ascii="Times New Roman" w:hAnsi="宋体" w:eastAsia="宋体" w:cs="Times New Roman"/>
                      <w:color w:val="auto"/>
                      <w:szCs w:val="21"/>
                      <w:u w:val="single"/>
                    </w:rPr>
                    <w:t>时间</w:t>
                  </w:r>
                  <w:r>
                    <w:rPr>
                      <w:rFonts w:hint="eastAsia" w:ascii="Times New Roman" w:hAnsi="宋体" w:eastAsia="宋体" w:cs="Times New Roman"/>
                      <w:color w:val="auto"/>
                      <w:szCs w:val="21"/>
                      <w:u w:val="single"/>
                      <w:lang w:eastAsia="zh-CN"/>
                    </w:rPr>
                    <w:t>，</w:t>
                  </w:r>
                  <w:r>
                    <w:rPr>
                      <w:rFonts w:hint="eastAsia" w:ascii="Times New Roman" w:hAnsi="宋体" w:eastAsia="宋体" w:cs="Times New Roman"/>
                      <w:color w:val="auto"/>
                      <w:szCs w:val="21"/>
                      <w:u w:val="single"/>
                      <w:lang w:val="en-US" w:eastAsia="zh-CN"/>
                    </w:rPr>
                    <w:t>运输路线</w:t>
                  </w:r>
                  <w:r>
                    <w:rPr>
                      <w:rFonts w:hint="eastAsia" w:ascii="Times New Roman" w:hAnsi="宋体" w:eastAsia="宋体" w:cs="Times New Roman"/>
                      <w:color w:val="auto"/>
                      <w:szCs w:val="21"/>
                      <w:u w:val="single"/>
                    </w:rPr>
                    <w:t>合理布局，以避免局部声级过高，</w:t>
                  </w:r>
                  <w:r>
                    <w:rPr>
                      <w:rFonts w:hint="eastAsia" w:ascii="Times New Roman" w:hAnsi="宋体" w:eastAsia="宋体" w:cs="Times New Roman"/>
                      <w:color w:val="auto"/>
                      <w:szCs w:val="21"/>
                      <w:u w:val="single"/>
                      <w:lang w:val="en-US" w:eastAsia="zh-CN"/>
                    </w:rPr>
                    <w:t>运输车辆尽量低速行驶</w:t>
                  </w:r>
                  <w:r>
                    <w:rPr>
                      <w:rFonts w:hint="eastAsia" w:ascii="Times New Roman" w:hAnsi="宋体" w:eastAsia="宋体" w:cs="Times New Roman"/>
                      <w:color w:val="auto"/>
                      <w:szCs w:val="21"/>
                      <w:u w:val="single"/>
                    </w:rPr>
                    <w:t>，以减少对周围环境的影响，尽可能将</w:t>
                  </w:r>
                  <w:r>
                    <w:rPr>
                      <w:rFonts w:hint="eastAsia" w:ascii="Times New Roman" w:hAnsi="宋体" w:eastAsia="宋体" w:cs="Times New Roman"/>
                      <w:color w:val="auto"/>
                      <w:szCs w:val="21"/>
                      <w:u w:val="single"/>
                      <w:lang w:val="en-US" w:eastAsia="zh-CN"/>
                    </w:rPr>
                    <w:t>运输、装卸</w:t>
                  </w:r>
                  <w:r>
                    <w:rPr>
                      <w:rFonts w:hint="eastAsia" w:ascii="Times New Roman" w:hAnsi="宋体" w:eastAsia="宋体" w:cs="Times New Roman"/>
                      <w:color w:val="auto"/>
                      <w:szCs w:val="21"/>
                      <w:u w:val="single"/>
                    </w:rPr>
                    <w:t>阶段的噪声减至最小；加强</w:t>
                  </w:r>
                  <w:r>
                    <w:rPr>
                      <w:rFonts w:hint="eastAsia" w:ascii="Times New Roman" w:hAnsi="宋体" w:eastAsia="宋体" w:cs="Times New Roman"/>
                      <w:color w:val="auto"/>
                      <w:szCs w:val="21"/>
                      <w:u w:val="single"/>
                      <w:lang w:val="en-US" w:eastAsia="zh-CN"/>
                    </w:rPr>
                    <w:t>运输</w:t>
                  </w:r>
                  <w:r>
                    <w:rPr>
                      <w:rFonts w:hint="eastAsia" w:ascii="Times New Roman" w:hAnsi="宋体" w:eastAsia="宋体" w:cs="Times New Roman"/>
                      <w:color w:val="auto"/>
                      <w:szCs w:val="21"/>
                      <w:u w:val="single"/>
                    </w:rPr>
                    <w:t>的维修、管理，保证</w:t>
                  </w:r>
                  <w:r>
                    <w:rPr>
                      <w:rFonts w:hint="eastAsia" w:ascii="Times New Roman" w:hAnsi="宋体" w:eastAsia="宋体" w:cs="Times New Roman"/>
                      <w:color w:val="auto"/>
                      <w:szCs w:val="21"/>
                      <w:u w:val="single"/>
                      <w:lang w:val="en-US" w:eastAsia="zh-CN"/>
                    </w:rPr>
                    <w:t>运输车辆</w:t>
                  </w:r>
                  <w:r>
                    <w:rPr>
                      <w:rFonts w:hint="eastAsia" w:ascii="Times New Roman" w:hAnsi="宋体" w:eastAsia="宋体" w:cs="Times New Roman"/>
                      <w:color w:val="auto"/>
                      <w:szCs w:val="21"/>
                      <w:u w:val="single"/>
                    </w:rPr>
                    <w:t>处于低噪声、高效率的状态</w:t>
                  </w:r>
                  <w:r>
                    <w:rPr>
                      <w:rFonts w:hint="eastAsia" w:hAnsi="宋体" w:cs="Times New Roman"/>
                      <w:color w:val="auto"/>
                      <w:szCs w:val="21"/>
                      <w:u w:val="single"/>
                      <w:lang w:eastAsia="zh-CN"/>
                    </w:rPr>
                    <w:t>；</w:t>
                  </w:r>
                  <w:r>
                    <w:rPr>
                      <w:rFonts w:hint="eastAsia" w:hAnsi="宋体" w:cs="Times New Roman"/>
                      <w:color w:val="auto"/>
                      <w:szCs w:val="21"/>
                      <w:u w:val="single"/>
                      <w:lang w:val="en-US" w:eastAsia="zh-CN"/>
                    </w:rPr>
                    <w:t>风机噪声采取基础减震距离衰减措施减弱</w:t>
                  </w:r>
                </w:p>
              </w:tc>
              <w:tc>
                <w:tcPr>
                  <w:tcW w:w="989" w:type="dxa"/>
                  <w:vAlign w:val="center"/>
                </w:tcPr>
                <w:p>
                  <w:pPr>
                    <w:spacing w:line="240" w:lineRule="auto"/>
                    <w:jc w:val="center"/>
                    <w:rPr>
                      <w:rFonts w:hint="default" w:ascii="Times New Roman" w:hAnsi="宋体" w:eastAsia="宋体" w:cs="Times New Roman"/>
                      <w:color w:val="auto"/>
                      <w:szCs w:val="21"/>
                      <w:u w:val="single"/>
                      <w:lang w:val="en-US" w:eastAsia="zh-CN"/>
                    </w:rPr>
                  </w:pPr>
                  <w:r>
                    <w:rPr>
                      <w:rFonts w:hint="eastAsia" w:hAnsi="宋体" w:cs="Times New Roman"/>
                      <w:color w:val="auto"/>
                      <w:szCs w:val="21"/>
                      <w:u w:val="single"/>
                      <w:lang w:val="en-US" w:eastAsia="zh-CN"/>
                    </w:rPr>
                    <w:t>2</w:t>
                  </w:r>
                </w:p>
              </w:tc>
              <w:tc>
                <w:tcPr>
                  <w:tcW w:w="2495" w:type="dxa"/>
                  <w:vAlign w:val="center"/>
                </w:tcPr>
                <w:p>
                  <w:pPr>
                    <w:spacing w:line="240" w:lineRule="auto"/>
                    <w:jc w:val="center"/>
                    <w:rPr>
                      <w:rFonts w:hint="default"/>
                      <w:bCs/>
                      <w:color w:val="auto"/>
                      <w:szCs w:val="21"/>
                      <w:u w:val="single"/>
                      <w:lang w:val="en-US" w:eastAsia="zh-CN"/>
                    </w:rPr>
                  </w:pPr>
                  <w:r>
                    <w:rPr>
                      <w:rFonts w:hint="eastAsia" w:ascii="Times New Roman" w:hAnsi="宋体" w:eastAsia="宋体" w:cs="Times New Roman"/>
                      <w:color w:val="auto"/>
                      <w:szCs w:val="21"/>
                      <w:u w:val="single"/>
                      <w:lang w:val="en-US" w:eastAsia="zh-CN"/>
                    </w:rPr>
                    <w:t>《工业企业厂界环境噪声排放标准》（GB12348-2008）2类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485" w:hRule="atLeast"/>
              </w:trPr>
              <w:tc>
                <w:tcPr>
                  <w:tcW w:w="2133" w:type="dxa"/>
                  <w:gridSpan w:val="2"/>
                  <w:vAlign w:val="center"/>
                </w:tcPr>
                <w:p>
                  <w:pPr>
                    <w:spacing w:line="276" w:lineRule="auto"/>
                    <w:jc w:val="center"/>
                    <w:rPr>
                      <w:rFonts w:hint="eastAsia" w:hAnsi="宋体"/>
                      <w:color w:val="auto"/>
                      <w:szCs w:val="21"/>
                      <w:u w:val="single"/>
                    </w:rPr>
                  </w:pPr>
                  <w:r>
                    <w:rPr>
                      <w:rFonts w:hint="eastAsia" w:hAnsi="宋体"/>
                      <w:color w:val="auto"/>
                      <w:szCs w:val="21"/>
                      <w:u w:val="single"/>
                    </w:rPr>
                    <w:t>固废</w:t>
                  </w:r>
                </w:p>
              </w:tc>
              <w:tc>
                <w:tcPr>
                  <w:tcW w:w="6485" w:type="dxa"/>
                  <w:gridSpan w:val="4"/>
                  <w:vAlign w:val="center"/>
                </w:tcPr>
                <w:p>
                  <w:pPr>
                    <w:spacing w:line="240" w:lineRule="auto"/>
                    <w:jc w:val="center"/>
                    <w:rPr>
                      <w:rFonts w:hint="default" w:eastAsia="宋体"/>
                      <w:bCs/>
                      <w:color w:val="auto"/>
                      <w:szCs w:val="21"/>
                      <w:u w:val="single"/>
                      <w:lang w:val="en-US" w:eastAsia="zh-CN"/>
                    </w:rPr>
                  </w:pPr>
                  <w:r>
                    <w:rPr>
                      <w:rFonts w:hint="eastAsia"/>
                      <w:bCs/>
                      <w:color w:val="auto"/>
                      <w:szCs w:val="21"/>
                      <w:u w:val="single"/>
                      <w:lang w:val="en-US" w:eastAsia="zh-CN"/>
                    </w:rPr>
                    <w:t>本项目不新增固废污染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93" w:hRule="atLeast"/>
              </w:trPr>
              <w:tc>
                <w:tcPr>
                  <w:tcW w:w="2133" w:type="dxa"/>
                  <w:gridSpan w:val="2"/>
                  <w:vAlign w:val="center"/>
                </w:tcPr>
                <w:p>
                  <w:pPr>
                    <w:spacing w:line="276" w:lineRule="auto"/>
                    <w:jc w:val="center"/>
                    <w:rPr>
                      <w:rFonts w:hint="default" w:hAnsi="宋体" w:eastAsia="宋体"/>
                      <w:color w:val="auto"/>
                      <w:szCs w:val="21"/>
                      <w:u w:val="single"/>
                      <w:lang w:val="en-US" w:eastAsia="zh-CN"/>
                    </w:rPr>
                  </w:pPr>
                  <w:r>
                    <w:rPr>
                      <w:rFonts w:hint="eastAsia" w:hAnsi="宋体"/>
                      <w:color w:val="auto"/>
                      <w:szCs w:val="21"/>
                      <w:u w:val="single"/>
                      <w:lang w:val="en-US" w:eastAsia="zh-CN"/>
                    </w:rPr>
                    <w:t>环境风险（土壤及地下水）</w:t>
                  </w:r>
                </w:p>
              </w:tc>
              <w:tc>
                <w:tcPr>
                  <w:tcW w:w="927" w:type="dxa"/>
                  <w:vAlign w:val="center"/>
                </w:tcPr>
                <w:p>
                  <w:pPr>
                    <w:spacing w:line="276" w:lineRule="auto"/>
                    <w:jc w:val="center"/>
                    <w:rPr>
                      <w:rFonts w:hint="eastAsia" w:hAnsi="宋体"/>
                      <w:color w:val="auto"/>
                      <w:szCs w:val="21"/>
                      <w:u w:val="single"/>
                      <w:lang w:val="en-US" w:eastAsia="zh-CN"/>
                    </w:rPr>
                  </w:pPr>
                  <w:r>
                    <w:rPr>
                      <w:rFonts w:hint="eastAsia" w:hAnsi="宋体"/>
                      <w:color w:val="auto"/>
                      <w:szCs w:val="21"/>
                      <w:u w:val="single"/>
                      <w:lang w:val="en-US" w:eastAsia="zh-CN"/>
                    </w:rPr>
                    <w:t>土壤及地下水</w:t>
                  </w:r>
                </w:p>
              </w:tc>
              <w:tc>
                <w:tcPr>
                  <w:tcW w:w="2074" w:type="dxa"/>
                  <w:vAlign w:val="center"/>
                </w:tcPr>
                <w:p>
                  <w:pPr>
                    <w:spacing w:line="240" w:lineRule="atLeast"/>
                    <w:jc w:val="center"/>
                    <w:rPr>
                      <w:rFonts w:hint="default" w:ascii="Times New Roman" w:hAnsi="宋体" w:cs="Times New Roman"/>
                      <w:bCs/>
                      <w:color w:val="auto"/>
                      <w:szCs w:val="21"/>
                      <w:u w:val="single"/>
                      <w:lang w:val="en-US" w:eastAsia="zh-CN"/>
                    </w:rPr>
                  </w:pPr>
                  <w:r>
                    <w:rPr>
                      <w:rFonts w:hint="eastAsia" w:hAnsi="宋体" w:cs="Times New Roman"/>
                      <w:bCs/>
                      <w:color w:val="auto"/>
                      <w:szCs w:val="21"/>
                      <w:u w:val="single"/>
                      <w:lang w:val="en-US" w:eastAsia="zh-CN"/>
                    </w:rPr>
                    <w:t>对本项目飞灰仓库地面、墙裙等做重点防渗，使其达到飞灰储存条件</w:t>
                  </w:r>
                </w:p>
              </w:tc>
              <w:tc>
                <w:tcPr>
                  <w:tcW w:w="989" w:type="dxa"/>
                  <w:vAlign w:val="center"/>
                </w:tcPr>
                <w:p>
                  <w:pPr>
                    <w:spacing w:line="276" w:lineRule="auto"/>
                    <w:jc w:val="center"/>
                    <w:rPr>
                      <w:rFonts w:hint="default"/>
                      <w:bCs/>
                      <w:color w:val="auto"/>
                      <w:szCs w:val="21"/>
                      <w:u w:val="single"/>
                      <w:lang w:val="en-US" w:eastAsia="zh-CN"/>
                    </w:rPr>
                  </w:pPr>
                  <w:r>
                    <w:rPr>
                      <w:rFonts w:hint="eastAsia"/>
                      <w:bCs/>
                      <w:color w:val="auto"/>
                      <w:szCs w:val="21"/>
                      <w:u w:val="single"/>
                      <w:lang w:val="en-US" w:eastAsia="zh-CN"/>
                    </w:rPr>
                    <w:t>20</w:t>
                  </w:r>
                </w:p>
              </w:tc>
              <w:tc>
                <w:tcPr>
                  <w:tcW w:w="2731" w:type="dxa"/>
                  <w:gridSpan w:val="2"/>
                  <w:vAlign w:val="center"/>
                </w:tcPr>
                <w:p>
                  <w:pPr>
                    <w:spacing w:line="240" w:lineRule="auto"/>
                    <w:jc w:val="center"/>
                    <w:rPr>
                      <w:rFonts w:hint="eastAsia" w:ascii="Times New Roman" w:hAnsi="Times New Roman" w:cs="Times New Roman"/>
                      <w:color w:val="auto"/>
                      <w:u w:val="single"/>
                      <w:lang w:val="en-US" w:eastAsia="zh-CN"/>
                    </w:rPr>
                  </w:pPr>
                  <w:r>
                    <w:rPr>
                      <w:rFonts w:hint="eastAsia" w:cs="Times New Roman"/>
                      <w:color w:val="auto"/>
                      <w:u w:val="single"/>
                      <w:lang w:val="en-US" w:eastAsia="zh-CN"/>
                    </w:rPr>
                    <w:t>达到飞灰储存条件，满足</w:t>
                  </w:r>
                  <w:r>
                    <w:rPr>
                      <w:rFonts w:hint="eastAsia" w:ascii="Times New Roman" w:hAnsi="Times New Roman" w:cs="Times New Roman"/>
                      <w:color w:val="auto"/>
                      <w:u w:val="single"/>
                      <w:lang w:val="en-US" w:eastAsia="zh-CN"/>
                    </w:rPr>
                    <w:t>《危险废物贮存污染控制标准》（GB 18597-2023）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After w:val="1"/>
                <w:wAfter w:w="236" w:type="dxa"/>
                <w:trHeight w:val="438" w:hRule="atLeast"/>
              </w:trPr>
              <w:tc>
                <w:tcPr>
                  <w:tcW w:w="5134" w:type="dxa"/>
                  <w:gridSpan w:val="4"/>
                  <w:vAlign w:val="center"/>
                </w:tcPr>
                <w:p>
                  <w:pPr>
                    <w:spacing w:line="276" w:lineRule="auto"/>
                    <w:jc w:val="center"/>
                    <w:rPr>
                      <w:rFonts w:hint="eastAsia" w:hAnsi="宋体"/>
                      <w:color w:val="auto"/>
                      <w:szCs w:val="21"/>
                      <w:u w:val="single"/>
                    </w:rPr>
                  </w:pPr>
                  <w:r>
                    <w:rPr>
                      <w:rFonts w:hint="eastAsia" w:hAnsi="宋体"/>
                      <w:color w:val="auto"/>
                      <w:szCs w:val="21"/>
                      <w:u w:val="single"/>
                    </w:rPr>
                    <w:t>合计</w:t>
                  </w:r>
                </w:p>
              </w:tc>
              <w:tc>
                <w:tcPr>
                  <w:tcW w:w="989" w:type="dxa"/>
                  <w:vAlign w:val="center"/>
                </w:tcPr>
                <w:p>
                  <w:pPr>
                    <w:spacing w:line="276" w:lineRule="auto"/>
                    <w:jc w:val="center"/>
                    <w:rPr>
                      <w:rFonts w:hint="default"/>
                      <w:bCs/>
                      <w:color w:val="auto"/>
                      <w:szCs w:val="21"/>
                      <w:u w:val="single"/>
                      <w:lang w:val="en-US"/>
                    </w:rPr>
                  </w:pPr>
                  <w:r>
                    <w:rPr>
                      <w:rFonts w:hint="eastAsia"/>
                      <w:bCs/>
                      <w:color w:val="auto"/>
                      <w:szCs w:val="21"/>
                      <w:u w:val="single"/>
                      <w:lang w:val="en-US" w:eastAsia="zh-CN"/>
                    </w:rPr>
                    <w:t>50</w:t>
                  </w:r>
                </w:p>
              </w:tc>
              <w:tc>
                <w:tcPr>
                  <w:tcW w:w="2495" w:type="dxa"/>
                  <w:vAlign w:val="center"/>
                </w:tcPr>
                <w:p>
                  <w:pPr>
                    <w:spacing w:line="276" w:lineRule="auto"/>
                    <w:jc w:val="center"/>
                    <w:rPr>
                      <w:rFonts w:hint="default"/>
                      <w:bCs/>
                      <w:color w:val="auto"/>
                      <w:szCs w:val="21"/>
                      <w:u w:val="single"/>
                      <w:lang w:val="en-US" w:eastAsia="zh-CN"/>
                    </w:rPr>
                  </w:pPr>
                  <w:r>
                    <w:rPr>
                      <w:rFonts w:hint="eastAsia"/>
                      <w:bCs/>
                      <w:color w:val="auto"/>
                      <w:szCs w:val="21"/>
                      <w:u w:val="single"/>
                      <w:lang w:val="en-US" w:eastAsia="zh-CN"/>
                    </w:rPr>
                    <w:t>/</w:t>
                  </w:r>
                </w:p>
              </w:tc>
            </w:tr>
          </w:tbl>
          <w:p>
            <w:pPr>
              <w:pStyle w:val="7"/>
              <w:keepNext w:val="0"/>
              <w:keepLines w:val="0"/>
              <w:pageBreakBefore w:val="0"/>
              <w:widowControl w:val="0"/>
              <w:numPr>
                <w:ilvl w:val="0"/>
                <w:numId w:val="0"/>
              </w:numPr>
              <w:kinsoku/>
              <w:wordWrap/>
              <w:overflowPunct/>
              <w:topLinePunct w:val="0"/>
              <w:bidi w:val="0"/>
              <w:spacing w:line="520" w:lineRule="exact"/>
              <w:jc w:val="center"/>
              <w:textAlignment w:val="auto"/>
              <w:rPr>
                <w:rFonts w:hint="default" w:ascii="Times New Roman" w:hAnsi="Times New Roman" w:eastAsia="黑体" w:cs="Times New Roman"/>
                <w:b w:val="0"/>
                <w:bCs w:val="0"/>
                <w:color w:val="auto"/>
                <w:sz w:val="24"/>
                <w:szCs w:val="24"/>
                <w:u w:val="none"/>
                <w:lang w:val="en-US" w:eastAsia="zh-CN"/>
              </w:rPr>
            </w:pPr>
          </w:p>
          <w:p>
            <w:pPr>
              <w:pStyle w:val="7"/>
              <w:keepNext w:val="0"/>
              <w:keepLines w:val="0"/>
              <w:pageBreakBefore w:val="0"/>
              <w:widowControl w:val="0"/>
              <w:numPr>
                <w:ilvl w:val="0"/>
                <w:numId w:val="0"/>
              </w:numPr>
              <w:kinsoku/>
              <w:wordWrap/>
              <w:overflowPunct/>
              <w:topLinePunct w:val="0"/>
              <w:bidi w:val="0"/>
              <w:spacing w:line="520" w:lineRule="exact"/>
              <w:jc w:val="center"/>
              <w:textAlignment w:val="auto"/>
              <w:rPr>
                <w:rFonts w:hint="default" w:ascii="Times New Roman" w:hAnsi="Times New Roman" w:eastAsia="黑体" w:cs="Times New Roman"/>
                <w:b w:val="0"/>
                <w:bCs w:val="0"/>
                <w:color w:val="auto"/>
                <w:sz w:val="24"/>
                <w:szCs w:val="24"/>
                <w:u w:val="none"/>
                <w:lang w:val="en-US" w:eastAsia="zh-CN"/>
              </w:rPr>
            </w:pPr>
          </w:p>
          <w:p>
            <w:pPr>
              <w:pStyle w:val="7"/>
              <w:keepNext w:val="0"/>
              <w:keepLines w:val="0"/>
              <w:pageBreakBefore w:val="0"/>
              <w:widowControl w:val="0"/>
              <w:numPr>
                <w:ilvl w:val="0"/>
                <w:numId w:val="0"/>
              </w:numPr>
              <w:kinsoku/>
              <w:wordWrap/>
              <w:overflowPunct/>
              <w:topLinePunct w:val="0"/>
              <w:bidi w:val="0"/>
              <w:spacing w:line="520" w:lineRule="exact"/>
              <w:jc w:val="center"/>
              <w:textAlignment w:val="auto"/>
              <w:rPr>
                <w:rFonts w:hint="default" w:ascii="Times New Roman" w:hAnsi="Times New Roman" w:eastAsia="黑体" w:cs="Times New Roman"/>
                <w:b w:val="0"/>
                <w:bCs w:val="0"/>
                <w:color w:val="auto"/>
                <w:sz w:val="24"/>
                <w:szCs w:val="24"/>
                <w:u w:val="none"/>
                <w:lang w:val="en-US" w:eastAsia="zh-CN"/>
              </w:rPr>
            </w:pPr>
          </w:p>
          <w:p>
            <w:pPr>
              <w:pStyle w:val="7"/>
              <w:keepNext w:val="0"/>
              <w:keepLines w:val="0"/>
              <w:pageBreakBefore w:val="0"/>
              <w:widowControl w:val="0"/>
              <w:numPr>
                <w:ilvl w:val="0"/>
                <w:numId w:val="0"/>
              </w:numPr>
              <w:kinsoku/>
              <w:wordWrap/>
              <w:overflowPunct/>
              <w:topLinePunct w:val="0"/>
              <w:bidi w:val="0"/>
              <w:spacing w:line="520" w:lineRule="exact"/>
              <w:jc w:val="center"/>
              <w:textAlignment w:val="auto"/>
              <w:rPr>
                <w:rFonts w:hint="default" w:ascii="Times New Roman" w:hAnsi="Times New Roman" w:eastAsia="黑体" w:cs="Times New Roman"/>
                <w:b w:val="0"/>
                <w:bCs w:val="0"/>
                <w:color w:val="auto"/>
                <w:sz w:val="24"/>
                <w:szCs w:val="24"/>
                <w:u w:val="none"/>
                <w:lang w:val="en-US" w:eastAsia="zh-CN"/>
              </w:rPr>
            </w:pPr>
          </w:p>
          <w:p>
            <w:pPr>
              <w:spacing w:before="120" w:beforeLines="50" w:line="360" w:lineRule="auto"/>
              <w:rPr>
                <w:rFonts w:hint="default" w:ascii="Times New Roman" w:hAnsi="Times New Roman" w:cs="Times New Roman"/>
                <w:color w:val="auto"/>
              </w:rPr>
            </w:pPr>
          </w:p>
        </w:tc>
      </w:tr>
    </w:tbl>
    <w:p>
      <w:pPr>
        <w:rPr>
          <w:rFonts w:ascii="Times New Roman" w:hAnsi="Times New Roman" w:cs="Times New Roman"/>
          <w:color w:val="auto"/>
        </w:rPr>
        <w:sectPr>
          <w:pgSz w:w="11907" w:h="16840"/>
          <w:pgMar w:top="1134" w:right="1417" w:bottom="1134"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spacing w:beforeLines="50" w:afterLines="50"/>
        <w:jc w:val="center"/>
        <w:outlineLvl w:val="0"/>
        <w:rPr>
          <w:rFonts w:ascii="Times New Roman" w:hAnsi="Times New Roman" w:eastAsia="黑体" w:cs="Times New Roman"/>
          <w:b/>
          <w:bCs/>
          <w:color w:val="auto"/>
          <w:sz w:val="30"/>
          <w:szCs w:val="30"/>
          <w:highlight w:val="yellow"/>
        </w:rPr>
      </w:pPr>
      <w:r>
        <w:rPr>
          <w:rFonts w:ascii="Times New Roman" w:hAnsi="Times New Roman" w:eastAsia="黑体" w:cs="Times New Roman"/>
          <w:b/>
          <w:bCs/>
          <w:color w:val="auto"/>
          <w:sz w:val="30"/>
          <w:szCs w:val="30"/>
        </w:rPr>
        <w:t>五、</w:t>
      </w:r>
      <w:bookmarkStart w:id="2" w:name="_Hlk54167917"/>
      <w:r>
        <w:rPr>
          <w:rFonts w:ascii="Times New Roman" w:hAnsi="Times New Roman" w:eastAsia="黑体" w:cs="Times New Roman"/>
          <w:b/>
          <w:bCs/>
          <w:color w:val="auto"/>
          <w:sz w:val="30"/>
          <w:szCs w:val="30"/>
        </w:rPr>
        <w:t>环境保护措施监督检查清单</w:t>
      </w:r>
      <w:bookmarkEnd w:id="2"/>
    </w:p>
    <w:tbl>
      <w:tblPr>
        <w:tblStyle w:val="28"/>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1343"/>
        <w:gridCol w:w="1391"/>
        <w:gridCol w:w="2666"/>
        <w:gridCol w:w="93"/>
        <w:gridCol w:w="18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3" w:type="pct"/>
            <w:tcBorders>
              <w:tl2br w:val="single" w:color="auto" w:sz="4" w:space="0"/>
            </w:tcBorders>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hint="eastAsia" w:ascii="Times New Roman" w:hAnsi="Times New Roman" w:eastAsia="宋体" w:cs="Times New Roman"/>
                <w:b/>
                <w:bCs/>
                <w:color w:val="auto"/>
                <w:sz w:val="24"/>
                <w:lang w:val="en-US" w:eastAsia="zh-CN"/>
              </w:rPr>
              <w:t xml:space="preserve">    </w:t>
            </w:r>
            <w:r>
              <w:rPr>
                <w:rFonts w:ascii="Times New Roman" w:hAnsi="Times New Roman" w:eastAsia="宋体" w:cs="Times New Roman"/>
                <w:b/>
                <w:bCs/>
                <w:color w:val="auto"/>
                <w:sz w:val="24"/>
              </w:rPr>
              <w:t>内容</w:t>
            </w:r>
          </w:p>
          <w:p>
            <w:pPr>
              <w:adjustRightInd w:val="0"/>
              <w:snapToGrid w:val="0"/>
              <w:spacing w:line="420" w:lineRule="exact"/>
              <w:jc w:val="both"/>
              <w:rPr>
                <w:rFonts w:ascii="Times New Roman" w:hAnsi="Times New Roman" w:eastAsia="宋体" w:cs="Times New Roman"/>
                <w:b/>
                <w:bCs/>
                <w:color w:val="auto"/>
                <w:sz w:val="24"/>
              </w:rPr>
            </w:pPr>
            <w:r>
              <w:rPr>
                <w:rFonts w:ascii="Times New Roman" w:hAnsi="Times New Roman" w:eastAsia="宋体" w:cs="Times New Roman"/>
                <w:b/>
                <w:bCs/>
                <w:color w:val="auto"/>
                <w:sz w:val="24"/>
              </w:rPr>
              <w:t>要素</w:t>
            </w:r>
          </w:p>
        </w:tc>
        <w:tc>
          <w:tcPr>
            <w:tcW w:w="72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排放口</w:t>
            </w:r>
            <w:r>
              <w:rPr>
                <w:rFonts w:hint="eastAsia" w:ascii="Times New Roman" w:hAnsi="Times New Roman" w:eastAsia="宋体" w:cs="Times New Roman"/>
                <w:b/>
                <w:bCs/>
                <w:color w:val="auto"/>
                <w:sz w:val="24"/>
                <w:lang w:eastAsia="zh-CN"/>
              </w:rPr>
              <w:t>（</w:t>
            </w:r>
            <w:r>
              <w:rPr>
                <w:rFonts w:ascii="Times New Roman" w:hAnsi="Times New Roman" w:eastAsia="宋体" w:cs="Times New Roman"/>
                <w:b/>
                <w:bCs/>
                <w:color w:val="auto"/>
                <w:sz w:val="24"/>
              </w:rPr>
              <w:t>编号、名称</w:t>
            </w:r>
            <w:r>
              <w:rPr>
                <w:rFonts w:hint="eastAsia" w:ascii="Times New Roman" w:hAnsi="Times New Roman" w:eastAsia="宋体" w:cs="Times New Roman"/>
                <w:b/>
                <w:bCs/>
                <w:color w:val="auto"/>
                <w:sz w:val="24"/>
                <w:lang w:eastAsia="zh-CN"/>
              </w:rPr>
              <w:t>）</w:t>
            </w:r>
            <w:r>
              <w:rPr>
                <w:rFonts w:ascii="Times New Roman" w:hAnsi="Times New Roman" w:eastAsia="宋体" w:cs="Times New Roman"/>
                <w:b/>
                <w:bCs/>
                <w:color w:val="auto"/>
                <w:sz w:val="24"/>
              </w:rPr>
              <w:t>/污染源</w:t>
            </w:r>
          </w:p>
        </w:tc>
        <w:tc>
          <w:tcPr>
            <w:tcW w:w="749"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污染物项目</w:t>
            </w:r>
          </w:p>
        </w:tc>
        <w:tc>
          <w:tcPr>
            <w:tcW w:w="1436"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环境保护措施</w:t>
            </w:r>
          </w:p>
        </w:tc>
        <w:tc>
          <w:tcPr>
            <w:tcW w:w="1037" w:type="pct"/>
            <w:gridSpan w:val="2"/>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1053" w:type="pct"/>
            <w:vMerge w:val="restar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大气</w:t>
            </w:r>
          </w:p>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环境</w:t>
            </w:r>
          </w:p>
        </w:tc>
        <w:tc>
          <w:tcPr>
            <w:tcW w:w="72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飞灰仓库排气筒</w:t>
            </w:r>
          </w:p>
        </w:tc>
        <w:tc>
          <w:tcPr>
            <w:tcW w:w="74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氨气</w:t>
            </w:r>
          </w:p>
        </w:tc>
        <w:tc>
          <w:tcPr>
            <w:tcW w:w="1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管道收集+水喷淋塔+15m高排气筒</w:t>
            </w:r>
          </w:p>
        </w:tc>
        <w:tc>
          <w:tcPr>
            <w:tcW w:w="1037"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《恶臭污染物排放标准》(GB14554-1993)表 </w:t>
            </w:r>
            <w:r>
              <w:rPr>
                <w:rFonts w:hint="eastAsia" w:cs="Times New Roman"/>
                <w:color w:val="auto"/>
                <w:sz w:val="24"/>
                <w:szCs w:val="24"/>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0" w:hRule="atLeast"/>
          <w:jc w:val="center"/>
        </w:trPr>
        <w:tc>
          <w:tcPr>
            <w:tcW w:w="1053" w:type="pct"/>
            <w:vMerge w:val="continue"/>
            <w:noWrap w:val="0"/>
            <w:vAlign w:val="center"/>
          </w:tcPr>
          <w:p>
            <w:pPr>
              <w:adjustRightInd w:val="0"/>
              <w:snapToGrid w:val="0"/>
              <w:spacing w:line="420" w:lineRule="exact"/>
              <w:jc w:val="center"/>
              <w:rPr>
                <w:rFonts w:ascii="Times New Roman" w:hAnsi="Times New Roman" w:eastAsia="宋体" w:cs="Times New Roman"/>
                <w:b/>
                <w:bCs/>
                <w:color w:val="auto"/>
                <w:sz w:val="24"/>
              </w:rPr>
            </w:pPr>
          </w:p>
        </w:tc>
        <w:tc>
          <w:tcPr>
            <w:tcW w:w="72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24"/>
                <w:szCs w:val="24"/>
                <w:lang w:val="en-US" w:eastAsia="zh-CN"/>
              </w:rPr>
            </w:pPr>
            <w:r>
              <w:rPr>
                <w:rFonts w:hint="eastAsia" w:cs="Times New Roman"/>
                <w:color w:val="auto"/>
                <w:sz w:val="24"/>
                <w:szCs w:val="24"/>
                <w:lang w:val="en-US" w:eastAsia="zh-CN"/>
              </w:rPr>
              <w:t>无组织</w:t>
            </w:r>
          </w:p>
        </w:tc>
        <w:tc>
          <w:tcPr>
            <w:tcW w:w="74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24"/>
                <w:szCs w:val="24"/>
                <w:lang w:val="en-US" w:eastAsia="zh-CN"/>
              </w:rPr>
            </w:pPr>
            <w:r>
              <w:rPr>
                <w:rFonts w:hint="eastAsia" w:cs="Times New Roman"/>
                <w:color w:val="auto"/>
                <w:sz w:val="24"/>
                <w:szCs w:val="24"/>
                <w:lang w:val="en-US" w:eastAsia="zh-CN"/>
              </w:rPr>
              <w:t>颗粒物、氨气</w:t>
            </w:r>
          </w:p>
        </w:tc>
        <w:tc>
          <w:tcPr>
            <w:tcW w:w="1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C00000"/>
                <w:sz w:val="24"/>
                <w:szCs w:val="24"/>
                <w:lang w:val="en-US" w:eastAsia="zh-CN"/>
              </w:rPr>
              <w:t>氨气无组织浓度通过加强飞灰仓库密闭管理，保证氨气收集及处理效率措施进行降低，</w:t>
            </w:r>
            <w:r>
              <w:rPr>
                <w:rFonts w:hint="eastAsia" w:ascii="Times New Roman" w:hAnsi="Times New Roman" w:eastAsia="宋体" w:cs="Times New Roman"/>
                <w:color w:val="auto"/>
                <w:sz w:val="24"/>
                <w:szCs w:val="24"/>
                <w:lang w:val="en-US" w:eastAsia="zh-CN"/>
              </w:rPr>
              <w:t>无组织粉尘通过在暂存库上方安装喷干雾装置、定期对厂内进行洒水抑尘且在运输道路上进行洒水抑尘降低</w:t>
            </w:r>
          </w:p>
        </w:tc>
        <w:tc>
          <w:tcPr>
            <w:tcW w:w="1037"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氨气执行《恶臭污染物排放标准》(GB14554-1993)表 1、</w:t>
            </w:r>
            <w:r>
              <w:rPr>
                <w:rFonts w:hint="eastAsia" w:cs="Times New Roman"/>
                <w:color w:val="auto"/>
                <w:sz w:val="24"/>
                <w:szCs w:val="24"/>
                <w:lang w:val="en-US" w:eastAsia="zh-CN"/>
              </w:rPr>
              <w:t>颗粒物执行</w:t>
            </w:r>
            <w:r>
              <w:rPr>
                <w:rFonts w:hint="eastAsia" w:ascii="Times New Roman" w:hAnsi="Times New Roman" w:eastAsia="宋体" w:cs="Times New Roman"/>
                <w:color w:val="auto"/>
                <w:sz w:val="24"/>
                <w:szCs w:val="24"/>
                <w:lang w:val="en-US" w:eastAsia="zh-CN"/>
              </w:rPr>
              <w:t>《大气污染物综合排放标准》（GB16297-1996）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05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地表水</w:t>
            </w:r>
          </w:p>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环境</w:t>
            </w:r>
          </w:p>
        </w:tc>
        <w:tc>
          <w:tcPr>
            <w:tcW w:w="3946"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喷淋塔收集废水进入现有工程</w:t>
            </w:r>
            <w:r>
              <w:rPr>
                <w:rFonts w:hint="eastAsia" w:cs="Times New Roman"/>
                <w:color w:val="auto"/>
                <w:sz w:val="24"/>
                <w:szCs w:val="24"/>
                <w:lang w:val="en-US" w:eastAsia="zh-CN"/>
              </w:rPr>
              <w:t>工业废水</w:t>
            </w:r>
            <w:r>
              <w:rPr>
                <w:rFonts w:hint="eastAsia" w:ascii="Times New Roman" w:hAnsi="Times New Roman" w:eastAsia="宋体" w:cs="Times New Roman"/>
                <w:color w:val="auto"/>
                <w:sz w:val="24"/>
                <w:szCs w:val="24"/>
                <w:lang w:val="en-US" w:eastAsia="zh-CN"/>
              </w:rPr>
              <w:t>处理站进行处理</w:t>
            </w:r>
            <w:r>
              <w:rPr>
                <w:rFonts w:hint="eastAsia" w:cs="Times New Roman"/>
                <w:color w:val="auto"/>
                <w:sz w:val="24"/>
                <w:szCs w:val="24"/>
                <w:lang w:val="en-US" w:eastAsia="zh-CN"/>
              </w:rPr>
              <w:t>（因排污量小，本项目拟采用专用桶进行转移更换废水）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声环境</w:t>
            </w:r>
          </w:p>
        </w:tc>
        <w:tc>
          <w:tcPr>
            <w:tcW w:w="72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w:t>
            </w:r>
          </w:p>
        </w:tc>
        <w:tc>
          <w:tcPr>
            <w:tcW w:w="74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噪声</w:t>
            </w:r>
          </w:p>
        </w:tc>
        <w:tc>
          <w:tcPr>
            <w:tcW w:w="148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周围环境情况合理安排运输时间，运输路线合理布局，以避免局部声级过高，运输车辆尽量低速行驶，以减少对周围环境的影响，尽可能将运输、装卸阶段的噪声减至最小；加强运输的维修、管理，保证运输车辆处于低噪声、高效率的状态</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风机噪声采取基础减震</w:t>
            </w:r>
            <w:r>
              <w:rPr>
                <w:rFonts w:hint="eastAsia" w:cs="Times New Roman"/>
                <w:color w:val="auto"/>
                <w:sz w:val="24"/>
                <w:szCs w:val="24"/>
                <w:lang w:val="en-US" w:eastAsia="zh-CN"/>
              </w:rPr>
              <w:t>、安装隔声罩、消声、</w:t>
            </w:r>
            <w:r>
              <w:rPr>
                <w:rFonts w:hint="eastAsia" w:ascii="Times New Roman" w:hAnsi="Times New Roman" w:eastAsia="宋体" w:cs="Times New Roman"/>
                <w:color w:val="auto"/>
                <w:sz w:val="24"/>
                <w:szCs w:val="24"/>
                <w:lang w:val="en-US" w:eastAsia="zh-CN"/>
              </w:rPr>
              <w:t>距离衰减措施减弱</w:t>
            </w:r>
          </w:p>
        </w:tc>
        <w:tc>
          <w:tcPr>
            <w:tcW w:w="9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《工业企业厂界环境噪声排放标准》（GB12348-2008）2类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电磁辐射</w:t>
            </w:r>
          </w:p>
        </w:tc>
        <w:tc>
          <w:tcPr>
            <w:tcW w:w="3946"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固体废物</w:t>
            </w:r>
          </w:p>
        </w:tc>
        <w:tc>
          <w:tcPr>
            <w:tcW w:w="3946"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4"/>
                <w:szCs w:val="24"/>
              </w:rPr>
            </w:pPr>
            <w:r>
              <w:rPr>
                <w:rFonts w:hint="eastAsia" w:cs="Times New Roman"/>
                <w:color w:val="auto"/>
                <w:spacing w:val="5"/>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05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土壤及地下水污染防治措施</w:t>
            </w:r>
          </w:p>
        </w:tc>
        <w:tc>
          <w:tcPr>
            <w:tcW w:w="3946" w:type="pct"/>
            <w:gridSpan w:val="5"/>
            <w:noWrap w:val="0"/>
            <w:vAlign w:val="center"/>
          </w:tcPr>
          <w:p>
            <w:pPr>
              <w:spacing w:line="360" w:lineRule="auto"/>
              <w:rPr>
                <w:rFonts w:hint="eastAsia" w:ascii="Times New Roman" w:hAnsi="Times New Roman" w:cs="Times New Roman"/>
                <w:color w:val="auto"/>
                <w:lang w:val="en-US" w:eastAsia="zh-CN"/>
              </w:rPr>
            </w:pPr>
          </w:p>
          <w:p>
            <w:pPr>
              <w:spacing w:line="360" w:lineRule="auto"/>
              <w:ind w:firstLine="480" w:firstLineChars="200"/>
              <w:jc w:val="center"/>
              <w:rPr>
                <w:rFonts w:hint="eastAsia" w:ascii="Times New Roman" w:hAnsi="Times New Roman" w:eastAsia="宋体" w:cs="Times New Roman"/>
                <w:color w:val="auto"/>
                <w:lang w:val="en-US" w:eastAsia="zh-CN"/>
              </w:rPr>
            </w:pPr>
            <w:r>
              <w:rPr>
                <w:rFonts w:ascii="Times New Roman" w:hAnsi="Times New Roman" w:eastAsia="宋体" w:cs="Times New Roman"/>
                <w:color w:val="C00000"/>
                <w:sz w:val="24"/>
                <w:szCs w:val="24"/>
              </w:rPr>
              <w:t>对</w:t>
            </w:r>
            <w:r>
              <w:rPr>
                <w:rFonts w:hint="eastAsia" w:cs="Times New Roman"/>
                <w:color w:val="C00000"/>
                <w:sz w:val="24"/>
                <w:szCs w:val="24"/>
                <w:lang w:val="en-US" w:eastAsia="zh-CN"/>
              </w:rPr>
              <w:t>本项目飞灰仓库</w:t>
            </w:r>
            <w:r>
              <w:rPr>
                <w:rFonts w:ascii="Times New Roman" w:hAnsi="Times New Roman" w:eastAsia="宋体" w:cs="Times New Roman"/>
                <w:color w:val="C00000"/>
                <w:sz w:val="24"/>
                <w:szCs w:val="24"/>
              </w:rPr>
              <w:t>进行</w:t>
            </w:r>
            <w:r>
              <w:rPr>
                <w:rFonts w:hint="eastAsia" w:cs="Times New Roman"/>
                <w:color w:val="C00000"/>
                <w:sz w:val="24"/>
                <w:szCs w:val="24"/>
                <w:lang w:val="en-US" w:eastAsia="zh-CN"/>
              </w:rPr>
              <w:t>重点</w:t>
            </w:r>
            <w:r>
              <w:rPr>
                <w:rFonts w:ascii="Times New Roman" w:hAnsi="Times New Roman" w:eastAsia="宋体" w:cs="Times New Roman"/>
                <w:color w:val="C00000"/>
                <w:sz w:val="24"/>
                <w:szCs w:val="24"/>
              </w:rPr>
              <w:t>防渗，减少对地下水</w:t>
            </w:r>
            <w:r>
              <w:rPr>
                <w:rFonts w:hint="eastAsia" w:ascii="Times New Roman" w:hAnsi="Times New Roman" w:eastAsia="宋体" w:cs="Times New Roman"/>
                <w:color w:val="C00000"/>
                <w:sz w:val="24"/>
                <w:szCs w:val="24"/>
                <w:lang w:val="en-US" w:eastAsia="zh-CN"/>
              </w:rPr>
              <w:t>及土壤</w:t>
            </w:r>
            <w:r>
              <w:rPr>
                <w:rFonts w:ascii="Times New Roman" w:hAnsi="Times New Roman" w:eastAsia="宋体" w:cs="Times New Roman"/>
                <w:color w:val="C00000"/>
                <w:sz w:val="24"/>
                <w:szCs w:val="24"/>
              </w:rPr>
              <w:t>的影响</w:t>
            </w:r>
            <w:r>
              <w:rPr>
                <w:rFonts w:hint="eastAsia" w:cs="Times New Roman"/>
                <w:color w:val="C00000"/>
                <w:sz w:val="24"/>
                <w:szCs w:val="24"/>
                <w:lang w:eastAsia="zh-CN"/>
              </w:rPr>
              <w:t>，</w:t>
            </w:r>
            <w:r>
              <w:rPr>
                <w:rFonts w:hint="eastAsia" w:cs="Times New Roman"/>
                <w:bCs/>
                <w:color w:val="C00000"/>
                <w:sz w:val="24"/>
                <w:u w:val="none"/>
                <w:lang w:eastAsia="zh-CN"/>
              </w:rPr>
              <w:t>贮存设施地面与裙脚应采取表面防渗措施，</w:t>
            </w:r>
            <w:r>
              <w:rPr>
                <w:rFonts w:hint="eastAsia" w:cs="Times New Roman"/>
                <w:bCs/>
                <w:color w:val="auto"/>
                <w:sz w:val="24"/>
                <w:u w:val="none"/>
                <w:lang w:eastAsia="zh-CN"/>
              </w:rPr>
              <w:t>表面防渗材料应与所接触的物料或污染物相容，采用高密度聚乙烯膜</w:t>
            </w:r>
            <w:r>
              <w:rPr>
                <w:rFonts w:hint="eastAsia" w:cs="Times New Roman"/>
                <w:bCs/>
                <w:color w:val="auto"/>
                <w:sz w:val="24"/>
                <w:u w:val="none"/>
                <w:lang w:val="en-US" w:eastAsia="zh-CN"/>
              </w:rPr>
              <w:t>且</w:t>
            </w:r>
            <w:r>
              <w:rPr>
                <w:rFonts w:hint="eastAsia" w:cs="Times New Roman"/>
                <w:bCs/>
                <w:color w:val="auto"/>
                <w:sz w:val="24"/>
                <w:u w:val="none"/>
                <w:lang w:eastAsia="zh-CN"/>
              </w:rPr>
              <w:t>应进行基础防渗，防渗层为至少2 mm 厚高密度</w:t>
            </w:r>
            <w:r>
              <w:rPr>
                <w:rFonts w:hint="eastAsia" w:cs="Times New Roman"/>
                <w:bCs/>
                <w:color w:val="auto"/>
                <w:sz w:val="24"/>
                <w:u w:val="none"/>
                <w:lang w:val="en-US" w:eastAsia="zh-CN"/>
              </w:rPr>
              <w:t>聚乙烯膜</w:t>
            </w:r>
            <w:r>
              <w:rPr>
                <w:rFonts w:hint="eastAsia" w:cs="Times New Roman"/>
                <w:bCs/>
                <w:color w:val="auto"/>
                <w:sz w:val="24"/>
                <w:u w:val="none"/>
                <w:lang w:eastAsia="zh-CN"/>
              </w:rPr>
              <w:t>人工防渗材料（渗透系数不大于 10</w:t>
            </w:r>
            <w:r>
              <w:rPr>
                <w:rFonts w:hint="eastAsia" w:cs="Times New Roman"/>
                <w:bCs/>
                <w:color w:val="auto"/>
                <w:sz w:val="24"/>
                <w:u w:val="none"/>
                <w:vertAlign w:val="superscript"/>
                <w:lang w:eastAsia="zh-CN"/>
              </w:rPr>
              <w:t>-10</w:t>
            </w:r>
            <w:r>
              <w:rPr>
                <w:rFonts w:hint="eastAsia" w:cs="Times New Roman"/>
                <w:bCs/>
                <w:color w:val="auto"/>
                <w:sz w:val="24"/>
                <w:u w:val="none"/>
                <w:lang w:eastAsia="zh-CN"/>
              </w:rPr>
              <w:t xml:space="preserve"> cm/s）</w:t>
            </w:r>
            <w:r>
              <w:rPr>
                <w:rFonts w:hint="eastAsia" w:cs="Times New Roman"/>
                <w:color w:val="auto"/>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生态保护措施</w:t>
            </w:r>
          </w:p>
        </w:tc>
        <w:tc>
          <w:tcPr>
            <w:tcW w:w="3946"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4"/>
                <w:szCs w:val="24"/>
              </w:rPr>
            </w:pPr>
            <w:r>
              <w:rPr>
                <w:rFonts w:ascii="Times New Roman" w:hAnsi="Times New Roman" w:cs="Times New Roman"/>
                <w:color w:val="auto"/>
                <w:sz w:val="24"/>
                <w:szCs w:val="24"/>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10" w:hRule="atLeast"/>
          <w:jc w:val="center"/>
        </w:trPr>
        <w:tc>
          <w:tcPr>
            <w:tcW w:w="1053" w:type="pct"/>
            <w:noWrap w:val="0"/>
            <w:vAlign w:val="center"/>
          </w:tcPr>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环境风险</w:t>
            </w:r>
          </w:p>
          <w:p>
            <w:pPr>
              <w:adjustRightInd w:val="0"/>
              <w:snapToGrid w:val="0"/>
              <w:spacing w:line="420" w:lineRule="exact"/>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防范措施</w:t>
            </w:r>
          </w:p>
        </w:tc>
        <w:tc>
          <w:tcPr>
            <w:tcW w:w="3946"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rPr>
              <w:t xml:space="preserve">(1) 倒塌时吨袋破裂，应及时清扫收集至吨袋内，同时做好防尘措施，避免飞灰扬散；(2) 按要求做好地面、导流沟等设施防渗措施，防渗等级为重点防渗；(3) 危险废物运输途中应做好密封、覆盖等措施，防止飞灰撒漏或逸散；(4) 配备灭火器消防设备，加强人员安全意识培训，建议建设单位制定定期巡检计划并执行；做好应急设施的检修；(5) </w:t>
            </w:r>
            <w:r>
              <w:rPr>
                <w:rFonts w:hint="eastAsia" w:cs="Times New Roman"/>
                <w:bCs/>
                <w:color w:val="auto"/>
                <w:sz w:val="24"/>
                <w:u w:val="none"/>
                <w:lang w:val="en-US" w:eastAsia="zh-CN"/>
              </w:rPr>
              <w:t>防止雨天雨水浸泡，雨水进入仓库，建议建设单位建设裙脚，建设0.5m高裙脚。（6）建立厂内风险防范措施制度，加强环保设施风险排查，及维护管理，在环保设施异常时及时进行维修，缩短异常时间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13" w:hRule="atLeast"/>
          <w:jc w:val="center"/>
        </w:trPr>
        <w:tc>
          <w:tcPr>
            <w:tcW w:w="105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b/>
                <w:bCs/>
                <w:color w:val="auto"/>
                <w:spacing w:val="-8"/>
                <w:sz w:val="24"/>
                <w:szCs w:val="24"/>
              </w:rPr>
            </w:pPr>
            <w:r>
              <w:rPr>
                <w:rFonts w:ascii="Times New Roman" w:hAnsi="Times New Roman" w:cs="Times New Roman"/>
                <w:b/>
                <w:bCs/>
                <w:color w:val="auto"/>
                <w:spacing w:val="-8"/>
                <w:sz w:val="24"/>
                <w:szCs w:val="24"/>
              </w:rPr>
              <w:t>其他环境</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8"/>
                <w:sz w:val="24"/>
                <w:szCs w:val="24"/>
              </w:rPr>
            </w:pPr>
            <w:r>
              <w:rPr>
                <w:rFonts w:ascii="Times New Roman" w:hAnsi="Times New Roman" w:cs="Times New Roman"/>
                <w:b/>
                <w:bCs/>
                <w:color w:val="auto"/>
                <w:spacing w:val="-8"/>
                <w:sz w:val="24"/>
                <w:szCs w:val="24"/>
              </w:rPr>
              <w:t>管理要求</w:t>
            </w:r>
          </w:p>
        </w:tc>
        <w:tc>
          <w:tcPr>
            <w:tcW w:w="3946"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rPr>
              <w:t>（1）项目建设过程中主体工程、环保设施应同时设计、同时施工、同时投产运行；项目建成后按照《建设项目竣工环境保护验收暂行办法》（国环规环评【2017】4号）要求开展项目竣工环境保护验收工作。</w:t>
            </w:r>
          </w:p>
          <w:p>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rPr>
              <w:t>（2）按照《排污许可管理条例》（国务院令第736号）的相关要求开展固定污染源排污许可登记。</w:t>
            </w:r>
          </w:p>
          <w:p>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rPr>
              <w:t>（3）项目营运过程中建立环境管理台账制度，落实环境管理台账记录的责任人，明确工作职责，包括台账的记录、整理、维护和管理等。台账记录频次和内容须满足排污许可证环境管理要求，并对台账记录结果的真实性、完整性和规范性负责。台账按照电子化储存和纸质储存两种形式同步管理，台账保存期限不得少于五年。</w:t>
            </w:r>
          </w:p>
          <w:p>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rPr>
              <w:t>（4）环保标识规范化设置，粘贴告示牌。</w:t>
            </w:r>
          </w:p>
        </w:tc>
      </w:tr>
    </w:tbl>
    <w:p>
      <w:pPr>
        <w:pStyle w:val="24"/>
        <w:spacing w:beforeLines="50" w:beforeAutospacing="0" w:afterLines="50" w:afterAutospacing="0"/>
        <w:jc w:val="both"/>
        <w:outlineLvl w:val="0"/>
        <w:rPr>
          <w:rFonts w:ascii="Times New Roman" w:hAnsi="Times New Roman" w:eastAsia="黑体" w:cs="Times New Roman"/>
          <w:snapToGrid w:val="0"/>
          <w:color w:val="auto"/>
          <w:sz w:val="30"/>
          <w:szCs w:val="30"/>
        </w:rPr>
      </w:pPr>
      <w:r>
        <w:rPr>
          <w:rFonts w:ascii="Times New Roman" w:hAnsi="Times New Roman" w:cs="Times New Roman"/>
          <w:snapToGrid w:val="0"/>
          <w:color w:val="auto"/>
        </w:rPr>
        <w:br w:type="page"/>
      </w:r>
      <w:r>
        <w:rPr>
          <w:rFonts w:ascii="Times New Roman" w:hAnsi="Times New Roman" w:eastAsia="黑体" w:cs="Times New Roman"/>
          <w:b/>
          <w:bCs/>
          <w:color w:val="auto"/>
          <w:sz w:val="30"/>
          <w:szCs w:val="30"/>
        </w:rPr>
        <w:t>六、结论</w:t>
      </w:r>
    </w:p>
    <w:tbl>
      <w:tblPr>
        <w:tblStyle w:val="2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88" w:type="dxa"/>
          </w:tcPr>
          <w:p>
            <w:pPr>
              <w:spacing w:line="46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综上所述，</w:t>
            </w:r>
            <w:r>
              <w:rPr>
                <w:rFonts w:hint="eastAsia" w:cs="Times New Roman"/>
                <w:color w:val="auto"/>
                <w:sz w:val="24"/>
                <w:lang w:eastAsia="zh-CN"/>
              </w:rPr>
              <w:t>鲁山首创环保能源有限公司飞灰仓库扩建项目</w:t>
            </w:r>
            <w:r>
              <w:rPr>
                <w:rFonts w:hint="eastAsia" w:ascii="Times New Roman" w:hAnsi="Times New Roman" w:cs="Times New Roman"/>
                <w:color w:val="auto"/>
                <w:sz w:val="24"/>
              </w:rPr>
              <w:t>建设符合</w:t>
            </w:r>
            <w:r>
              <w:rPr>
                <w:rFonts w:hint="eastAsia" w:cs="Times New Roman"/>
                <w:color w:val="auto"/>
                <w:sz w:val="24"/>
                <w:lang w:val="en-US" w:eastAsia="zh-CN"/>
              </w:rPr>
              <w:t>产业</w:t>
            </w:r>
            <w:r>
              <w:rPr>
                <w:rFonts w:hint="eastAsia" w:ascii="Times New Roman" w:hAnsi="Times New Roman" w:cs="Times New Roman"/>
                <w:color w:val="auto"/>
                <w:sz w:val="24"/>
              </w:rPr>
              <w:t>规划和当地环境管理的要求。项目选址可行。在采取评价提出的污染防治措施以及充分落实评价建议的基础上，项目产生的污染物实现达标排放，对周围环境影响较小，工程建设不涉及自然保护区、世界自然和文化遗产地、风景名胜区、森林公园等环境敏感区，不存在环境制约因素，从环境保护角度分析，工程建设是可行的。</w:t>
            </w: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p>
            <w:pPr>
              <w:spacing w:line="460" w:lineRule="exact"/>
              <w:rPr>
                <w:rFonts w:ascii="Times New Roman" w:hAnsi="Times New Roman" w:cs="Times New Roman"/>
                <w:color w:val="auto"/>
                <w:sz w:val="24"/>
              </w:rPr>
            </w:pPr>
          </w:p>
          <w:p>
            <w:pPr>
              <w:spacing w:line="460" w:lineRule="exact"/>
              <w:ind w:firstLine="480" w:firstLineChars="200"/>
              <w:rPr>
                <w:rFonts w:ascii="Times New Roman" w:hAnsi="Times New Roman" w:cs="Times New Roman"/>
                <w:color w:val="auto"/>
                <w:sz w:val="24"/>
              </w:rPr>
            </w:pPr>
          </w:p>
        </w:tc>
      </w:tr>
    </w:tbl>
    <w:p>
      <w:pPr>
        <w:rPr>
          <w:rFonts w:ascii="Times New Roman" w:hAnsi="Times New Roman" w:cs="Times New Roman"/>
          <w:color w:val="auto"/>
        </w:rPr>
        <w:sectPr>
          <w:footerReference r:id="rId13" w:type="default"/>
          <w:pgSz w:w="11906" w:h="16838"/>
          <w:pgMar w:top="1134" w:right="1417" w:bottom="1134"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4"/>
        <w:adjustRightInd w:val="0"/>
        <w:snapToGrid w:val="0"/>
        <w:spacing w:before="0" w:beforeAutospacing="0" w:after="0" w:afterAutospacing="0"/>
        <w:outlineLvl w:val="0"/>
        <w:rPr>
          <w:rFonts w:ascii="Times New Roman" w:hAnsi="Times New Roman" w:cs="Times New Roman"/>
          <w:snapToGrid w:val="0"/>
          <w:color w:val="auto"/>
          <w:sz w:val="32"/>
          <w:szCs w:val="32"/>
        </w:rPr>
      </w:pPr>
      <w:r>
        <w:rPr>
          <w:rFonts w:ascii="Times New Roman" w:hAnsi="Times New Roman" w:cs="Times New Roman"/>
          <w:b/>
          <w:bCs/>
          <w:snapToGrid w:val="0"/>
          <w:color w:val="auto"/>
          <w:sz w:val="32"/>
          <w:szCs w:val="32"/>
        </w:rPr>
        <w:t>附表</w:t>
      </w:r>
    </w:p>
    <w:p>
      <w:pPr>
        <w:pStyle w:val="24"/>
        <w:adjustRightInd w:val="0"/>
        <w:snapToGrid w:val="0"/>
        <w:spacing w:before="0" w:beforeAutospacing="0" w:after="0" w:afterAutospacing="0"/>
        <w:jc w:val="center"/>
        <w:outlineLvl w:val="0"/>
        <w:rPr>
          <w:rFonts w:ascii="Times New Roman" w:hAnsi="Times New Roman" w:cs="Times New Roman"/>
          <w:snapToGrid w:val="0"/>
          <w:color w:val="auto"/>
          <w:sz w:val="38"/>
          <w:szCs w:val="38"/>
        </w:rPr>
      </w:pPr>
      <w:r>
        <w:rPr>
          <w:rFonts w:ascii="Times New Roman" w:hAnsi="Times New Roman" w:cs="Times New Roman"/>
          <w:snapToGrid w:val="0"/>
          <w:color w:val="auto"/>
          <w:sz w:val="38"/>
          <w:szCs w:val="38"/>
        </w:rPr>
        <w:t>建设项目污染物排放量汇总表</w:t>
      </w:r>
    </w:p>
    <w:tbl>
      <w:tblPr>
        <w:tblStyle w:val="28"/>
        <w:tblW w:w="4966"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2120"/>
        <w:gridCol w:w="1895"/>
        <w:gridCol w:w="1416"/>
        <w:gridCol w:w="1895"/>
        <w:gridCol w:w="1739"/>
        <w:gridCol w:w="1745"/>
        <w:gridCol w:w="1945"/>
        <w:gridCol w:w="13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5" w:hRule="atLeast"/>
        </w:trPr>
        <w:tc>
          <w:tcPr>
            <w:tcW w:w="398" w:type="pct"/>
            <w:tcBorders>
              <w:tl2br w:val="single" w:color="auto" w:sz="4" w:space="0"/>
            </w:tcBorders>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jc w:val="righ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项目</w:t>
            </w:r>
          </w:p>
          <w:p>
            <w:pPr>
              <w:pStyle w:val="61"/>
              <w:keepNext w:val="0"/>
              <w:keepLines w:val="0"/>
              <w:pageBreakBefore w:val="0"/>
              <w:kinsoku/>
              <w:wordWrap/>
              <w:overflowPunct/>
              <w:topLinePunct w:val="0"/>
              <w:bidi w:val="0"/>
              <w:adjustRightInd/>
              <w:snapToGrid/>
              <w:spacing w:line="320" w:lineRule="exact"/>
              <w:jc w:val="lef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分类</w:t>
            </w:r>
          </w:p>
        </w:tc>
        <w:tc>
          <w:tcPr>
            <w:tcW w:w="690"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污染物名称</w:t>
            </w:r>
          </w:p>
        </w:tc>
        <w:tc>
          <w:tcPr>
            <w:tcW w:w="617"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现有工程</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排放量（固体废物产生量）</w:t>
            </w:r>
            <w:r>
              <w:rPr>
                <w:rFonts w:hint="eastAsia" w:ascii="Times New Roman" w:hAnsi="Times New Roman" w:eastAsia="黑体" w:cs="Times New Roman"/>
                <w:color w:val="auto"/>
                <w:sz w:val="21"/>
                <w:szCs w:val="21"/>
              </w:rPr>
              <w:fldChar w:fldCharType="begin"/>
            </w:r>
            <w:r>
              <w:rPr>
                <w:rFonts w:hint="eastAsia" w:ascii="Times New Roman" w:hAnsi="Times New Roman" w:eastAsia="黑体" w:cs="Times New Roman"/>
                <w:color w:val="auto"/>
                <w:sz w:val="21"/>
                <w:szCs w:val="21"/>
              </w:rPr>
              <w:instrText xml:space="preserve"> = 1 \* GB3 \* MERGEFORMAT </w:instrText>
            </w:r>
            <w:r>
              <w:rPr>
                <w:rFonts w:hint="eastAsia" w:ascii="Times New Roman" w:hAnsi="Times New Roman" w:eastAsia="黑体" w:cs="Times New Roman"/>
                <w:color w:val="auto"/>
                <w:sz w:val="21"/>
                <w:szCs w:val="21"/>
              </w:rPr>
              <w:fldChar w:fldCharType="separate"/>
            </w:r>
            <w:r>
              <w:rPr>
                <w:rFonts w:hint="eastAsia" w:ascii="Times New Roman" w:hAnsi="Times New Roman" w:eastAsia="黑体" w:cs="Times New Roman"/>
                <w:color w:val="auto"/>
                <w:sz w:val="21"/>
                <w:szCs w:val="21"/>
              </w:rPr>
              <w:t>①</w:t>
            </w:r>
            <w:r>
              <w:rPr>
                <w:rFonts w:hint="eastAsia" w:ascii="Times New Roman" w:hAnsi="Times New Roman" w:eastAsia="黑体" w:cs="Times New Roman"/>
                <w:color w:val="auto"/>
                <w:sz w:val="21"/>
                <w:szCs w:val="21"/>
              </w:rPr>
              <w:fldChar w:fldCharType="end"/>
            </w:r>
          </w:p>
        </w:tc>
        <w:tc>
          <w:tcPr>
            <w:tcW w:w="461"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现有工程</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许可排放量</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fldChar w:fldCharType="begin"/>
            </w:r>
            <w:r>
              <w:rPr>
                <w:rFonts w:hint="eastAsia" w:ascii="Times New Roman" w:hAnsi="Times New Roman" w:eastAsia="黑体" w:cs="Times New Roman"/>
                <w:color w:val="auto"/>
                <w:sz w:val="21"/>
                <w:szCs w:val="21"/>
              </w:rPr>
              <w:instrText xml:space="preserve"> = 2 \* GB3 \* MERGEFORMAT </w:instrText>
            </w:r>
            <w:r>
              <w:rPr>
                <w:rFonts w:hint="eastAsia" w:ascii="Times New Roman" w:hAnsi="Times New Roman" w:eastAsia="黑体" w:cs="Times New Roman"/>
                <w:color w:val="auto"/>
                <w:sz w:val="21"/>
                <w:szCs w:val="21"/>
              </w:rPr>
              <w:fldChar w:fldCharType="separate"/>
            </w:r>
            <w:r>
              <w:rPr>
                <w:rFonts w:hint="eastAsia" w:ascii="Times New Roman" w:hAnsi="Times New Roman" w:eastAsia="黑体" w:cs="Times New Roman"/>
                <w:color w:val="auto"/>
                <w:sz w:val="21"/>
                <w:szCs w:val="21"/>
              </w:rPr>
              <w:t>②</w:t>
            </w:r>
            <w:r>
              <w:rPr>
                <w:rFonts w:hint="eastAsia" w:ascii="Times New Roman" w:hAnsi="Times New Roman" w:eastAsia="黑体" w:cs="Times New Roman"/>
                <w:color w:val="auto"/>
                <w:sz w:val="21"/>
                <w:szCs w:val="21"/>
              </w:rPr>
              <w:fldChar w:fldCharType="end"/>
            </w:r>
          </w:p>
        </w:tc>
        <w:tc>
          <w:tcPr>
            <w:tcW w:w="617"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在建工程</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排放量（固体废物产生量）</w:t>
            </w:r>
            <w:r>
              <w:rPr>
                <w:rFonts w:hint="eastAsia" w:ascii="Times New Roman" w:hAnsi="Times New Roman" w:eastAsia="黑体" w:cs="Times New Roman"/>
                <w:color w:val="auto"/>
                <w:sz w:val="21"/>
                <w:szCs w:val="21"/>
              </w:rPr>
              <w:fldChar w:fldCharType="begin"/>
            </w:r>
            <w:r>
              <w:rPr>
                <w:rFonts w:hint="eastAsia" w:ascii="Times New Roman" w:hAnsi="Times New Roman" w:eastAsia="黑体" w:cs="Times New Roman"/>
                <w:color w:val="auto"/>
                <w:sz w:val="21"/>
                <w:szCs w:val="21"/>
              </w:rPr>
              <w:instrText xml:space="preserve"> = 3 \* GB3 \* MERGEFORMAT </w:instrText>
            </w:r>
            <w:r>
              <w:rPr>
                <w:rFonts w:hint="eastAsia" w:ascii="Times New Roman" w:hAnsi="Times New Roman" w:eastAsia="黑体" w:cs="Times New Roman"/>
                <w:color w:val="auto"/>
                <w:sz w:val="21"/>
                <w:szCs w:val="21"/>
              </w:rPr>
              <w:fldChar w:fldCharType="separate"/>
            </w:r>
            <w:r>
              <w:rPr>
                <w:rFonts w:hint="eastAsia" w:ascii="Times New Roman" w:hAnsi="Times New Roman" w:eastAsia="黑体" w:cs="Times New Roman"/>
                <w:color w:val="auto"/>
                <w:sz w:val="21"/>
                <w:szCs w:val="21"/>
              </w:rPr>
              <w:t>③</w:t>
            </w:r>
            <w:r>
              <w:rPr>
                <w:rFonts w:hint="eastAsia" w:ascii="Times New Roman" w:hAnsi="Times New Roman" w:eastAsia="黑体" w:cs="Times New Roman"/>
                <w:color w:val="auto"/>
                <w:sz w:val="21"/>
                <w:szCs w:val="21"/>
              </w:rPr>
              <w:fldChar w:fldCharType="end"/>
            </w:r>
          </w:p>
        </w:tc>
        <w:tc>
          <w:tcPr>
            <w:tcW w:w="566"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本项目</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排放量（固体废物产生量）</w:t>
            </w:r>
            <w:r>
              <w:rPr>
                <w:rFonts w:hint="eastAsia" w:ascii="Times New Roman" w:hAnsi="Times New Roman" w:eastAsia="黑体" w:cs="Times New Roman"/>
                <w:color w:val="auto"/>
                <w:sz w:val="21"/>
                <w:szCs w:val="21"/>
              </w:rPr>
              <w:fldChar w:fldCharType="begin"/>
            </w:r>
            <w:r>
              <w:rPr>
                <w:rFonts w:hint="eastAsia" w:ascii="Times New Roman" w:hAnsi="Times New Roman" w:eastAsia="黑体" w:cs="Times New Roman"/>
                <w:color w:val="auto"/>
                <w:sz w:val="21"/>
                <w:szCs w:val="21"/>
              </w:rPr>
              <w:instrText xml:space="preserve"> = 4 \* GB3 \* MERGEFORMAT </w:instrText>
            </w:r>
            <w:r>
              <w:rPr>
                <w:rFonts w:hint="eastAsia" w:ascii="Times New Roman" w:hAnsi="Times New Roman" w:eastAsia="黑体" w:cs="Times New Roman"/>
                <w:color w:val="auto"/>
                <w:sz w:val="21"/>
                <w:szCs w:val="21"/>
              </w:rPr>
              <w:fldChar w:fldCharType="separate"/>
            </w:r>
            <w:r>
              <w:rPr>
                <w:rFonts w:hint="eastAsia" w:ascii="Times New Roman" w:hAnsi="Times New Roman" w:eastAsia="黑体" w:cs="Times New Roman"/>
                <w:color w:val="auto"/>
                <w:sz w:val="21"/>
                <w:szCs w:val="21"/>
              </w:rPr>
              <w:t>④</w:t>
            </w:r>
            <w:r>
              <w:rPr>
                <w:rFonts w:hint="eastAsia" w:ascii="Times New Roman" w:hAnsi="Times New Roman" w:eastAsia="黑体" w:cs="Times New Roman"/>
                <w:color w:val="auto"/>
                <w:sz w:val="21"/>
                <w:szCs w:val="21"/>
              </w:rPr>
              <w:fldChar w:fldCharType="end"/>
            </w:r>
          </w:p>
        </w:tc>
        <w:tc>
          <w:tcPr>
            <w:tcW w:w="568"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以新带老削减量</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（新建项目不填）</w:t>
            </w:r>
            <w:r>
              <w:rPr>
                <w:rFonts w:hint="eastAsia" w:ascii="Times New Roman" w:hAnsi="Times New Roman" w:eastAsia="黑体" w:cs="Times New Roman"/>
                <w:color w:val="auto"/>
                <w:sz w:val="21"/>
                <w:szCs w:val="21"/>
              </w:rPr>
              <w:fldChar w:fldCharType="begin"/>
            </w:r>
            <w:r>
              <w:rPr>
                <w:rFonts w:hint="eastAsia" w:ascii="Times New Roman" w:hAnsi="Times New Roman" w:eastAsia="黑体" w:cs="Times New Roman"/>
                <w:color w:val="auto"/>
                <w:sz w:val="21"/>
                <w:szCs w:val="21"/>
              </w:rPr>
              <w:instrText xml:space="preserve"> = 5 \* GB3 \* MERGEFORMAT </w:instrText>
            </w:r>
            <w:r>
              <w:rPr>
                <w:rFonts w:hint="eastAsia" w:ascii="Times New Roman" w:hAnsi="Times New Roman" w:eastAsia="黑体" w:cs="Times New Roman"/>
                <w:color w:val="auto"/>
                <w:sz w:val="21"/>
                <w:szCs w:val="21"/>
              </w:rPr>
              <w:fldChar w:fldCharType="separate"/>
            </w:r>
            <w:r>
              <w:rPr>
                <w:rFonts w:hint="eastAsia" w:ascii="Times New Roman" w:hAnsi="Times New Roman" w:eastAsia="黑体" w:cs="Times New Roman"/>
                <w:color w:val="auto"/>
                <w:sz w:val="21"/>
                <w:szCs w:val="21"/>
              </w:rPr>
              <w:t>⑤</w:t>
            </w:r>
            <w:r>
              <w:rPr>
                <w:rFonts w:hint="eastAsia" w:ascii="Times New Roman" w:hAnsi="Times New Roman" w:eastAsia="黑体" w:cs="Times New Roman"/>
                <w:color w:val="auto"/>
                <w:sz w:val="21"/>
                <w:szCs w:val="21"/>
              </w:rPr>
              <w:fldChar w:fldCharType="end"/>
            </w:r>
          </w:p>
        </w:tc>
        <w:tc>
          <w:tcPr>
            <w:tcW w:w="633"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本项目建成后</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全厂排放量（固体废物产生量）</w:t>
            </w:r>
            <w:r>
              <w:rPr>
                <w:rFonts w:hint="eastAsia" w:ascii="Times New Roman" w:hAnsi="Times New Roman" w:eastAsia="黑体" w:cs="Times New Roman"/>
                <w:color w:val="auto"/>
                <w:sz w:val="21"/>
                <w:szCs w:val="21"/>
              </w:rPr>
              <w:fldChar w:fldCharType="begin"/>
            </w:r>
            <w:r>
              <w:rPr>
                <w:rFonts w:hint="eastAsia" w:ascii="Times New Roman" w:hAnsi="Times New Roman" w:eastAsia="黑体" w:cs="Times New Roman"/>
                <w:color w:val="auto"/>
                <w:sz w:val="21"/>
                <w:szCs w:val="21"/>
              </w:rPr>
              <w:instrText xml:space="preserve"> = 6 \* GB3 \* MERGEFORMAT </w:instrText>
            </w:r>
            <w:r>
              <w:rPr>
                <w:rFonts w:hint="eastAsia" w:ascii="Times New Roman" w:hAnsi="Times New Roman" w:eastAsia="黑体" w:cs="Times New Roman"/>
                <w:color w:val="auto"/>
                <w:sz w:val="21"/>
                <w:szCs w:val="21"/>
              </w:rPr>
              <w:fldChar w:fldCharType="separate"/>
            </w:r>
            <w:r>
              <w:rPr>
                <w:rFonts w:hint="eastAsia" w:ascii="Times New Roman" w:hAnsi="Times New Roman" w:eastAsia="黑体" w:cs="Times New Roman"/>
                <w:color w:val="auto"/>
                <w:sz w:val="21"/>
                <w:szCs w:val="21"/>
              </w:rPr>
              <w:t>⑥</w:t>
            </w:r>
            <w:r>
              <w:rPr>
                <w:rFonts w:hint="eastAsia" w:ascii="Times New Roman" w:hAnsi="Times New Roman" w:eastAsia="黑体" w:cs="Times New Roman"/>
                <w:color w:val="auto"/>
                <w:sz w:val="21"/>
                <w:szCs w:val="21"/>
              </w:rPr>
              <w:fldChar w:fldCharType="end"/>
            </w:r>
          </w:p>
        </w:tc>
        <w:tc>
          <w:tcPr>
            <w:tcW w:w="446" w:type="pct"/>
            <w:noWrap w:val="0"/>
            <w:tcMar>
              <w:left w:w="28" w:type="dxa"/>
              <w:right w:w="28" w:type="dxa"/>
            </w:tcMar>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t>变化量</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黑体" w:cs="Times New Roman"/>
                <w:color w:val="auto"/>
                <w:sz w:val="21"/>
                <w:szCs w:val="21"/>
              </w:rPr>
            </w:pPr>
            <w:r>
              <w:rPr>
                <w:rFonts w:hint="eastAsia" w:ascii="Times New Roman" w:hAnsi="Times New Roman" w:eastAsia="黑体" w:cs="Times New Roman"/>
                <w:color w:val="auto"/>
                <w:sz w:val="21"/>
                <w:szCs w:val="21"/>
              </w:rPr>
              <w:fldChar w:fldCharType="begin"/>
            </w:r>
            <w:r>
              <w:rPr>
                <w:rFonts w:hint="eastAsia" w:ascii="Times New Roman" w:hAnsi="Times New Roman" w:eastAsia="黑体" w:cs="Times New Roman"/>
                <w:color w:val="auto"/>
                <w:sz w:val="21"/>
                <w:szCs w:val="21"/>
              </w:rPr>
              <w:instrText xml:space="preserve"> = 7 \* GB3 \* MERGEFORMAT </w:instrText>
            </w:r>
            <w:r>
              <w:rPr>
                <w:rFonts w:hint="eastAsia" w:ascii="Times New Roman" w:hAnsi="Times New Roman" w:eastAsia="黑体" w:cs="Times New Roman"/>
                <w:color w:val="auto"/>
                <w:sz w:val="21"/>
                <w:szCs w:val="21"/>
              </w:rPr>
              <w:fldChar w:fldCharType="separate"/>
            </w:r>
            <w:r>
              <w:rPr>
                <w:rFonts w:hint="eastAsia" w:ascii="Times New Roman" w:hAnsi="Times New Roman" w:eastAsia="黑体" w:cs="Times New Roman"/>
                <w:color w:val="auto"/>
                <w:sz w:val="21"/>
                <w:szCs w:val="21"/>
              </w:rPr>
              <w:t>⑦</w:t>
            </w:r>
            <w:r>
              <w:rPr>
                <w:rFonts w:hint="eastAsia" w:ascii="Times New Roman" w:hAnsi="Times New Roman" w:eastAsia="黑体" w:cs="Times New Roman"/>
                <w:color w:val="auto"/>
                <w:sz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vMerge w:val="restart"/>
            <w:noWrap w:val="0"/>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废气</w:t>
            </w:r>
          </w:p>
        </w:tc>
        <w:tc>
          <w:tcPr>
            <w:tcW w:w="690" w:type="pct"/>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颗粒物</w:t>
            </w:r>
          </w:p>
        </w:tc>
        <w:tc>
          <w:tcPr>
            <w:tcW w:w="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1.031t/a</w:t>
            </w:r>
          </w:p>
        </w:tc>
        <w:tc>
          <w:tcPr>
            <w:tcW w:w="461" w:type="pct"/>
            <w:noWrap w:val="0"/>
            <w:vAlign w:val="center"/>
          </w:tcPr>
          <w:p>
            <w:pPr>
              <w:keepNext w:val="0"/>
              <w:keepLines w:val="0"/>
              <w:pageBreakBefore w:val="0"/>
              <w:widowControl/>
              <w:kinsoku/>
              <w:wordWrap/>
              <w:overflowPunct/>
              <w:topLinePunct w:val="0"/>
              <w:bidi w:val="0"/>
              <w:adjustRightInd/>
              <w:snapToGrid/>
              <w:spacing w:line="320" w:lineRule="exact"/>
              <w:jc w:val="center"/>
              <w:textAlignment w:val="center"/>
              <w:rPr>
                <w:rFonts w:hint="default" w:cs="Times New Roman"/>
                <w:b w:val="0"/>
                <w:bCs w:val="0"/>
                <w:color w:val="auto"/>
                <w:kern w:val="2"/>
                <w:sz w:val="21"/>
                <w:szCs w:val="21"/>
                <w:u w:val="single"/>
                <w:lang w:val="en-US" w:eastAsia="zh-CN" w:bidi="ar-SA"/>
              </w:rPr>
            </w:pPr>
            <w:r>
              <w:rPr>
                <w:color w:val="auto"/>
                <w:szCs w:val="21"/>
              </w:rPr>
              <w:t>7.00</w:t>
            </w:r>
            <w:r>
              <w:rPr>
                <w:rFonts w:hint="eastAsia" w:cs="Times New Roman"/>
                <w:b w:val="0"/>
                <w:bCs w:val="0"/>
                <w:color w:val="auto"/>
                <w:kern w:val="2"/>
                <w:sz w:val="21"/>
                <w:szCs w:val="21"/>
                <w:u w:val="single"/>
                <w:lang w:val="en-US" w:eastAsia="zh-CN" w:bidi="ar-SA"/>
              </w:rPr>
              <w:t>t/a</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568" w:type="pct"/>
            <w:noWrap w:val="0"/>
            <w:vAlign w:val="center"/>
          </w:tcPr>
          <w:p>
            <w:pPr>
              <w:keepNext w:val="0"/>
              <w:keepLines w:val="0"/>
              <w:pageBreakBefore w:val="0"/>
              <w:widowControl/>
              <w:kinsoku/>
              <w:wordWrap/>
              <w:overflowPunct/>
              <w:topLinePunct w:val="0"/>
              <w:bidi w:val="0"/>
              <w:adjustRightInd/>
              <w:snapToGrid/>
              <w:spacing w:line="320" w:lineRule="exact"/>
              <w:jc w:val="center"/>
              <w:textAlignment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6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1.031t/a</w:t>
            </w:r>
          </w:p>
        </w:tc>
        <w:tc>
          <w:tcPr>
            <w:tcW w:w="4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vMerge w:val="continue"/>
            <w:noWrap w:val="0"/>
            <w:vAlign w:val="center"/>
          </w:tcPr>
          <w:p>
            <w:pPr>
              <w:pStyle w:val="61"/>
              <w:keepNext w:val="0"/>
              <w:keepLines w:val="0"/>
              <w:pageBreakBefore w:val="0"/>
              <w:kinsoku/>
              <w:wordWrap/>
              <w:overflowPunct/>
              <w:topLinePunct w:val="0"/>
              <w:bidi w:val="0"/>
              <w:adjustRightInd/>
              <w:snapToGrid/>
              <w:spacing w:line="320" w:lineRule="exact"/>
              <w:rPr>
                <w:rFonts w:hint="eastAsia" w:cs="Times New Roman"/>
                <w:color w:val="auto"/>
                <w:sz w:val="21"/>
                <w:szCs w:val="21"/>
                <w:u w:val="single"/>
                <w:lang w:val="en-US" w:eastAsia="zh-CN"/>
              </w:rPr>
            </w:pPr>
          </w:p>
        </w:tc>
        <w:tc>
          <w:tcPr>
            <w:tcW w:w="690" w:type="pct"/>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氨气</w:t>
            </w:r>
          </w:p>
        </w:tc>
        <w:tc>
          <w:tcPr>
            <w:tcW w:w="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8.508</w:t>
            </w:r>
            <w:r>
              <w:rPr>
                <w:rFonts w:hint="eastAsia" w:cs="Times New Roman"/>
                <w:b w:val="0"/>
                <w:bCs w:val="0"/>
                <w:color w:val="auto"/>
                <w:kern w:val="2"/>
                <w:sz w:val="21"/>
                <w:szCs w:val="21"/>
                <w:u w:val="single"/>
                <w:lang w:val="en-US" w:eastAsia="zh-CN" w:bidi="ar-SA"/>
              </w:rPr>
              <w:t>t/a</w:t>
            </w:r>
          </w:p>
        </w:tc>
        <w:tc>
          <w:tcPr>
            <w:tcW w:w="461" w:type="pct"/>
            <w:noWrap w:val="0"/>
            <w:vAlign w:val="center"/>
          </w:tcPr>
          <w:p>
            <w:pPr>
              <w:keepNext w:val="0"/>
              <w:keepLines w:val="0"/>
              <w:pageBreakBefore w:val="0"/>
              <w:widowControl/>
              <w:kinsoku/>
              <w:wordWrap/>
              <w:overflowPunct/>
              <w:topLinePunct w:val="0"/>
              <w:bidi w:val="0"/>
              <w:adjustRightInd/>
              <w:snapToGrid/>
              <w:spacing w:line="320" w:lineRule="exact"/>
              <w:jc w:val="center"/>
              <w:textAlignment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tabs>
                <w:tab w:val="left" w:pos="567"/>
              </w:tabs>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color w:val="auto"/>
                <w:kern w:val="0"/>
                <w:sz w:val="21"/>
                <w:szCs w:val="21"/>
                <w:u w:val="single"/>
                <w:lang w:val="en-US" w:eastAsia="zh-CN" w:bidi="ar-SA"/>
              </w:rPr>
              <w:t>0.000126</w:t>
            </w:r>
            <w:r>
              <w:rPr>
                <w:rFonts w:hint="eastAsia" w:cs="Times New Roman"/>
                <w:b w:val="0"/>
                <w:bCs w:val="0"/>
                <w:color w:val="auto"/>
                <w:kern w:val="2"/>
                <w:sz w:val="21"/>
                <w:szCs w:val="21"/>
                <w:u w:val="single"/>
                <w:lang w:val="en-US" w:eastAsia="zh-CN" w:bidi="ar-SA"/>
              </w:rPr>
              <w:t>t/a</w:t>
            </w:r>
          </w:p>
        </w:tc>
        <w:tc>
          <w:tcPr>
            <w:tcW w:w="5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sz w:val="21"/>
                <w:szCs w:val="21"/>
                <w:highlight w:val="none"/>
                <w:u w:val="single"/>
                <w:lang w:val="en-US" w:eastAsia="zh-CN"/>
              </w:rPr>
              <w:t>0.0000586</w:t>
            </w:r>
            <w:r>
              <w:rPr>
                <w:rFonts w:hint="eastAsia" w:cs="Times New Roman"/>
                <w:b w:val="0"/>
                <w:bCs w:val="0"/>
                <w:color w:val="auto"/>
                <w:kern w:val="2"/>
                <w:sz w:val="21"/>
                <w:szCs w:val="21"/>
                <w:highlight w:val="none"/>
                <w:u w:val="single"/>
                <w:lang w:val="en-US" w:eastAsia="zh-CN" w:bidi="ar-SA"/>
              </w:rPr>
              <w:t>t/a</w:t>
            </w:r>
          </w:p>
        </w:tc>
        <w:tc>
          <w:tcPr>
            <w:tcW w:w="63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sz w:val="21"/>
                <w:szCs w:val="21"/>
                <w:u w:val="single"/>
                <w:lang w:val="en-US" w:eastAsia="zh-CN"/>
              </w:rPr>
              <w:t>8.5080674</w:t>
            </w:r>
            <w:r>
              <w:rPr>
                <w:rFonts w:hint="eastAsia" w:cs="Times New Roman"/>
                <w:b w:val="0"/>
                <w:bCs w:val="0"/>
                <w:color w:val="auto"/>
                <w:kern w:val="2"/>
                <w:sz w:val="21"/>
                <w:szCs w:val="21"/>
                <w:u w:val="single"/>
                <w:lang w:val="en-US" w:eastAsia="zh-CN" w:bidi="ar-SA"/>
              </w:rPr>
              <w:t>t/a</w:t>
            </w:r>
          </w:p>
        </w:tc>
        <w:tc>
          <w:tcPr>
            <w:tcW w:w="4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sz w:val="21"/>
                <w:szCs w:val="21"/>
                <w:u w:val="single"/>
                <w:lang w:val="en-US" w:eastAsia="zh-CN"/>
              </w:rPr>
              <w:t>+0.0000674</w:t>
            </w:r>
            <w:r>
              <w:rPr>
                <w:rFonts w:hint="eastAsia" w:cs="Times New Roman"/>
                <w:b w:val="0"/>
                <w:bCs w:val="0"/>
                <w:color w:val="auto"/>
                <w:kern w:val="2"/>
                <w:sz w:val="21"/>
                <w:szCs w:val="21"/>
                <w:u w:val="single"/>
                <w:lang w:val="en-US" w:eastAsia="zh-CN" w:bidi="ar-SA"/>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vMerge w:val="continue"/>
            <w:noWrap w:val="0"/>
            <w:vAlign w:val="center"/>
          </w:tcPr>
          <w:p>
            <w:pPr>
              <w:pStyle w:val="61"/>
              <w:keepNext w:val="0"/>
              <w:keepLines w:val="0"/>
              <w:pageBreakBefore w:val="0"/>
              <w:kinsoku/>
              <w:wordWrap/>
              <w:overflowPunct/>
              <w:topLinePunct w:val="0"/>
              <w:bidi w:val="0"/>
              <w:adjustRightInd/>
              <w:snapToGrid/>
              <w:spacing w:line="320" w:lineRule="exact"/>
              <w:rPr>
                <w:rFonts w:hint="eastAsia" w:cs="Times New Roman"/>
                <w:color w:val="auto"/>
                <w:sz w:val="21"/>
                <w:szCs w:val="21"/>
                <w:u w:val="single"/>
                <w:lang w:val="en-US" w:eastAsia="zh-CN"/>
              </w:rPr>
            </w:pPr>
          </w:p>
        </w:tc>
        <w:tc>
          <w:tcPr>
            <w:tcW w:w="690" w:type="pct"/>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二氧化硫</w:t>
            </w:r>
          </w:p>
        </w:tc>
        <w:tc>
          <w:tcPr>
            <w:tcW w:w="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23.316</w:t>
            </w:r>
            <w:r>
              <w:rPr>
                <w:rFonts w:hint="eastAsia" w:cs="Times New Roman"/>
                <w:b w:val="0"/>
                <w:bCs w:val="0"/>
                <w:color w:val="auto"/>
                <w:kern w:val="2"/>
                <w:sz w:val="21"/>
                <w:szCs w:val="21"/>
                <w:u w:val="single"/>
                <w:lang w:val="en-US" w:eastAsia="zh-CN" w:bidi="ar-SA"/>
              </w:rPr>
              <w:t>t/a</w:t>
            </w:r>
          </w:p>
        </w:tc>
        <w:tc>
          <w:tcPr>
            <w:tcW w:w="13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45.17 t/a</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5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85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23.316</w:t>
            </w:r>
            <w:r>
              <w:rPr>
                <w:rFonts w:hint="eastAsia" w:cs="Times New Roman"/>
                <w:b w:val="0"/>
                <w:bCs w:val="0"/>
                <w:color w:val="auto"/>
                <w:kern w:val="2"/>
                <w:sz w:val="21"/>
                <w:szCs w:val="21"/>
                <w:u w:val="single"/>
                <w:lang w:val="en-US" w:eastAsia="zh-CN" w:bidi="ar-SA"/>
              </w:rPr>
              <w:t>t/a</w:t>
            </w:r>
          </w:p>
        </w:tc>
        <w:tc>
          <w:tcPr>
            <w:tcW w:w="4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vMerge w:val="continue"/>
            <w:noWrap w:val="0"/>
            <w:vAlign w:val="center"/>
          </w:tcPr>
          <w:p>
            <w:pPr>
              <w:pStyle w:val="61"/>
              <w:keepNext w:val="0"/>
              <w:keepLines w:val="0"/>
              <w:pageBreakBefore w:val="0"/>
              <w:kinsoku/>
              <w:wordWrap/>
              <w:overflowPunct/>
              <w:topLinePunct w:val="0"/>
              <w:bidi w:val="0"/>
              <w:adjustRightInd/>
              <w:snapToGrid/>
              <w:spacing w:line="320" w:lineRule="exact"/>
              <w:rPr>
                <w:rFonts w:hint="eastAsia" w:cs="Times New Roman"/>
                <w:color w:val="auto"/>
                <w:sz w:val="21"/>
                <w:szCs w:val="21"/>
                <w:u w:val="single"/>
                <w:lang w:val="en-US" w:eastAsia="zh-CN"/>
              </w:rPr>
            </w:pPr>
          </w:p>
        </w:tc>
        <w:tc>
          <w:tcPr>
            <w:tcW w:w="690" w:type="pct"/>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氮氧化物</w:t>
            </w:r>
          </w:p>
        </w:tc>
        <w:tc>
          <w:tcPr>
            <w:tcW w:w="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147.975</w:t>
            </w:r>
            <w:r>
              <w:rPr>
                <w:rFonts w:hint="eastAsia" w:cs="Times New Roman"/>
                <w:b w:val="0"/>
                <w:bCs w:val="0"/>
                <w:color w:val="auto"/>
                <w:kern w:val="2"/>
                <w:sz w:val="21"/>
                <w:szCs w:val="21"/>
                <w:u w:val="single"/>
                <w:lang w:val="en-US" w:eastAsia="zh-CN" w:bidi="ar-SA"/>
              </w:rPr>
              <w:t>t/a</w:t>
            </w:r>
          </w:p>
        </w:tc>
        <w:tc>
          <w:tcPr>
            <w:tcW w:w="13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 xml:space="preserve">182.51t/a </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5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85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147.975</w:t>
            </w:r>
            <w:r>
              <w:rPr>
                <w:rFonts w:hint="eastAsia" w:cs="Times New Roman"/>
                <w:b w:val="0"/>
                <w:bCs w:val="0"/>
                <w:color w:val="auto"/>
                <w:kern w:val="2"/>
                <w:sz w:val="21"/>
                <w:szCs w:val="21"/>
                <w:u w:val="single"/>
                <w:lang w:val="en-US" w:eastAsia="zh-CN" w:bidi="ar-SA"/>
              </w:rPr>
              <w:t>t/a</w:t>
            </w:r>
          </w:p>
        </w:tc>
        <w:tc>
          <w:tcPr>
            <w:tcW w:w="4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vMerge w:val="continue"/>
            <w:noWrap w:val="0"/>
            <w:vAlign w:val="center"/>
          </w:tcPr>
          <w:p>
            <w:pPr>
              <w:pStyle w:val="61"/>
              <w:keepNext w:val="0"/>
              <w:keepLines w:val="0"/>
              <w:pageBreakBefore w:val="0"/>
              <w:kinsoku/>
              <w:wordWrap/>
              <w:overflowPunct/>
              <w:topLinePunct w:val="0"/>
              <w:bidi w:val="0"/>
              <w:adjustRightInd/>
              <w:snapToGrid/>
              <w:spacing w:line="320" w:lineRule="exact"/>
              <w:rPr>
                <w:rFonts w:hint="eastAsia" w:cs="Times New Roman"/>
                <w:color w:val="auto"/>
                <w:sz w:val="21"/>
                <w:szCs w:val="21"/>
                <w:u w:val="single"/>
                <w:lang w:val="en-US" w:eastAsia="zh-CN"/>
              </w:rPr>
            </w:pPr>
          </w:p>
        </w:tc>
        <w:tc>
          <w:tcPr>
            <w:tcW w:w="690" w:type="pct"/>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一氧化碳</w:t>
            </w:r>
          </w:p>
        </w:tc>
        <w:tc>
          <w:tcPr>
            <w:tcW w:w="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4.855</w:t>
            </w:r>
            <w:r>
              <w:rPr>
                <w:rFonts w:hint="eastAsia" w:cs="Times New Roman"/>
                <w:b w:val="0"/>
                <w:bCs w:val="0"/>
                <w:color w:val="auto"/>
                <w:kern w:val="2"/>
                <w:sz w:val="21"/>
                <w:szCs w:val="21"/>
                <w:u w:val="single"/>
                <w:lang w:val="en-US" w:eastAsia="zh-CN" w:bidi="ar-SA"/>
              </w:rPr>
              <w:t>t/a</w:t>
            </w:r>
          </w:p>
        </w:tc>
        <w:tc>
          <w:tcPr>
            <w:tcW w:w="13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46.09 t/a</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5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85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4.855</w:t>
            </w:r>
            <w:r>
              <w:rPr>
                <w:rFonts w:hint="eastAsia" w:cs="Times New Roman"/>
                <w:b w:val="0"/>
                <w:bCs w:val="0"/>
                <w:color w:val="auto"/>
                <w:kern w:val="2"/>
                <w:sz w:val="21"/>
                <w:szCs w:val="21"/>
                <w:u w:val="single"/>
                <w:lang w:val="en-US" w:eastAsia="zh-CN" w:bidi="ar-SA"/>
              </w:rPr>
              <w:t>t/a</w:t>
            </w:r>
          </w:p>
        </w:tc>
        <w:tc>
          <w:tcPr>
            <w:tcW w:w="4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vMerge w:val="continue"/>
            <w:noWrap w:val="0"/>
            <w:vAlign w:val="center"/>
          </w:tcPr>
          <w:p>
            <w:pPr>
              <w:pStyle w:val="61"/>
              <w:keepNext w:val="0"/>
              <w:keepLines w:val="0"/>
              <w:pageBreakBefore w:val="0"/>
              <w:kinsoku/>
              <w:wordWrap/>
              <w:overflowPunct/>
              <w:topLinePunct w:val="0"/>
              <w:bidi w:val="0"/>
              <w:adjustRightInd/>
              <w:snapToGrid/>
              <w:spacing w:line="320" w:lineRule="exact"/>
              <w:rPr>
                <w:rFonts w:hint="eastAsia" w:cs="Times New Roman"/>
                <w:color w:val="auto"/>
                <w:sz w:val="21"/>
                <w:szCs w:val="21"/>
                <w:u w:val="single"/>
                <w:lang w:val="en-US" w:eastAsia="zh-CN"/>
              </w:rPr>
            </w:pPr>
          </w:p>
        </w:tc>
        <w:tc>
          <w:tcPr>
            <w:tcW w:w="690" w:type="pct"/>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氯化氢</w:t>
            </w:r>
          </w:p>
        </w:tc>
        <w:tc>
          <w:tcPr>
            <w:tcW w:w="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11.953</w:t>
            </w:r>
            <w:r>
              <w:rPr>
                <w:rFonts w:hint="eastAsia" w:cs="Times New Roman"/>
                <w:b w:val="0"/>
                <w:bCs w:val="0"/>
                <w:color w:val="auto"/>
                <w:kern w:val="2"/>
                <w:sz w:val="21"/>
                <w:szCs w:val="21"/>
                <w:u w:val="single"/>
                <w:lang w:val="en-US" w:eastAsia="zh-CN" w:bidi="ar-SA"/>
              </w:rPr>
              <w:t>t/a</w:t>
            </w:r>
          </w:p>
        </w:tc>
        <w:tc>
          <w:tcPr>
            <w:tcW w:w="13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3.34 t/a</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5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85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11.953</w:t>
            </w:r>
            <w:r>
              <w:rPr>
                <w:rFonts w:hint="eastAsia" w:cs="Times New Roman"/>
                <w:b w:val="0"/>
                <w:bCs w:val="0"/>
                <w:color w:val="auto"/>
                <w:kern w:val="2"/>
                <w:sz w:val="21"/>
                <w:szCs w:val="21"/>
                <w:u w:val="single"/>
                <w:lang w:val="en-US" w:eastAsia="zh-CN" w:bidi="ar-SA"/>
              </w:rPr>
              <w:t>t/a</w:t>
            </w:r>
          </w:p>
        </w:tc>
        <w:tc>
          <w:tcPr>
            <w:tcW w:w="4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vMerge w:val="continue"/>
            <w:noWrap w:val="0"/>
            <w:vAlign w:val="center"/>
          </w:tcPr>
          <w:p>
            <w:pPr>
              <w:pStyle w:val="61"/>
              <w:keepNext w:val="0"/>
              <w:keepLines w:val="0"/>
              <w:pageBreakBefore w:val="0"/>
              <w:kinsoku/>
              <w:wordWrap/>
              <w:overflowPunct/>
              <w:topLinePunct w:val="0"/>
              <w:bidi w:val="0"/>
              <w:adjustRightInd/>
              <w:snapToGrid/>
              <w:spacing w:line="320" w:lineRule="exact"/>
              <w:rPr>
                <w:rFonts w:hint="eastAsia" w:cs="Times New Roman"/>
                <w:color w:val="auto"/>
                <w:sz w:val="21"/>
                <w:szCs w:val="21"/>
                <w:u w:val="single"/>
                <w:lang w:val="en-US" w:eastAsia="zh-CN"/>
              </w:rPr>
            </w:pPr>
          </w:p>
        </w:tc>
        <w:tc>
          <w:tcPr>
            <w:tcW w:w="690" w:type="pct"/>
            <w:noWrap w:val="0"/>
            <w:vAlign w:val="center"/>
          </w:tcPr>
          <w:p>
            <w:pPr>
              <w:keepNext w:val="0"/>
              <w:keepLines w:val="0"/>
              <w:pageBreakBefore w:val="0"/>
              <w:kinsoku/>
              <w:wordWrap/>
              <w:overflowPunct/>
              <w:topLinePunct w:val="0"/>
              <w:autoSpaceDE/>
              <w:autoSpaceDN/>
              <w:bidi w:val="0"/>
              <w:spacing w:line="320" w:lineRule="exact"/>
              <w:jc w:val="center"/>
              <w:textAlignment w:val="auto"/>
              <w:rPr>
                <w:rFonts w:hint="default"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氟化物</w:t>
            </w:r>
          </w:p>
        </w:tc>
        <w:tc>
          <w:tcPr>
            <w:tcW w:w="6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0.1095</w:t>
            </w:r>
            <w:r>
              <w:rPr>
                <w:rFonts w:hint="eastAsia" w:cs="Times New Roman"/>
                <w:b w:val="0"/>
                <w:bCs w:val="0"/>
                <w:color w:val="auto"/>
                <w:kern w:val="2"/>
                <w:sz w:val="21"/>
                <w:szCs w:val="21"/>
                <w:u w:val="single"/>
                <w:lang w:val="en-US" w:eastAsia="zh-CN" w:bidi="ar-SA"/>
              </w:rPr>
              <w:t>t/a</w:t>
            </w:r>
          </w:p>
        </w:tc>
        <w:tc>
          <w:tcPr>
            <w:tcW w:w="13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0.92 t/a</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color w:val="auto"/>
                <w:kern w:val="0"/>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5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highlight w:val="none"/>
                <w:u w:val="single"/>
                <w:lang w:val="en-US" w:eastAsia="zh-CN"/>
              </w:rPr>
            </w:pPr>
            <w:r>
              <w:rPr>
                <w:rFonts w:hint="eastAsia" w:cs="Times New Roman"/>
                <w:b w:val="0"/>
                <w:bCs w:val="0"/>
                <w:color w:val="auto"/>
                <w:kern w:val="2"/>
                <w:sz w:val="21"/>
                <w:szCs w:val="21"/>
                <w:u w:val="single"/>
                <w:lang w:val="en-US" w:eastAsia="zh-CN" w:bidi="ar-SA"/>
              </w:rPr>
              <w:t>0</w:t>
            </w:r>
          </w:p>
        </w:tc>
        <w:tc>
          <w:tcPr>
            <w:tcW w:w="185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sz w:val="21"/>
                <w:szCs w:val="21"/>
                <w:u w:val="single"/>
                <w:lang w:val="en-US" w:eastAsia="zh-CN"/>
              </w:rPr>
              <w:t>0.1095</w:t>
            </w:r>
            <w:r>
              <w:rPr>
                <w:rFonts w:hint="eastAsia" w:cs="Times New Roman"/>
                <w:b w:val="0"/>
                <w:bCs w:val="0"/>
                <w:color w:val="auto"/>
                <w:kern w:val="2"/>
                <w:sz w:val="21"/>
                <w:szCs w:val="21"/>
                <w:u w:val="single"/>
                <w:lang w:val="en-US" w:eastAsia="zh-CN" w:bidi="ar-SA"/>
              </w:rPr>
              <w:t>t/a</w:t>
            </w:r>
          </w:p>
        </w:tc>
        <w:tc>
          <w:tcPr>
            <w:tcW w:w="4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s="Times New Roman"/>
                <w:b w:val="0"/>
                <w:bCs w:val="0"/>
                <w:color w:val="auto"/>
                <w:sz w:val="21"/>
                <w:szCs w:val="21"/>
                <w:u w:val="single"/>
                <w:lang w:val="en-US" w:eastAsia="zh-CN"/>
              </w:rPr>
            </w:pPr>
            <w:r>
              <w:rPr>
                <w:rFonts w:hint="eastAsia" w:cs="Times New Roman"/>
                <w:b w:val="0"/>
                <w:bCs w:val="0"/>
                <w:color w:val="auto"/>
                <w:kern w:val="2"/>
                <w:sz w:val="21"/>
                <w:szCs w:val="21"/>
                <w:u w:val="single"/>
                <w:lang w:val="en-US" w:eastAsia="zh-CN" w:bidi="ar-SA"/>
              </w:rPr>
              <w:t>+0t/a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noWrap w:val="0"/>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废水</w:t>
            </w:r>
          </w:p>
        </w:tc>
        <w:tc>
          <w:tcPr>
            <w:tcW w:w="690" w:type="pct"/>
            <w:noWrap w:val="0"/>
            <w:vAlign w:val="center"/>
          </w:tcPr>
          <w:p>
            <w:pPr>
              <w:keepNext w:val="0"/>
              <w:keepLines w:val="0"/>
              <w:pageBreakBefore w:val="0"/>
              <w:kinsoku/>
              <w:wordWrap/>
              <w:overflowPunct/>
              <w:topLinePunct w:val="0"/>
              <w:bidi w:val="0"/>
              <w:adjustRightInd/>
              <w:snapToGrid/>
              <w:spacing w:line="320" w:lineRule="exact"/>
              <w:jc w:val="center"/>
              <w:rPr>
                <w:rFonts w:hint="default" w:ascii="Times New Roman" w:hAnsi="Times New Roman" w:cs="Times New Roman"/>
                <w:b w:val="0"/>
                <w:bCs w:val="0"/>
                <w:color w:val="auto"/>
                <w:sz w:val="21"/>
                <w:szCs w:val="21"/>
                <w:u w:val="single"/>
                <w:lang w:val="en-US"/>
              </w:rPr>
            </w:pPr>
            <w:r>
              <w:rPr>
                <w:rFonts w:hint="eastAsia" w:cs="Times New Roman"/>
                <w:b w:val="0"/>
                <w:bCs w:val="0"/>
                <w:color w:val="auto"/>
                <w:kern w:val="2"/>
                <w:sz w:val="21"/>
                <w:szCs w:val="21"/>
                <w:u w:val="single"/>
                <w:lang w:val="en-US" w:eastAsia="zh-CN" w:bidi="ar-SA"/>
              </w:rPr>
              <w:t>COD、氨氮</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ascii="Times New Roman" w:hAnsi="Times New Roman" w:eastAsia="宋体"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461"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ascii="Times New Roman" w:hAnsi="Times New Roman" w:eastAsia="宋体"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ascii="Times New Roman" w:hAnsi="Times New Roman" w:eastAsia="宋体"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w:t>
            </w:r>
          </w:p>
        </w:tc>
        <w:tc>
          <w:tcPr>
            <w:tcW w:w="566"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ascii="Times New Roman" w:hAnsi="Times New Roman" w:eastAsia="宋体"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0t/a</w:t>
            </w:r>
          </w:p>
        </w:tc>
        <w:tc>
          <w:tcPr>
            <w:tcW w:w="568" w:type="pct"/>
            <w:noWrap w:val="0"/>
            <w:vAlign w:val="center"/>
          </w:tcPr>
          <w:p>
            <w:pPr>
              <w:keepNext w:val="0"/>
              <w:keepLines w:val="0"/>
              <w:pageBreakBefore w:val="0"/>
              <w:widowControl/>
              <w:kinsoku/>
              <w:wordWrap/>
              <w:overflowPunct/>
              <w:topLinePunct w:val="0"/>
              <w:bidi w:val="0"/>
              <w:adjustRightInd/>
              <w:snapToGrid/>
              <w:spacing w:line="320" w:lineRule="exact"/>
              <w:jc w:val="center"/>
              <w:rPr>
                <w:rFonts w:ascii="Times New Roman" w:hAnsi="Times New Roman" w:eastAsia="宋体"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w:t>
            </w:r>
          </w:p>
        </w:tc>
        <w:tc>
          <w:tcPr>
            <w:tcW w:w="633" w:type="pct"/>
            <w:noWrap w:val="0"/>
            <w:vAlign w:val="center"/>
          </w:tcPr>
          <w:p>
            <w:pPr>
              <w:keepNext w:val="0"/>
              <w:keepLines w:val="0"/>
              <w:pageBreakBefore w:val="0"/>
              <w:widowControl/>
              <w:kinsoku/>
              <w:wordWrap/>
              <w:overflowPunct/>
              <w:topLinePunct w:val="0"/>
              <w:bidi w:val="0"/>
              <w:adjustRightInd/>
              <w:snapToGrid/>
              <w:spacing w:line="320" w:lineRule="exact"/>
              <w:jc w:val="center"/>
              <w:textAlignment w:val="center"/>
              <w:rPr>
                <w:rFonts w:hint="default" w:ascii="Times New Roman" w:hAnsi="Times New Roman" w:eastAsia="宋体"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0t/a</w:t>
            </w:r>
          </w:p>
        </w:tc>
        <w:tc>
          <w:tcPr>
            <w:tcW w:w="446"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ascii="Times New Roman" w:hAnsi="Times New Roman" w:eastAsia="宋体" w:cs="Times New Roman"/>
                <w:b w:val="0"/>
                <w:bCs w:val="0"/>
                <w:color w:val="auto"/>
                <w:kern w:val="2"/>
                <w:sz w:val="21"/>
                <w:szCs w:val="21"/>
                <w:u w:val="single"/>
                <w:lang w:val="en-US" w:eastAsia="zh-CN" w:bidi="ar-SA"/>
              </w:rPr>
            </w:pPr>
            <w:r>
              <w:rPr>
                <w:rFonts w:hint="eastAsia" w:cs="Times New Roman"/>
                <w:b w:val="0"/>
                <w:bCs w:val="0"/>
                <w:color w:val="auto"/>
                <w:kern w:val="2"/>
                <w:sz w:val="21"/>
                <w:szCs w:val="21"/>
                <w:u w:val="single"/>
                <w:lang w:val="en-US" w:eastAsia="zh-CN" w:bidi="ar-SA"/>
              </w:rPr>
              <w:t>+0t/a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8" w:type="pct"/>
            <w:noWrap w:val="0"/>
            <w:vAlign w:val="center"/>
          </w:tcPr>
          <w:p>
            <w:pPr>
              <w:pStyle w:val="61"/>
              <w:keepNext w:val="0"/>
              <w:keepLines w:val="0"/>
              <w:pageBreakBefore w:val="0"/>
              <w:kinsoku/>
              <w:wordWrap/>
              <w:overflowPunct/>
              <w:topLinePunct w:val="0"/>
              <w:bidi w:val="0"/>
              <w:adjustRightInd/>
              <w:snapToGrid/>
              <w:spacing w:line="320" w:lineRule="exact"/>
              <w:ind w:firstLine="0" w:firstLine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eastAsia="zh-CN"/>
              </w:rPr>
              <w:t>生活垃圾</w:t>
            </w:r>
          </w:p>
        </w:tc>
        <w:tc>
          <w:tcPr>
            <w:tcW w:w="690" w:type="pct"/>
            <w:noWrap w:val="0"/>
            <w:vAlign w:val="center"/>
          </w:tcPr>
          <w:p>
            <w:pPr>
              <w:keepNext w:val="0"/>
              <w:keepLines w:val="0"/>
              <w:pageBreakBefore w:val="0"/>
              <w:kinsoku/>
              <w:wordWrap/>
              <w:overflowPunct/>
              <w:topLinePunct w:val="0"/>
              <w:bidi w:val="0"/>
              <w:adjustRightInd/>
              <w:snapToGrid/>
              <w:spacing w:line="320" w:lineRule="exact"/>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461"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566"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568" w:type="pct"/>
            <w:noWrap w:val="0"/>
            <w:vAlign w:val="center"/>
          </w:tcPr>
          <w:p>
            <w:pPr>
              <w:keepNext w:val="0"/>
              <w:keepLines w:val="0"/>
              <w:pageBreakBefore w:val="0"/>
              <w:widowControl/>
              <w:kinsoku/>
              <w:wordWrap/>
              <w:overflowPunct/>
              <w:topLinePunct w:val="0"/>
              <w:bidi w:val="0"/>
              <w:adjustRightInd/>
              <w:snapToGrid/>
              <w:spacing w:line="320" w:lineRule="exact"/>
              <w:jc w:val="center"/>
              <w:rPr>
                <w:rFonts w:hint="default" w:ascii="Times New Roman" w:hAnsi="Times New Roman" w:eastAsia="宋体" w:cs="Times New Roman"/>
                <w:b w:val="0"/>
                <w:bCs w:val="0"/>
                <w:color w:val="auto"/>
                <w:sz w:val="21"/>
                <w:szCs w:val="21"/>
                <w:u w:val="none"/>
                <w:lang w:val="en-US"/>
              </w:rPr>
            </w:pPr>
            <w:r>
              <w:rPr>
                <w:rFonts w:hint="eastAsia" w:cs="Times New Roman"/>
                <w:b w:val="0"/>
                <w:bCs w:val="0"/>
                <w:color w:val="auto"/>
                <w:kern w:val="2"/>
                <w:sz w:val="21"/>
                <w:szCs w:val="21"/>
                <w:u w:val="none"/>
                <w:lang w:val="en-US" w:eastAsia="zh-CN" w:bidi="ar-SA"/>
              </w:rPr>
              <w:t>/</w:t>
            </w:r>
          </w:p>
        </w:tc>
        <w:tc>
          <w:tcPr>
            <w:tcW w:w="633"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446"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98" w:type="pct"/>
            <w:noWrap w:val="0"/>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一般工业</w:t>
            </w:r>
          </w:p>
          <w:p>
            <w:pPr>
              <w:pStyle w:val="61"/>
              <w:keepNext w:val="0"/>
              <w:keepLines w:val="0"/>
              <w:pageBreakBefore w:val="0"/>
              <w:kinsoku/>
              <w:wordWrap/>
              <w:overflowPunct/>
              <w:topLinePunct w:val="0"/>
              <w:bidi w:val="0"/>
              <w:adjustRightInd/>
              <w:snapToGrid/>
              <w:spacing w:line="320" w:lineRule="exact"/>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固体废物</w:t>
            </w:r>
          </w:p>
        </w:tc>
        <w:tc>
          <w:tcPr>
            <w:tcW w:w="69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461"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566"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568"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eastAsia"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633"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446"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eastAsia"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398" w:type="pct"/>
            <w:noWrap w:val="0"/>
            <w:vAlign w:val="center"/>
          </w:tcPr>
          <w:p>
            <w:pPr>
              <w:pStyle w:val="61"/>
              <w:keepNext w:val="0"/>
              <w:keepLines w:val="0"/>
              <w:pageBreakBefore w:val="0"/>
              <w:kinsoku/>
              <w:wordWrap/>
              <w:overflowPunct/>
              <w:topLinePunct w:val="0"/>
              <w:bidi w:val="0"/>
              <w:adjustRightInd/>
              <w:snapToGrid/>
              <w:spacing w:line="320" w:lineRule="exact"/>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危险废物</w:t>
            </w:r>
          </w:p>
        </w:tc>
        <w:tc>
          <w:tcPr>
            <w:tcW w:w="69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u w:val="none"/>
                <w:lang w:val="en-US" w:eastAsia="zh-CN" w:bidi="ar-SA"/>
              </w:rPr>
              <w:t>/</w:t>
            </w:r>
          </w:p>
        </w:tc>
        <w:tc>
          <w:tcPr>
            <w:tcW w:w="461"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default"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u w:val="none"/>
                <w:lang w:val="en-US" w:eastAsia="zh-CN" w:bidi="ar-SA"/>
              </w:rPr>
              <w:t>/</w:t>
            </w:r>
          </w:p>
        </w:tc>
        <w:tc>
          <w:tcPr>
            <w:tcW w:w="617"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jc w:val="center"/>
              <w:rPr>
                <w:rFonts w:hint="eastAsia"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u w:val="none"/>
                <w:lang w:val="en-US" w:eastAsia="zh-CN" w:bidi="ar-SA"/>
              </w:rPr>
              <w:t>/</w:t>
            </w:r>
          </w:p>
        </w:tc>
        <w:tc>
          <w:tcPr>
            <w:tcW w:w="566"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u w:val="none"/>
                <w:lang w:val="en-US" w:eastAsia="zh-CN" w:bidi="ar-SA"/>
              </w:rPr>
              <w:t>/</w:t>
            </w:r>
          </w:p>
        </w:tc>
        <w:tc>
          <w:tcPr>
            <w:tcW w:w="568"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u w:val="none"/>
                <w:lang w:val="en-US" w:eastAsia="zh-CN" w:bidi="ar-SA"/>
              </w:rPr>
              <w:t>/</w:t>
            </w:r>
          </w:p>
        </w:tc>
        <w:tc>
          <w:tcPr>
            <w:tcW w:w="633"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u w:val="none"/>
                <w:lang w:val="en-US" w:eastAsia="zh-CN" w:bidi="ar-SA"/>
              </w:rPr>
              <w:t>/</w:t>
            </w:r>
          </w:p>
        </w:tc>
        <w:tc>
          <w:tcPr>
            <w:tcW w:w="446" w:type="pct"/>
            <w:noWrap w:val="0"/>
            <w:vAlign w:val="center"/>
          </w:tcPr>
          <w:p>
            <w:pPr>
              <w:keepNext w:val="0"/>
              <w:keepLines w:val="0"/>
              <w:pageBreakBefore w:val="0"/>
              <w:widowControl w:val="0"/>
              <w:kinsoku/>
              <w:wordWrap/>
              <w:overflowPunct/>
              <w:topLinePunct w:val="0"/>
              <w:bidi w:val="0"/>
              <w:adjustRightInd/>
              <w:snapToGrid/>
              <w:spacing w:line="320" w:lineRule="exact"/>
              <w:ind w:firstLine="0" w:firstLineChars="0"/>
              <w:contextualSpacing/>
              <w:jc w:val="center"/>
              <w:textAlignment w:val="auto"/>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w:t>
            </w:r>
          </w:p>
        </w:tc>
      </w:tr>
    </w:tbl>
    <w:p>
      <w:pPr>
        <w:pStyle w:val="49"/>
        <w:spacing w:beforeLines="80" w:after="24"/>
        <w:jc w:val="left"/>
        <w:rPr>
          <w:rFonts w:hint="eastAsia" w:ascii="Times New Roman" w:hAnsi="Times New Roman" w:cs="Times New Roman"/>
          <w:snapToGrid w:val="0"/>
          <w:color w:val="auto"/>
          <w:spacing w:val="-6"/>
          <w:kern w:val="21"/>
          <w:szCs w:val="21"/>
          <w:lang w:val="en-US" w:eastAsia="zh-CN"/>
        </w:rPr>
      </w:pPr>
      <w:r>
        <w:rPr>
          <w:rFonts w:ascii="Times New Roman" w:hAnsi="Times New Roman" w:cs="Times New Roman"/>
          <w:snapToGrid w:val="0"/>
          <w:color w:val="auto"/>
          <w:kern w:val="21"/>
          <w:szCs w:val="21"/>
        </w:rPr>
        <w:t>注：</w:t>
      </w:r>
      <w:r>
        <w:rPr>
          <w:rFonts w:ascii="Times New Roman" w:hAnsi="Times New Roman" w:cs="Times New Roman"/>
          <w:snapToGrid w:val="0"/>
          <w:color w:val="auto"/>
          <w:spacing w:val="-16"/>
          <w:kern w:val="21"/>
          <w:szCs w:val="21"/>
        </w:rPr>
        <w:fldChar w:fldCharType="begin"/>
      </w:r>
      <w:r>
        <w:rPr>
          <w:rFonts w:ascii="Times New Roman" w:hAnsi="Times New Roman" w:cs="Times New Roman"/>
          <w:snapToGrid w:val="0"/>
          <w:color w:val="auto"/>
          <w:spacing w:val="-16"/>
          <w:kern w:val="21"/>
          <w:szCs w:val="21"/>
        </w:rPr>
        <w:instrText xml:space="preserve"> = 6 \* GB3 \* MERGEFORMAT </w:instrText>
      </w:r>
      <w:r>
        <w:rPr>
          <w:rFonts w:ascii="Times New Roman" w:hAnsi="Times New Roman" w:cs="Times New Roman"/>
          <w:snapToGrid w:val="0"/>
          <w:color w:val="auto"/>
          <w:spacing w:val="-16"/>
          <w:kern w:val="21"/>
          <w:szCs w:val="21"/>
        </w:rPr>
        <w:fldChar w:fldCharType="separate"/>
      </w:r>
      <w:r>
        <w:rPr>
          <w:rFonts w:ascii="Times New Roman" w:hAnsi="Times New Roman" w:cs="Times New Roman"/>
          <w:color w:val="auto"/>
          <w:szCs w:val="21"/>
        </w:rPr>
        <w:t>⑥</w:t>
      </w:r>
      <w:r>
        <w:rPr>
          <w:rFonts w:ascii="Times New Roman" w:hAnsi="Times New Roman" w:cs="Times New Roman"/>
          <w:snapToGrid w:val="0"/>
          <w:color w:val="auto"/>
          <w:spacing w:val="-16"/>
          <w:kern w:val="21"/>
          <w:szCs w:val="21"/>
        </w:rPr>
        <w:fldChar w:fldCharType="end"/>
      </w:r>
      <w:r>
        <w:rPr>
          <w:rFonts w:ascii="Times New Roman" w:hAnsi="Times New Roman" w:cs="Times New Roman"/>
          <w:snapToGrid w:val="0"/>
          <w:color w:val="auto"/>
          <w:spacing w:val="-16"/>
          <w:kern w:val="21"/>
          <w:szCs w:val="21"/>
        </w:rPr>
        <w:t>=</w:t>
      </w:r>
      <w:r>
        <w:rPr>
          <w:rFonts w:ascii="Times New Roman" w:hAnsi="Times New Roman" w:cs="Times New Roman"/>
          <w:snapToGrid w:val="0"/>
          <w:color w:val="auto"/>
          <w:spacing w:val="-6"/>
          <w:kern w:val="21"/>
          <w:szCs w:val="21"/>
        </w:rPr>
        <w:fldChar w:fldCharType="begin"/>
      </w:r>
      <w:r>
        <w:rPr>
          <w:rFonts w:ascii="Times New Roman" w:hAnsi="Times New Roman" w:cs="Times New Roman"/>
          <w:snapToGrid w:val="0"/>
          <w:color w:val="auto"/>
          <w:spacing w:val="-6"/>
          <w:kern w:val="21"/>
          <w:szCs w:val="21"/>
        </w:rPr>
        <w:instrText xml:space="preserve"> = 1 \* GB3 \* MERGEFORMAT </w:instrText>
      </w:r>
      <w:r>
        <w:rPr>
          <w:rFonts w:ascii="Times New Roman" w:hAnsi="Times New Roman" w:cs="Times New Roman"/>
          <w:snapToGrid w:val="0"/>
          <w:color w:val="auto"/>
          <w:spacing w:val="-6"/>
          <w:kern w:val="21"/>
          <w:szCs w:val="21"/>
        </w:rPr>
        <w:fldChar w:fldCharType="separate"/>
      </w:r>
      <w:r>
        <w:rPr>
          <w:rFonts w:ascii="Times New Roman" w:hAnsi="Times New Roman" w:cs="Times New Roman"/>
          <w:color w:val="auto"/>
          <w:szCs w:val="21"/>
        </w:rPr>
        <w:t>①</w:t>
      </w:r>
      <w:r>
        <w:rPr>
          <w:rFonts w:ascii="Times New Roman" w:hAnsi="Times New Roman" w:cs="Times New Roman"/>
          <w:snapToGrid w:val="0"/>
          <w:color w:val="auto"/>
          <w:spacing w:val="-6"/>
          <w:kern w:val="21"/>
          <w:szCs w:val="21"/>
        </w:rPr>
        <w:fldChar w:fldCharType="end"/>
      </w:r>
      <w:r>
        <w:rPr>
          <w:rFonts w:ascii="Times New Roman" w:hAnsi="Times New Roman" w:cs="Times New Roman"/>
          <w:snapToGrid w:val="0"/>
          <w:color w:val="auto"/>
          <w:spacing w:val="-6"/>
          <w:kern w:val="21"/>
          <w:szCs w:val="21"/>
        </w:rPr>
        <w:t>+</w:t>
      </w:r>
      <w:r>
        <w:rPr>
          <w:rFonts w:ascii="Times New Roman" w:hAnsi="Times New Roman" w:cs="Times New Roman"/>
          <w:snapToGrid w:val="0"/>
          <w:color w:val="auto"/>
          <w:spacing w:val="-6"/>
          <w:kern w:val="21"/>
          <w:szCs w:val="21"/>
        </w:rPr>
        <w:fldChar w:fldCharType="begin"/>
      </w:r>
      <w:r>
        <w:rPr>
          <w:rFonts w:ascii="Times New Roman" w:hAnsi="Times New Roman" w:cs="Times New Roman"/>
          <w:snapToGrid w:val="0"/>
          <w:color w:val="auto"/>
          <w:spacing w:val="-6"/>
          <w:kern w:val="21"/>
          <w:szCs w:val="21"/>
        </w:rPr>
        <w:instrText xml:space="preserve"> = 3 \* GB3 \* MERGEFORMAT </w:instrText>
      </w:r>
      <w:r>
        <w:rPr>
          <w:rFonts w:ascii="Times New Roman" w:hAnsi="Times New Roman" w:cs="Times New Roman"/>
          <w:snapToGrid w:val="0"/>
          <w:color w:val="auto"/>
          <w:spacing w:val="-6"/>
          <w:kern w:val="21"/>
          <w:szCs w:val="21"/>
        </w:rPr>
        <w:fldChar w:fldCharType="separate"/>
      </w:r>
      <w:r>
        <w:rPr>
          <w:rFonts w:ascii="Times New Roman" w:hAnsi="Times New Roman" w:cs="Times New Roman"/>
          <w:color w:val="auto"/>
          <w:szCs w:val="21"/>
        </w:rPr>
        <w:t>③</w:t>
      </w:r>
      <w:r>
        <w:rPr>
          <w:rFonts w:ascii="Times New Roman" w:hAnsi="Times New Roman" w:cs="Times New Roman"/>
          <w:snapToGrid w:val="0"/>
          <w:color w:val="auto"/>
          <w:spacing w:val="-6"/>
          <w:kern w:val="21"/>
          <w:szCs w:val="21"/>
        </w:rPr>
        <w:fldChar w:fldCharType="end"/>
      </w:r>
      <w:r>
        <w:rPr>
          <w:rFonts w:ascii="Times New Roman" w:hAnsi="Times New Roman" w:cs="Times New Roman"/>
          <w:snapToGrid w:val="0"/>
          <w:color w:val="auto"/>
          <w:spacing w:val="-6"/>
          <w:kern w:val="21"/>
          <w:szCs w:val="21"/>
        </w:rPr>
        <w:t>+</w:t>
      </w:r>
      <w:r>
        <w:rPr>
          <w:rFonts w:ascii="Times New Roman" w:hAnsi="Times New Roman" w:cs="Times New Roman"/>
          <w:snapToGrid w:val="0"/>
          <w:color w:val="auto"/>
          <w:spacing w:val="-6"/>
          <w:kern w:val="21"/>
          <w:szCs w:val="21"/>
        </w:rPr>
        <w:fldChar w:fldCharType="begin"/>
      </w:r>
      <w:r>
        <w:rPr>
          <w:rFonts w:ascii="Times New Roman" w:hAnsi="Times New Roman" w:cs="Times New Roman"/>
          <w:snapToGrid w:val="0"/>
          <w:color w:val="auto"/>
          <w:spacing w:val="-6"/>
          <w:kern w:val="21"/>
          <w:szCs w:val="21"/>
        </w:rPr>
        <w:instrText xml:space="preserve"> = 4 \* GB3 \* MERGEFORMAT </w:instrText>
      </w:r>
      <w:r>
        <w:rPr>
          <w:rFonts w:ascii="Times New Roman" w:hAnsi="Times New Roman" w:cs="Times New Roman"/>
          <w:snapToGrid w:val="0"/>
          <w:color w:val="auto"/>
          <w:spacing w:val="-6"/>
          <w:kern w:val="21"/>
          <w:szCs w:val="21"/>
        </w:rPr>
        <w:fldChar w:fldCharType="separate"/>
      </w:r>
      <w:r>
        <w:rPr>
          <w:rFonts w:ascii="Times New Roman" w:hAnsi="Times New Roman" w:cs="Times New Roman"/>
          <w:color w:val="auto"/>
          <w:szCs w:val="21"/>
        </w:rPr>
        <w:t>④</w:t>
      </w:r>
      <w:r>
        <w:rPr>
          <w:rFonts w:ascii="Times New Roman" w:hAnsi="Times New Roman" w:cs="Times New Roman"/>
          <w:snapToGrid w:val="0"/>
          <w:color w:val="auto"/>
          <w:spacing w:val="-6"/>
          <w:kern w:val="21"/>
          <w:szCs w:val="21"/>
        </w:rPr>
        <w:fldChar w:fldCharType="end"/>
      </w:r>
      <w:r>
        <w:rPr>
          <w:rFonts w:ascii="Times New Roman" w:hAnsi="Times New Roman" w:cs="Times New Roman"/>
          <w:snapToGrid w:val="0"/>
          <w:color w:val="auto"/>
          <w:spacing w:val="-6"/>
          <w:kern w:val="21"/>
          <w:szCs w:val="21"/>
        </w:rPr>
        <w:t>-</w:t>
      </w:r>
      <w:r>
        <w:rPr>
          <w:rFonts w:ascii="Times New Roman" w:hAnsi="Times New Roman" w:cs="Times New Roman"/>
          <w:snapToGrid w:val="0"/>
          <w:color w:val="auto"/>
          <w:spacing w:val="-16"/>
          <w:kern w:val="21"/>
          <w:szCs w:val="21"/>
        </w:rPr>
        <w:fldChar w:fldCharType="begin"/>
      </w:r>
      <w:r>
        <w:rPr>
          <w:rFonts w:ascii="Times New Roman" w:hAnsi="Times New Roman" w:cs="Times New Roman"/>
          <w:snapToGrid w:val="0"/>
          <w:color w:val="auto"/>
          <w:spacing w:val="-16"/>
          <w:kern w:val="21"/>
          <w:szCs w:val="21"/>
        </w:rPr>
        <w:instrText xml:space="preserve"> = 5 \* GB3 \* MERGEFORMAT </w:instrText>
      </w:r>
      <w:r>
        <w:rPr>
          <w:rFonts w:ascii="Times New Roman" w:hAnsi="Times New Roman" w:cs="Times New Roman"/>
          <w:snapToGrid w:val="0"/>
          <w:color w:val="auto"/>
          <w:spacing w:val="-16"/>
          <w:kern w:val="21"/>
          <w:szCs w:val="21"/>
        </w:rPr>
        <w:fldChar w:fldCharType="separate"/>
      </w:r>
      <w:r>
        <w:rPr>
          <w:rFonts w:ascii="Times New Roman" w:hAnsi="Times New Roman" w:cs="Times New Roman"/>
          <w:color w:val="auto"/>
          <w:szCs w:val="21"/>
        </w:rPr>
        <w:t>⑤</w:t>
      </w:r>
      <w:r>
        <w:rPr>
          <w:rFonts w:ascii="Times New Roman" w:hAnsi="Times New Roman" w:cs="Times New Roman"/>
          <w:snapToGrid w:val="0"/>
          <w:color w:val="auto"/>
          <w:spacing w:val="-16"/>
          <w:kern w:val="21"/>
          <w:szCs w:val="21"/>
        </w:rPr>
        <w:fldChar w:fldCharType="end"/>
      </w:r>
      <w:r>
        <w:rPr>
          <w:rFonts w:ascii="Times New Roman" w:hAnsi="Times New Roman" w:cs="Times New Roman"/>
          <w:snapToGrid w:val="0"/>
          <w:color w:val="auto"/>
          <w:spacing w:val="-16"/>
          <w:kern w:val="21"/>
          <w:szCs w:val="21"/>
        </w:rPr>
        <w:t>；</w:t>
      </w:r>
      <w:r>
        <w:rPr>
          <w:rFonts w:ascii="Times New Roman" w:hAnsi="Times New Roman" w:cs="Times New Roman"/>
          <w:snapToGrid w:val="0"/>
          <w:color w:val="auto"/>
          <w:spacing w:val="-6"/>
          <w:kern w:val="21"/>
          <w:szCs w:val="21"/>
        </w:rPr>
        <w:fldChar w:fldCharType="begin"/>
      </w:r>
      <w:r>
        <w:rPr>
          <w:rFonts w:ascii="Times New Roman" w:hAnsi="Times New Roman" w:cs="Times New Roman"/>
          <w:snapToGrid w:val="0"/>
          <w:color w:val="auto"/>
          <w:spacing w:val="-6"/>
          <w:kern w:val="21"/>
          <w:szCs w:val="21"/>
        </w:rPr>
        <w:instrText xml:space="preserve"> = 7 \* GB3 \* MERGEFORMAT </w:instrText>
      </w:r>
      <w:r>
        <w:rPr>
          <w:rFonts w:ascii="Times New Roman" w:hAnsi="Times New Roman" w:cs="Times New Roman"/>
          <w:snapToGrid w:val="0"/>
          <w:color w:val="auto"/>
          <w:spacing w:val="-6"/>
          <w:kern w:val="21"/>
          <w:szCs w:val="21"/>
        </w:rPr>
        <w:fldChar w:fldCharType="separate"/>
      </w:r>
      <w:r>
        <w:rPr>
          <w:rFonts w:ascii="Times New Roman" w:hAnsi="Times New Roman" w:cs="Times New Roman"/>
          <w:color w:val="auto"/>
          <w:szCs w:val="21"/>
        </w:rPr>
        <w:t>⑦</w:t>
      </w:r>
      <w:r>
        <w:rPr>
          <w:rFonts w:ascii="Times New Roman" w:hAnsi="Times New Roman" w:cs="Times New Roman"/>
          <w:snapToGrid w:val="0"/>
          <w:color w:val="auto"/>
          <w:spacing w:val="-6"/>
          <w:kern w:val="21"/>
          <w:szCs w:val="21"/>
        </w:rPr>
        <w:fldChar w:fldCharType="end"/>
      </w:r>
      <w:r>
        <w:rPr>
          <w:rFonts w:ascii="Times New Roman" w:hAnsi="Times New Roman" w:cs="Times New Roman"/>
          <w:snapToGrid w:val="0"/>
          <w:color w:val="auto"/>
          <w:spacing w:val="-6"/>
          <w:kern w:val="21"/>
          <w:szCs w:val="21"/>
        </w:rPr>
        <w:t>=</w:t>
      </w:r>
      <w:r>
        <w:rPr>
          <w:rFonts w:ascii="Times New Roman" w:hAnsi="Times New Roman" w:cs="Times New Roman"/>
          <w:snapToGrid w:val="0"/>
          <w:color w:val="auto"/>
          <w:spacing w:val="-16"/>
          <w:kern w:val="21"/>
          <w:szCs w:val="21"/>
        </w:rPr>
        <w:fldChar w:fldCharType="begin"/>
      </w:r>
      <w:r>
        <w:rPr>
          <w:rFonts w:ascii="Times New Roman" w:hAnsi="Times New Roman" w:cs="Times New Roman"/>
          <w:snapToGrid w:val="0"/>
          <w:color w:val="auto"/>
          <w:spacing w:val="-16"/>
          <w:kern w:val="21"/>
          <w:szCs w:val="21"/>
        </w:rPr>
        <w:instrText xml:space="preserve"> = 6 \* GB3 \* MERGEFORMAT </w:instrText>
      </w:r>
      <w:r>
        <w:rPr>
          <w:rFonts w:ascii="Times New Roman" w:hAnsi="Times New Roman" w:cs="Times New Roman"/>
          <w:snapToGrid w:val="0"/>
          <w:color w:val="auto"/>
          <w:spacing w:val="-16"/>
          <w:kern w:val="21"/>
          <w:szCs w:val="21"/>
        </w:rPr>
        <w:fldChar w:fldCharType="separate"/>
      </w:r>
      <w:r>
        <w:rPr>
          <w:rFonts w:ascii="Times New Roman" w:hAnsi="Times New Roman" w:cs="Times New Roman"/>
          <w:color w:val="auto"/>
          <w:szCs w:val="21"/>
        </w:rPr>
        <w:t>⑥</w:t>
      </w:r>
      <w:r>
        <w:rPr>
          <w:rFonts w:ascii="Times New Roman" w:hAnsi="Times New Roman" w:cs="Times New Roman"/>
          <w:snapToGrid w:val="0"/>
          <w:color w:val="auto"/>
          <w:spacing w:val="-16"/>
          <w:kern w:val="21"/>
          <w:szCs w:val="21"/>
        </w:rPr>
        <w:fldChar w:fldCharType="end"/>
      </w:r>
      <w:r>
        <w:rPr>
          <w:rFonts w:ascii="Times New Roman" w:hAnsi="Times New Roman" w:cs="Times New Roman"/>
          <w:snapToGrid w:val="0"/>
          <w:color w:val="auto"/>
          <w:spacing w:val="-16"/>
          <w:kern w:val="21"/>
          <w:szCs w:val="21"/>
        </w:rPr>
        <w:t>-</w:t>
      </w:r>
      <w:r>
        <w:rPr>
          <w:rFonts w:ascii="Times New Roman" w:hAnsi="Times New Roman" w:cs="Times New Roman"/>
          <w:snapToGrid w:val="0"/>
          <w:color w:val="auto"/>
          <w:spacing w:val="-6"/>
          <w:kern w:val="21"/>
          <w:szCs w:val="21"/>
        </w:rPr>
        <w:fldChar w:fldCharType="begin"/>
      </w:r>
      <w:r>
        <w:rPr>
          <w:rFonts w:ascii="Times New Roman" w:hAnsi="Times New Roman" w:cs="Times New Roman"/>
          <w:snapToGrid w:val="0"/>
          <w:color w:val="auto"/>
          <w:spacing w:val="-6"/>
          <w:kern w:val="21"/>
          <w:szCs w:val="21"/>
        </w:rPr>
        <w:instrText xml:space="preserve"> = 1 \* GB3 \* MERGEFORMAT </w:instrText>
      </w:r>
      <w:r>
        <w:rPr>
          <w:rFonts w:ascii="Times New Roman" w:hAnsi="Times New Roman" w:cs="Times New Roman"/>
          <w:snapToGrid w:val="0"/>
          <w:color w:val="auto"/>
          <w:spacing w:val="-6"/>
          <w:kern w:val="21"/>
          <w:szCs w:val="21"/>
        </w:rPr>
        <w:fldChar w:fldCharType="separate"/>
      </w:r>
      <w:r>
        <w:rPr>
          <w:rFonts w:ascii="Times New Roman" w:hAnsi="Times New Roman" w:cs="Times New Roman"/>
          <w:color w:val="auto"/>
          <w:szCs w:val="21"/>
        </w:rPr>
        <w:t>①</w:t>
      </w:r>
      <w:r>
        <w:rPr>
          <w:rFonts w:ascii="Times New Roman" w:hAnsi="Times New Roman" w:cs="Times New Roman"/>
          <w:snapToGrid w:val="0"/>
          <w:color w:val="auto"/>
          <w:spacing w:val="-6"/>
          <w:kern w:val="21"/>
          <w:szCs w:val="21"/>
        </w:rPr>
        <w:fldChar w:fldCharType="end"/>
      </w:r>
      <w:r>
        <w:rPr>
          <w:rFonts w:hint="eastAsia" w:ascii="Times New Roman" w:hAnsi="Times New Roman" w:cs="Times New Roman"/>
          <w:snapToGrid w:val="0"/>
          <w:color w:val="auto"/>
          <w:spacing w:val="-6"/>
          <w:kern w:val="21"/>
          <w:szCs w:val="21"/>
          <w:lang w:val="en-US" w:eastAsia="zh-CN"/>
        </w:rPr>
        <w:t xml:space="preserve"> </w:t>
      </w:r>
    </w:p>
    <w:p>
      <w:pPr>
        <w:pStyle w:val="49"/>
        <w:spacing w:beforeLines="80" w:after="24"/>
        <w:jc w:val="left"/>
        <w:rPr>
          <w:rFonts w:hint="eastAsia" w:ascii="Times New Roman" w:hAnsi="Times New Roman" w:cs="Times New Roman"/>
          <w:snapToGrid w:val="0"/>
          <w:color w:val="auto"/>
          <w:spacing w:val="-6"/>
          <w:kern w:val="21"/>
          <w:szCs w:val="21"/>
          <w:lang w:val="en-US" w:eastAsia="zh-CN"/>
        </w:rPr>
      </w:pPr>
    </w:p>
    <w:p>
      <w:pPr>
        <w:pStyle w:val="49"/>
        <w:spacing w:beforeLines="80" w:after="24"/>
        <w:jc w:val="left"/>
        <w:rPr>
          <w:rFonts w:hint="eastAsia" w:ascii="Times New Roman" w:hAnsi="Times New Roman" w:cs="Times New Roman"/>
          <w:snapToGrid w:val="0"/>
          <w:color w:val="auto"/>
          <w:spacing w:val="-6"/>
          <w:kern w:val="21"/>
          <w:szCs w:val="21"/>
          <w:lang w:val="en-US" w:eastAsia="zh-CN"/>
        </w:rPr>
      </w:pPr>
    </w:p>
    <w:p>
      <w:pPr>
        <w:pStyle w:val="49"/>
        <w:spacing w:beforeLines="80" w:after="24"/>
        <w:jc w:val="left"/>
        <w:rPr>
          <w:rFonts w:hint="eastAsia" w:ascii="Times New Roman" w:hAnsi="Times New Roman" w:cs="Times New Roman"/>
          <w:snapToGrid w:val="0"/>
          <w:color w:val="auto"/>
          <w:spacing w:val="-6"/>
          <w:kern w:val="21"/>
          <w:szCs w:val="21"/>
          <w:lang w:val="en-US" w:eastAsia="zh-CN"/>
        </w:rPr>
      </w:pPr>
    </w:p>
    <w:p>
      <w:pPr>
        <w:pStyle w:val="49"/>
        <w:spacing w:beforeLines="80" w:after="24"/>
        <w:jc w:val="left"/>
        <w:rPr>
          <w:rFonts w:hint="eastAsia" w:ascii="Times New Roman" w:hAnsi="Times New Roman" w:cs="Times New Roman"/>
          <w:snapToGrid w:val="0"/>
          <w:color w:val="auto"/>
          <w:spacing w:val="-6"/>
          <w:kern w:val="21"/>
          <w:szCs w:val="21"/>
          <w:lang w:val="en-US" w:eastAsia="zh-CN"/>
        </w:rPr>
      </w:pPr>
    </w:p>
    <w:p>
      <w:pPr>
        <w:jc w:val="center"/>
        <w:sectPr>
          <w:footerReference r:id="rId14" w:type="default"/>
          <w:pgSz w:w="16838" w:h="11906" w:orient="landscape"/>
          <w:pgMar w:top="720" w:right="720" w:bottom="720" w:left="720" w:header="851" w:footer="992" w:gutter="0"/>
          <w:cols w:space="720" w:num="1"/>
          <w:docGrid w:type="lines" w:linePitch="312" w:charSpace="0"/>
        </w:sectPr>
      </w:pPr>
      <w:r>
        <w:rPr>
          <w:sz w:val="21"/>
        </w:rPr>
        <mc:AlternateContent>
          <mc:Choice Requires="wps">
            <w:drawing>
              <wp:anchor distT="0" distB="0" distL="114300" distR="114300" simplePos="0" relativeHeight="251715584" behindDoc="0" locked="0" layoutInCell="1" allowOverlap="1">
                <wp:simplePos x="0" y="0"/>
                <wp:positionH relativeFrom="column">
                  <wp:posOffset>3744595</wp:posOffset>
                </wp:positionH>
                <wp:positionV relativeFrom="paragraph">
                  <wp:posOffset>6548120</wp:posOffset>
                </wp:positionV>
                <wp:extent cx="2807335" cy="48514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2807335" cy="485140"/>
                        </a:xfrm>
                        <a:prstGeom prst="rect">
                          <a:avLst/>
                        </a:prstGeom>
                        <a:noFill/>
                        <a:ln>
                          <a:noFill/>
                        </a:ln>
                      </wps:spPr>
                      <wps:txbx>
                        <w:txbxContent>
                          <w:p>
                            <w:pPr>
                              <w:jc w:val="center"/>
                              <w:rPr>
                                <w:rFonts w:hint="default" w:eastAsia="宋体"/>
                                <w:b/>
                                <w:bCs/>
                                <w:sz w:val="28"/>
                                <w:szCs w:val="36"/>
                                <w:lang w:val="en-US" w:eastAsia="zh-CN"/>
                              </w:rPr>
                            </w:pPr>
                            <w:r>
                              <w:rPr>
                                <w:rFonts w:hint="eastAsia"/>
                                <w:b/>
                                <w:bCs/>
                                <w:sz w:val="28"/>
                                <w:szCs w:val="36"/>
                                <w:lang w:val="en-US" w:eastAsia="zh-CN"/>
                              </w:rPr>
                              <w:t>附图1  项目地理位置图</w:t>
                            </w:r>
                          </w:p>
                        </w:txbxContent>
                      </wps:txbx>
                      <wps:bodyPr upright="1"/>
                    </wps:wsp>
                  </a:graphicData>
                </a:graphic>
              </wp:anchor>
            </w:drawing>
          </mc:Choice>
          <mc:Fallback>
            <w:pict>
              <v:shape id="_x0000_s1026" o:spid="_x0000_s1026" o:spt="202" type="#_x0000_t202" style="position:absolute;left:0pt;margin-left:294.85pt;margin-top:515.6pt;height:38.2pt;width:221.05pt;z-index:251715584;mso-width-relative:page;mso-height-relative:page;" filled="f" stroked="f" coordsize="21600,21600" o:gfxdata="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4rRo&#10;I9gAAAAOAQAADwAAAAAAAAABACAAAAAiAAAAZHJzL2Rvd25yZXYueG1sUEsBAhQAFAAAAAgAh07i&#10;QEBcpr6wAQAAUgMAAA4AAAAAAAAAAQAgAAAAJwEAAGRycy9lMm9Eb2MueG1sUEsFBgAAAAAGAAYA&#10;WQEAAEkFAAAAAA==&#10;">
                <v:fill on="f" focussize="0,0"/>
                <v:stroke on="f"/>
                <v:imagedata o:title=""/>
                <o:lock v:ext="edit" aspectratio="f"/>
                <v:textbox>
                  <w:txbxContent>
                    <w:p>
                      <w:pPr>
                        <w:jc w:val="center"/>
                        <w:rPr>
                          <w:rFonts w:hint="default" w:eastAsia="宋体"/>
                          <w:b/>
                          <w:bCs/>
                          <w:sz w:val="28"/>
                          <w:szCs w:val="36"/>
                          <w:lang w:val="en-US" w:eastAsia="zh-CN"/>
                        </w:rPr>
                      </w:pPr>
                      <w:r>
                        <w:rPr>
                          <w:rFonts w:hint="eastAsia"/>
                          <w:b/>
                          <w:bCs/>
                          <w:sz w:val="28"/>
                          <w:szCs w:val="36"/>
                          <w:lang w:val="en-US" w:eastAsia="zh-CN"/>
                        </w:rPr>
                        <w:t>附图1  项目地理位置图</w:t>
                      </w:r>
                    </w:p>
                  </w:txbxContent>
                </v:textbox>
              </v:shape>
            </w:pict>
          </mc:Fallback>
        </mc:AlternateContent>
      </w:r>
      <w:r>
        <w:rPr>
          <w:rFonts w:ascii="宋体" w:hAnsi="宋体" w:eastAsia="宋体" w:cs="宋体"/>
          <w:kern w:val="0"/>
          <w:sz w:val="24"/>
          <w:szCs w:val="24"/>
        </w:rPr>
        <mc:AlternateContent>
          <mc:Choice Requires="wps">
            <w:drawing>
              <wp:anchor distT="0" distB="0" distL="114300" distR="114300" simplePos="0" relativeHeight="251716608" behindDoc="0" locked="0" layoutInCell="1" allowOverlap="1">
                <wp:simplePos x="0" y="0"/>
                <wp:positionH relativeFrom="column">
                  <wp:posOffset>7375525</wp:posOffset>
                </wp:positionH>
                <wp:positionV relativeFrom="paragraph">
                  <wp:posOffset>5995035</wp:posOffset>
                </wp:positionV>
                <wp:extent cx="1028700" cy="325755"/>
                <wp:effectExtent l="42545" t="513080" r="14605" b="18415"/>
                <wp:wrapNone/>
                <wp:docPr id="110" name="圆角矩形标注 110"/>
                <wp:cNvGraphicFramePr/>
                <a:graphic xmlns:a="http://schemas.openxmlformats.org/drawingml/2006/main">
                  <a:graphicData uri="http://schemas.microsoft.com/office/word/2010/wordprocessingShape">
                    <wps:wsp>
                      <wps:cNvSpPr/>
                      <wps:spPr>
                        <a:xfrm>
                          <a:off x="6633845" y="3463925"/>
                          <a:ext cx="1028700" cy="325755"/>
                        </a:xfrm>
                        <a:prstGeom prst="wedgeRoundRectCallout">
                          <a:avLst>
                            <a:gd name="adj1" fmla="val -51912"/>
                            <a:gd name="adj2" fmla="val -196366"/>
                            <a:gd name="adj3" fmla="val 16667"/>
                          </a:avLst>
                        </a:prstGeom>
                        <a:solidFill>
                          <a:srgbClr val="00FFFF"/>
                        </a:solidFill>
                        <a:ln w="15875" cap="flat" cmpd="sng">
                          <a:solidFill>
                            <a:srgbClr val="33CCCC"/>
                          </a:solidFill>
                          <a:prstDash val="solid"/>
                          <a:miter/>
                          <a:headEnd type="none" w="med" len="med"/>
                          <a:tailEnd type="none" w="med" len="med"/>
                        </a:ln>
                        <a:effectLst/>
                      </wps:spPr>
                      <wps:txbx>
                        <w:txbxContent>
                          <w:p>
                            <w:r>
                              <w:rPr>
                                <w:rFonts w:hint="eastAsia"/>
                              </w:rPr>
                              <w:t>本项目位置</w:t>
                            </w:r>
                          </w:p>
                        </w:txbxContent>
                      </wps:txbx>
                      <wps:bodyPr upright="1"/>
                    </wps:wsp>
                  </a:graphicData>
                </a:graphic>
              </wp:anchor>
            </w:drawing>
          </mc:Choice>
          <mc:Fallback>
            <w:pict>
              <v:shape id="_x0000_s1026" o:spid="_x0000_s1026" o:spt="62" type="#_x0000_t62" style="position:absolute;left:0pt;margin-left:580.75pt;margin-top:472.05pt;height:25.65pt;width:81pt;z-index:251716608;mso-width-relative:page;mso-height-relative:page;" fillcolor="#00FFFF" filled="t" stroked="t" coordsize="21600,21600" o:gfxdata="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1+sf2wAAAA0BAAAPAAAAAAAAAAEAIAAAACIAAABkcnMvZG93bnJldi54&#10;bWxQSwECFAAUAAAACACHTuJAciKsYGkCAADdBAAADgAAAAAAAAABACAAAAAqAQAAZHJzL2Uyb0Rv&#10;Yy54bWxQSwUGAAAAAAYABgBZAQAABQYAAAAA&#10;" adj="-413,-31615,14400">
                <v:fill on="t" focussize="0,0"/>
                <v:stroke weight="1.25pt" color="#33CCCC" joinstyle="miter"/>
                <v:imagedata o:title=""/>
                <o:lock v:ext="edit" aspectratio="f"/>
                <v:textbox>
                  <w:txbxContent>
                    <w:p>
                      <w:r>
                        <w:rPr>
                          <w:rFonts w:hint="eastAsia"/>
                        </w:rPr>
                        <w:t>本项目位置</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7270115</wp:posOffset>
                </wp:positionH>
                <wp:positionV relativeFrom="paragraph">
                  <wp:posOffset>5403850</wp:posOffset>
                </wp:positionV>
                <wp:extent cx="142875" cy="114300"/>
                <wp:effectExtent l="17145" t="13335" r="30480" b="24765"/>
                <wp:wrapNone/>
                <wp:docPr id="93" name="五角星 93"/>
                <wp:cNvGraphicFramePr/>
                <a:graphic xmlns:a="http://schemas.openxmlformats.org/drawingml/2006/main">
                  <a:graphicData uri="http://schemas.microsoft.com/office/word/2010/wordprocessingShape">
                    <wps:wsp>
                      <wps:cNvSpPr/>
                      <wps:spPr>
                        <a:xfrm>
                          <a:off x="0" y="0"/>
                          <a:ext cx="142875" cy="114300"/>
                        </a:xfrm>
                        <a:prstGeom prst="star5">
                          <a:avLst/>
                        </a:prstGeom>
                        <a:solidFill>
                          <a:srgbClr val="C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72.45pt;margin-top:425.5pt;height:9pt;width:11.25pt;z-index:251720704;mso-width-relative:page;mso-height-relative:page;" fillcolor="#C00000" filled="t" stroked="t" coordsize="142875,114300" o:gfxdata="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x0RS/XAAAADQEAAA8AAAAAAAAAAQAgAAAAIgAAAGRy&#10;cy9kb3ducmV2LnhtbFBLAQIUABQAAAAIAIdO4kA1XWl1BgIAACMEAAAOAAAAAAAAAAEAIAAAACYB&#10;AABkcnMvZTJvRG9jLnhtbFBLBQYAAAAABgAGAFkBAACeBQAAAAA=&#10;" path="m0,43658l54573,43658,71437,0,88301,43658,142874,43658,98723,70640,115588,114299,71437,87316,27286,114299,44151,70640xe">
                <v:path o:connectlocs="71437,0;0,43658;27286,114299;115588,114299;142874,43658" o:connectangles="247,164,82,82,0"/>
                <v:fill on="t" focussize="0,0"/>
                <v:stroke color="#000000" joinstyle="miter"/>
                <v:imagedata o:title=""/>
                <o:lock v:ext="edit" aspectratio="f"/>
              </v:shape>
            </w:pict>
          </mc:Fallback>
        </mc:AlternateContent>
      </w:r>
      <w:r>
        <w:rPr>
          <w:rFonts w:ascii="宋体" w:hAnsi="宋体"/>
        </w:rPr>
        <w:drawing>
          <wp:anchor distT="0" distB="0" distL="114300" distR="114300" simplePos="0" relativeHeight="251714560" behindDoc="0" locked="0" layoutInCell="1" allowOverlap="1">
            <wp:simplePos x="0" y="0"/>
            <wp:positionH relativeFrom="column">
              <wp:posOffset>9058275</wp:posOffset>
            </wp:positionH>
            <wp:positionV relativeFrom="paragraph">
              <wp:posOffset>29210</wp:posOffset>
            </wp:positionV>
            <wp:extent cx="702945" cy="794385"/>
            <wp:effectExtent l="9525" t="9525" r="11430" b="15240"/>
            <wp:wrapNone/>
            <wp:docPr id="10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2"/>
                    <pic:cNvPicPr>
                      <a:picLocks noChangeAspect="1"/>
                    </pic:cNvPicPr>
                  </pic:nvPicPr>
                  <pic:blipFill>
                    <a:blip r:embed="rId26"/>
                    <a:stretch>
                      <a:fillRect/>
                    </a:stretch>
                  </pic:blipFill>
                  <pic:spPr>
                    <a:xfrm>
                      <a:off x="0" y="0"/>
                      <a:ext cx="702945" cy="794385"/>
                    </a:xfrm>
                    <a:prstGeom prst="rect">
                      <a:avLst/>
                    </a:prstGeom>
                    <a:noFill/>
                    <a:ln w="9525" cap="flat" cmpd="sng">
                      <a:solidFill>
                        <a:srgbClr val="000000"/>
                      </a:solidFill>
                      <a:prstDash val="solid"/>
                      <a:miter/>
                      <a:headEnd type="none" w="med" len="med"/>
                      <a:tailEnd type="none" w="med" len="med"/>
                    </a:ln>
                  </pic:spPr>
                </pic:pic>
              </a:graphicData>
            </a:graphic>
          </wp:anchor>
        </w:drawing>
      </w:r>
      <w:r>
        <w:rPr>
          <w:bCs/>
          <w:sz w:val="28"/>
        </w:rPr>
        <w:drawing>
          <wp:anchor distT="0" distB="0" distL="114300" distR="114300" simplePos="0" relativeHeight="251712512" behindDoc="1" locked="0" layoutInCell="1" allowOverlap="1">
            <wp:simplePos x="0" y="0"/>
            <wp:positionH relativeFrom="column">
              <wp:posOffset>10795</wp:posOffset>
            </wp:positionH>
            <wp:positionV relativeFrom="paragraph">
              <wp:posOffset>7620</wp:posOffset>
            </wp:positionV>
            <wp:extent cx="9774555" cy="6682740"/>
            <wp:effectExtent l="0" t="0" r="17145" b="3810"/>
            <wp:wrapNone/>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27"/>
                    <a:stretch>
                      <a:fillRect/>
                    </a:stretch>
                  </pic:blipFill>
                  <pic:spPr>
                    <a:xfrm>
                      <a:off x="0" y="0"/>
                      <a:ext cx="9774555" cy="6682740"/>
                    </a:xfrm>
                    <a:prstGeom prst="rect">
                      <a:avLst/>
                    </a:prstGeom>
                    <a:noFill/>
                    <a:ln>
                      <a:noFill/>
                    </a:ln>
                  </pic:spPr>
                </pic:pic>
              </a:graphicData>
            </a:graphic>
          </wp:anchor>
        </w:drawing>
      </w:r>
    </w:p>
    <w:p>
      <w:pPr>
        <w:jc w:val="center"/>
        <w:rPr>
          <w:rFonts w:hint="eastAsia" w:eastAsia="宋体"/>
          <w:lang w:eastAsia="zh-CN"/>
        </w:rPr>
      </w:pPr>
      <w:r>
        <w:rPr>
          <w:rFonts w:ascii="宋体" w:hAnsi="宋体"/>
        </w:rPr>
        <w:drawing>
          <wp:anchor distT="0" distB="0" distL="114300" distR="114300" simplePos="0" relativeHeight="251717632" behindDoc="0" locked="0" layoutInCell="1" allowOverlap="1">
            <wp:simplePos x="0" y="0"/>
            <wp:positionH relativeFrom="column">
              <wp:posOffset>9351645</wp:posOffset>
            </wp:positionH>
            <wp:positionV relativeFrom="paragraph">
              <wp:posOffset>71755</wp:posOffset>
            </wp:positionV>
            <wp:extent cx="676910" cy="765175"/>
            <wp:effectExtent l="9525" t="9525" r="18415" b="25400"/>
            <wp:wrapNone/>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26"/>
                    <a:stretch>
                      <a:fillRect/>
                    </a:stretch>
                  </pic:blipFill>
                  <pic:spPr>
                    <a:xfrm>
                      <a:off x="0" y="0"/>
                      <a:ext cx="676910" cy="765175"/>
                    </a:xfrm>
                    <a:prstGeom prst="rect">
                      <a:avLst/>
                    </a:prstGeom>
                    <a:noFill/>
                    <a:ln w="9525" cap="flat" cmpd="sng">
                      <a:solidFill>
                        <a:srgbClr val="000000"/>
                      </a:solidFill>
                      <a:prstDash val="solid"/>
                      <a:miter/>
                      <a:headEnd type="none" w="med" len="med"/>
                      <a:tailEnd type="none" w="med" len="med"/>
                    </a:ln>
                  </pic:spPr>
                </pic:pic>
              </a:graphicData>
            </a:graphic>
          </wp:anchor>
        </w:drawing>
      </w:r>
      <w:r>
        <w:drawing>
          <wp:anchor distT="0" distB="0" distL="114300" distR="114300" simplePos="0" relativeHeight="251710464" behindDoc="1" locked="0" layoutInCell="1" allowOverlap="1">
            <wp:simplePos x="0" y="0"/>
            <wp:positionH relativeFrom="column">
              <wp:posOffset>189230</wp:posOffset>
            </wp:positionH>
            <wp:positionV relativeFrom="paragraph">
              <wp:posOffset>59690</wp:posOffset>
            </wp:positionV>
            <wp:extent cx="9843770" cy="7172960"/>
            <wp:effectExtent l="0" t="0" r="5080" b="8890"/>
            <wp:wrapNone/>
            <wp:docPr id="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
                    <pic:cNvPicPr>
                      <a:picLocks noChangeAspect="1"/>
                    </pic:cNvPicPr>
                  </pic:nvPicPr>
                  <pic:blipFill>
                    <a:blip r:embed="rId28"/>
                    <a:stretch>
                      <a:fillRect/>
                    </a:stretch>
                  </pic:blipFill>
                  <pic:spPr>
                    <a:xfrm>
                      <a:off x="0" y="0"/>
                      <a:ext cx="9843770" cy="7172960"/>
                    </a:xfrm>
                    <a:prstGeom prst="rect">
                      <a:avLst/>
                    </a:prstGeom>
                    <a:noFill/>
                    <a:ln>
                      <a:noFill/>
                    </a:ln>
                  </pic:spPr>
                </pic:pic>
              </a:graphicData>
            </a:graphic>
          </wp:anchor>
        </w:drawing>
      </w:r>
    </w:p>
    <w:p>
      <w:pPr>
        <w:jc w:val="center"/>
      </w:pPr>
      <w:r>
        <w:rPr>
          <w:sz w:val="21"/>
        </w:rPr>
        <mc:AlternateContent>
          <mc:Choice Requires="wps">
            <w:drawing>
              <wp:anchor distT="0" distB="0" distL="114300" distR="114300" simplePos="0" relativeHeight="251735040" behindDoc="0" locked="0" layoutInCell="1" allowOverlap="1">
                <wp:simplePos x="0" y="0"/>
                <wp:positionH relativeFrom="column">
                  <wp:posOffset>5070475</wp:posOffset>
                </wp:positionH>
                <wp:positionV relativeFrom="paragraph">
                  <wp:posOffset>10795</wp:posOffset>
                </wp:positionV>
                <wp:extent cx="1933575" cy="733425"/>
                <wp:effectExtent l="71755" t="4445" r="13970" b="748030"/>
                <wp:wrapNone/>
                <wp:docPr id="107" name="圆角矩形标注 107"/>
                <wp:cNvGraphicFramePr/>
                <a:graphic xmlns:a="http://schemas.openxmlformats.org/drawingml/2006/main">
                  <a:graphicData uri="http://schemas.microsoft.com/office/word/2010/wordprocessingShape">
                    <wps:wsp>
                      <wps:cNvSpPr/>
                      <wps:spPr>
                        <a:xfrm>
                          <a:off x="0" y="0"/>
                          <a:ext cx="1933575" cy="733425"/>
                        </a:xfrm>
                        <a:prstGeom prst="wedgeRoundRectCallout">
                          <a:avLst>
                            <a:gd name="adj1" fmla="val -52907"/>
                            <a:gd name="adj2" fmla="val 147500"/>
                            <a:gd name="adj3" fmla="val 16667"/>
                          </a:avLst>
                        </a:prstGeom>
                        <a:noFill/>
                        <a:ln w="9525" cap="flat" cmpd="sng">
                          <a:solidFill>
                            <a:srgbClr val="C00000"/>
                          </a:solidFill>
                          <a:prstDash val="solid"/>
                          <a:miter/>
                          <a:headEnd type="none" w="med" len="med"/>
                          <a:tailEnd type="none" w="med" len="med"/>
                        </a:ln>
                      </wps:spPr>
                      <wps:txbx>
                        <w:txbxContent>
                          <w:p>
                            <w:pPr>
                              <w:rPr>
                                <w:rFonts w:hint="default"/>
                                <w:color w:val="C00000"/>
                                <w:lang w:val="en-US" w:eastAsia="zh-CN"/>
                              </w:rPr>
                            </w:pPr>
                            <w:r>
                              <w:rPr>
                                <w:rFonts w:hint="eastAsia" w:ascii="Times New Roman" w:hAnsi="Times New Roman" w:eastAsia="宋体" w:cs="Times New Roman"/>
                                <w:color w:val="C00000"/>
                                <w:sz w:val="24"/>
                                <w:szCs w:val="24"/>
                                <w:lang w:val="en-US" w:eastAsia="zh-CN"/>
                              </w:rPr>
                              <w:t>鲁山首创生物质能源有限公司生物质热电联产项目</w:t>
                            </w:r>
                          </w:p>
                        </w:txbxContent>
                      </wps:txbx>
                      <wps:bodyPr upright="1"/>
                    </wps:wsp>
                  </a:graphicData>
                </a:graphic>
              </wp:anchor>
            </w:drawing>
          </mc:Choice>
          <mc:Fallback>
            <w:pict>
              <v:shape id="_x0000_s1026" o:spid="_x0000_s1026" o:spt="62" type="#_x0000_t62" style="position:absolute;left:0pt;margin-left:399.25pt;margin-top:0.85pt;height:57.75pt;width:152.25pt;z-index:251735040;mso-width-relative:page;mso-height-relative:page;" filled="f" stroked="t" coordsize="21600,21600" o:gfxdata="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83p4/aAAAA&#10;CgEAAA8AAAAAAAAAAQAgAAAAIgAAAGRycy9kb3ducmV2LnhtbFBLAQIUABQAAAAIAIdO4kChwcS/&#10;VAIAAJgEAAAOAAAAAAAAAAEAIAAAACkBAABkcnMvZTJvRG9jLnhtbFBLBQYAAAAABgAGAFkBAADv&#10;BQAAAAA=&#10;" adj="-628,42660,14400">
                <v:fill on="f" focussize="0,0"/>
                <v:stroke color="#C00000" joinstyle="miter"/>
                <v:imagedata o:title=""/>
                <o:lock v:ext="edit" aspectratio="f"/>
                <v:textbox>
                  <w:txbxContent>
                    <w:p>
                      <w:pPr>
                        <w:rPr>
                          <w:rFonts w:hint="default"/>
                          <w:color w:val="C00000"/>
                          <w:lang w:val="en-US" w:eastAsia="zh-CN"/>
                        </w:rPr>
                      </w:pPr>
                      <w:r>
                        <w:rPr>
                          <w:rFonts w:hint="eastAsia" w:ascii="Times New Roman" w:hAnsi="Times New Roman" w:eastAsia="宋体" w:cs="Times New Roman"/>
                          <w:color w:val="C00000"/>
                          <w:sz w:val="24"/>
                          <w:szCs w:val="24"/>
                          <w:lang w:val="en-US" w:eastAsia="zh-CN"/>
                        </w:rPr>
                        <w:t>鲁山首创生物质能源有限公司生物质热电联产项目</w:t>
                      </w:r>
                    </w:p>
                  </w:txbxContent>
                </v:textbox>
              </v:shape>
            </w:pict>
          </mc:Fallback>
        </mc:AlternateContent>
      </w:r>
    </w:p>
    <w:p>
      <w:pPr>
        <w:jc w:val="center"/>
      </w:pPr>
    </w:p>
    <w:p>
      <w:pPr>
        <w:jc w:val="center"/>
      </w:pPr>
    </w:p>
    <w:p>
      <w:pPr>
        <w:jc w:val="center"/>
      </w:pPr>
    </w:p>
    <w:p>
      <w:pPr>
        <w:jc w:val="center"/>
      </w:pPr>
      <w:r>
        <w:rPr>
          <w:sz w:val="21"/>
        </w:rPr>
        <mc:AlternateContent>
          <mc:Choice Requires="wps">
            <w:drawing>
              <wp:anchor distT="0" distB="0" distL="114300" distR="114300" simplePos="0" relativeHeight="251734016" behindDoc="0" locked="0" layoutInCell="1" allowOverlap="1">
                <wp:simplePos x="0" y="0"/>
                <wp:positionH relativeFrom="column">
                  <wp:posOffset>7619365</wp:posOffset>
                </wp:positionH>
                <wp:positionV relativeFrom="paragraph">
                  <wp:posOffset>34925</wp:posOffset>
                </wp:positionV>
                <wp:extent cx="1504950" cy="381000"/>
                <wp:effectExtent l="62230" t="4445" r="13970" b="395605"/>
                <wp:wrapNone/>
                <wp:docPr id="108" name="圆角矩形标注 108"/>
                <wp:cNvGraphicFramePr/>
                <a:graphic xmlns:a="http://schemas.openxmlformats.org/drawingml/2006/main">
                  <a:graphicData uri="http://schemas.microsoft.com/office/word/2010/wordprocessingShape">
                    <wps:wsp>
                      <wps:cNvSpPr/>
                      <wps:spPr>
                        <a:xfrm>
                          <a:off x="0" y="0"/>
                          <a:ext cx="1504950" cy="381000"/>
                        </a:xfrm>
                        <a:prstGeom prst="wedgeRoundRectCallout">
                          <a:avLst>
                            <a:gd name="adj1" fmla="val -52907"/>
                            <a:gd name="adj2" fmla="val 147500"/>
                            <a:gd name="adj3" fmla="val 16667"/>
                          </a:avLst>
                        </a:prstGeom>
                        <a:noFill/>
                        <a:ln w="9525" cap="flat" cmpd="sng">
                          <a:solidFill>
                            <a:srgbClr val="C00000"/>
                          </a:solidFill>
                          <a:prstDash val="solid"/>
                          <a:miter/>
                          <a:headEnd type="none" w="med" len="med"/>
                          <a:tailEnd type="none" w="med" len="med"/>
                        </a:ln>
                      </wps:spPr>
                      <wps:txbx>
                        <w:txbxContent>
                          <w:p>
                            <w:pPr>
                              <w:rPr>
                                <w:rFonts w:hint="default" w:eastAsia="宋体"/>
                                <w:color w:val="C00000"/>
                                <w:lang w:val="en-US" w:eastAsia="zh-CN"/>
                              </w:rPr>
                            </w:pPr>
                            <w:r>
                              <w:rPr>
                                <w:rFonts w:hint="eastAsia"/>
                                <w:color w:val="C00000"/>
                                <w:lang w:val="en-US" w:eastAsia="zh-CN"/>
                              </w:rPr>
                              <w:t>拟建项目现有厂区</w:t>
                            </w:r>
                          </w:p>
                        </w:txbxContent>
                      </wps:txbx>
                      <wps:bodyPr upright="1"/>
                    </wps:wsp>
                  </a:graphicData>
                </a:graphic>
              </wp:anchor>
            </w:drawing>
          </mc:Choice>
          <mc:Fallback>
            <w:pict>
              <v:shape id="_x0000_s1026" o:spid="_x0000_s1026" o:spt="62" type="#_x0000_t62" style="position:absolute;left:0pt;margin-left:599.95pt;margin-top:2.75pt;height:30pt;width:118.5pt;z-index:251734016;mso-width-relative:page;mso-height-relative:page;" filled="f" stroked="t" coordsize="21600,21600" o:gfxdata="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4EQyM9oAAAAKAQAADwAA&#10;AAAAAAABACAAAAAiAAAAZHJzL2Rvd25yZXYueG1sUEsBAhQAFAAAAAgAh07iQE5VptVNAgAAmAQA&#10;AA4AAAAAAAAAAQAgAAAAKQEAAGRycy9lMm9Eb2MueG1sUEsFBgAAAAAGAAYAWQEAAOgFAAAAAA==&#10;" adj="-628,42660,14400">
                <v:fill on="f" focussize="0,0"/>
                <v:stroke color="#C00000" joinstyle="miter"/>
                <v:imagedata o:title=""/>
                <o:lock v:ext="edit" aspectratio="f"/>
                <v:textbox>
                  <w:txbxContent>
                    <w:p>
                      <w:pPr>
                        <w:rPr>
                          <w:rFonts w:hint="default" w:eastAsia="宋体"/>
                          <w:color w:val="C00000"/>
                          <w:lang w:val="en-US" w:eastAsia="zh-CN"/>
                        </w:rPr>
                      </w:pPr>
                      <w:r>
                        <w:rPr>
                          <w:rFonts w:hint="eastAsia"/>
                          <w:color w:val="C00000"/>
                          <w:lang w:val="en-US" w:eastAsia="zh-CN"/>
                        </w:rPr>
                        <w:t>拟建项目现有厂区</w:t>
                      </w:r>
                    </w:p>
                  </w:txbxContent>
                </v:textbox>
              </v:shape>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5766435</wp:posOffset>
                </wp:positionH>
                <wp:positionV relativeFrom="paragraph">
                  <wp:posOffset>144780</wp:posOffset>
                </wp:positionV>
                <wp:extent cx="2037715" cy="1943100"/>
                <wp:effectExtent l="4445" t="4445" r="15240" b="14605"/>
                <wp:wrapNone/>
                <wp:docPr id="98" name="任意多边形 98"/>
                <wp:cNvGraphicFramePr/>
                <a:graphic xmlns:a="http://schemas.openxmlformats.org/drawingml/2006/main">
                  <a:graphicData uri="http://schemas.microsoft.com/office/word/2010/wordprocessingShape">
                    <wps:wsp>
                      <wps:cNvSpPr/>
                      <wps:spPr>
                        <a:xfrm>
                          <a:off x="0" y="0"/>
                          <a:ext cx="2037715" cy="1943100"/>
                        </a:xfrm>
                        <a:custGeom>
                          <a:avLst/>
                          <a:gdLst/>
                          <a:ahLst/>
                          <a:cxnLst/>
                          <a:pathLst>
                            <a:path w="3510" h="3465">
                              <a:moveTo>
                                <a:pt x="915" y="1815"/>
                              </a:moveTo>
                              <a:lnTo>
                                <a:pt x="165" y="2100"/>
                              </a:lnTo>
                              <a:lnTo>
                                <a:pt x="0" y="1500"/>
                              </a:lnTo>
                              <a:lnTo>
                                <a:pt x="0" y="1230"/>
                              </a:lnTo>
                              <a:lnTo>
                                <a:pt x="60" y="990"/>
                              </a:lnTo>
                              <a:lnTo>
                                <a:pt x="2475" y="45"/>
                              </a:lnTo>
                              <a:lnTo>
                                <a:pt x="2670" y="0"/>
                              </a:lnTo>
                              <a:lnTo>
                                <a:pt x="3510" y="2265"/>
                              </a:lnTo>
                              <a:lnTo>
                                <a:pt x="2265" y="2910"/>
                              </a:lnTo>
                              <a:lnTo>
                                <a:pt x="2265" y="3075"/>
                              </a:lnTo>
                              <a:lnTo>
                                <a:pt x="1815" y="3075"/>
                              </a:lnTo>
                              <a:lnTo>
                                <a:pt x="1470" y="2970"/>
                              </a:lnTo>
                              <a:lnTo>
                                <a:pt x="945" y="3225"/>
                              </a:lnTo>
                              <a:lnTo>
                                <a:pt x="705" y="3465"/>
                              </a:lnTo>
                              <a:lnTo>
                                <a:pt x="390" y="2670"/>
                              </a:lnTo>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54.05pt;margin-top:11.4pt;height:153pt;width:160.45pt;z-index:251737088;mso-width-relative:page;mso-height-relative:page;" filled="f" stroked="t" coordsize="3510,3465" o:gfxdata="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GlcoHPZAAAACwEAAA8AAAAA&#10;AAAAAQAgAAAAIgAAAGRycy9kb3ducmV2LnhtbFBLAQIUABQAAAAIAIdO4kDSKnOavgIAAKsGAAAO&#10;AAAAAAAAAAEAIAAAACgBAABkcnMvZTJvRG9jLnhtbFBLBQYAAAAABgAGAFkBAABYBgAAAAA=&#10;" path="m915,1815l165,2100,0,1500,0,1230,60,990,2475,45,2670,0,3510,2265,2265,2910,2265,3075,1815,3075,1470,2970,945,3225,705,3465,390,2670e">
                <v:fill on="f" focussize="0,0"/>
                <v:stroke color="#FFFF00" joinstyle="round"/>
                <v:imagedata o:title=""/>
                <o:lock v:ext="edit" aspectratio="f"/>
              </v:shape>
            </w:pict>
          </mc:Fallback>
        </mc:AlternateContent>
      </w:r>
    </w:p>
    <w:p>
      <w:pPr>
        <w:jc w:val="center"/>
      </w:pPr>
    </w:p>
    <w:p>
      <w:pPr>
        <w:jc w:val="center"/>
      </w:pPr>
    </w:p>
    <w:p>
      <w:pPr>
        <w:jc w:val="center"/>
      </w:pPr>
      <w:r>
        <w:rPr>
          <w:sz w:val="21"/>
        </w:rPr>
        <mc:AlternateContent>
          <mc:Choice Requires="wps">
            <w:drawing>
              <wp:anchor distT="0" distB="0" distL="114300" distR="114300" simplePos="0" relativeHeight="251736064" behindDoc="0" locked="0" layoutInCell="1" allowOverlap="1">
                <wp:simplePos x="0" y="0"/>
                <wp:positionH relativeFrom="column">
                  <wp:posOffset>3819525</wp:posOffset>
                </wp:positionH>
                <wp:positionV relativeFrom="paragraph">
                  <wp:posOffset>47625</wp:posOffset>
                </wp:positionV>
                <wp:extent cx="2638425" cy="2836545"/>
                <wp:effectExtent l="4445" t="4445" r="5080" b="16510"/>
                <wp:wrapNone/>
                <wp:docPr id="94" name="任意多边形 94"/>
                <wp:cNvGraphicFramePr/>
                <a:graphic xmlns:a="http://schemas.openxmlformats.org/drawingml/2006/main">
                  <a:graphicData uri="http://schemas.microsoft.com/office/word/2010/wordprocessingShape">
                    <wps:wsp>
                      <wps:cNvSpPr/>
                      <wps:spPr>
                        <a:xfrm>
                          <a:off x="0" y="0"/>
                          <a:ext cx="2638425" cy="2836545"/>
                        </a:xfrm>
                        <a:custGeom>
                          <a:avLst/>
                          <a:gdLst/>
                          <a:ahLst/>
                          <a:cxnLst/>
                          <a:pathLst>
                            <a:path w="4440" h="4575">
                              <a:moveTo>
                                <a:pt x="2205" y="0"/>
                              </a:moveTo>
                              <a:lnTo>
                                <a:pt x="1530" y="75"/>
                              </a:lnTo>
                              <a:lnTo>
                                <a:pt x="1005" y="660"/>
                              </a:lnTo>
                              <a:lnTo>
                                <a:pt x="570" y="1200"/>
                              </a:lnTo>
                              <a:lnTo>
                                <a:pt x="225" y="2340"/>
                              </a:lnTo>
                              <a:lnTo>
                                <a:pt x="0" y="3525"/>
                              </a:lnTo>
                              <a:lnTo>
                                <a:pt x="300" y="4230"/>
                              </a:lnTo>
                              <a:lnTo>
                                <a:pt x="315" y="4275"/>
                              </a:lnTo>
                              <a:lnTo>
                                <a:pt x="405" y="4575"/>
                              </a:lnTo>
                              <a:lnTo>
                                <a:pt x="3000" y="4095"/>
                              </a:lnTo>
                              <a:lnTo>
                                <a:pt x="3330" y="3510"/>
                              </a:lnTo>
                              <a:lnTo>
                                <a:pt x="3360" y="2970"/>
                              </a:lnTo>
                              <a:lnTo>
                                <a:pt x="3435" y="2760"/>
                              </a:lnTo>
                              <a:lnTo>
                                <a:pt x="3930" y="2565"/>
                              </a:lnTo>
                              <a:lnTo>
                                <a:pt x="3600" y="1650"/>
                              </a:lnTo>
                              <a:lnTo>
                                <a:pt x="4440" y="1365"/>
                              </a:lnTo>
                              <a:lnTo>
                                <a:pt x="4230" y="900"/>
                              </a:lnTo>
                              <a:lnTo>
                                <a:pt x="3420" y="1185"/>
                              </a:lnTo>
                              <a:lnTo>
                                <a:pt x="3240" y="570"/>
                              </a:lnTo>
                              <a:lnTo>
                                <a:pt x="3225" y="240"/>
                              </a:lnTo>
                              <a:lnTo>
                                <a:pt x="3135" y="165"/>
                              </a:lnTo>
                              <a:lnTo>
                                <a:pt x="2475" y="285"/>
                              </a:lnTo>
                              <a:lnTo>
                                <a:pt x="2295" y="210"/>
                              </a:lnTo>
                              <a:lnTo>
                                <a:pt x="2205" y="0"/>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00.75pt;margin-top:3.75pt;height:223.35pt;width:207.75pt;z-index:251736064;mso-width-relative:page;mso-height-relative:page;" filled="f" stroked="t" coordsize="4440,4575" o:gfxdata="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EPoC&#10;2tkAAAAKAQAADwAAAAAAAAABACAAAAAiAAAAZHJzL2Rvd25yZXYueG1sUEsBAhQAFAAAAAgAh07i&#10;QF0ZwzwFAwAAKwgAAA4AAAAAAAAAAQAgAAAAKAEAAGRycy9lMm9Eb2MueG1sUEsFBgAAAAAGAAYA&#10;WQEAAJ8GAAAAAA==&#10;" path="m2205,0l1530,75,1005,660,570,1200,225,2340,0,3525,300,4230,315,4275,405,4575,3000,4095,3330,3510,3360,2970,3435,2760,3930,2565,3600,1650,4440,1365,4230,900,3420,1185,3240,570,3225,240,3135,165,2475,285,2295,210,2205,0xe">
                <v:fill on="f" focussize="0,0"/>
                <v:stroke color="#FFFF00" joinstyle="round"/>
                <v:imagedata o:title=""/>
                <o:lock v:ext="edit" aspectratio="f"/>
              </v:shape>
            </w:pict>
          </mc:Fallback>
        </mc:AlternateContent>
      </w:r>
    </w:p>
    <w:p>
      <w:pPr>
        <w:jc w:val="center"/>
      </w:pPr>
    </w:p>
    <w:p>
      <w:pPr>
        <w:jc w:val="center"/>
      </w:pPr>
    </w:p>
    <w:p>
      <w:pPr>
        <w:jc w:val="center"/>
      </w:pPr>
    </w:p>
    <w:p>
      <w:pPr>
        <w:jc w:val="center"/>
      </w:pPr>
    </w:p>
    <w:p>
      <w:pPr>
        <w:jc w:val="center"/>
      </w:pPr>
    </w:p>
    <w:p>
      <w:pPr>
        <w:jc w:val="center"/>
      </w:pPr>
    </w:p>
    <w:p>
      <w:pPr>
        <w:jc w:val="center"/>
      </w:pPr>
    </w:p>
    <w:p>
      <w:pPr>
        <w:jc w:val="center"/>
      </w:pPr>
      <w:r>
        <w:rPr>
          <w:sz w:val="21"/>
        </w:rPr>
        <mc:AlternateContent>
          <mc:Choice Requires="wps">
            <w:drawing>
              <wp:anchor distT="0" distB="0" distL="114300" distR="114300" simplePos="0" relativeHeight="251762688" behindDoc="0" locked="0" layoutInCell="1" allowOverlap="1">
                <wp:simplePos x="0" y="0"/>
                <wp:positionH relativeFrom="column">
                  <wp:posOffset>4363085</wp:posOffset>
                </wp:positionH>
                <wp:positionV relativeFrom="paragraph">
                  <wp:posOffset>101600</wp:posOffset>
                </wp:positionV>
                <wp:extent cx="447675" cy="32385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447675" cy="323850"/>
                        </a:xfrm>
                        <a:prstGeom prst="rect">
                          <a:avLst/>
                        </a:prstGeom>
                        <a:noFill/>
                        <a:ln>
                          <a:noFill/>
                        </a:ln>
                      </wps:spPr>
                      <wps:txbx>
                        <w:txbxContent>
                          <w:p>
                            <w:pPr>
                              <w:rPr>
                                <w:rFonts w:hint="default" w:eastAsia="宋体"/>
                                <w:color w:val="C00000"/>
                                <w:lang w:val="en-US" w:eastAsia="zh-CN"/>
                              </w:rPr>
                            </w:pPr>
                            <w:r>
                              <w:rPr>
                                <w:rFonts w:hint="eastAsia"/>
                                <w:color w:val="C00000"/>
                                <w:lang w:val="en-US" w:eastAsia="zh-CN"/>
                              </w:rPr>
                              <w:t>75m</w:t>
                            </w:r>
                          </w:p>
                        </w:txbxContent>
                      </wps:txbx>
                      <wps:bodyPr upright="1"/>
                    </wps:wsp>
                  </a:graphicData>
                </a:graphic>
              </wp:anchor>
            </w:drawing>
          </mc:Choice>
          <mc:Fallback>
            <w:pict>
              <v:shape id="_x0000_s1026" o:spid="_x0000_s1026" o:spt="202" type="#_x0000_t202" style="position:absolute;left:0pt;margin-left:343.55pt;margin-top:8pt;height:25.5pt;width:35.25pt;z-index:251762688;mso-width-relative:page;mso-height-relative:page;" filled="f" stroked="f" coordsize="21600,21600" o:gfxdata="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XAdal1QAA&#10;AAkBAAAPAAAAAAAAAAEAIAAAACIAAABkcnMvZG93bnJldi54bWxQSwECFAAUAAAACACHTuJANuKS&#10;AK8BAABRAwAADgAAAAAAAAABACAAAAAkAQAAZHJzL2Uyb0RvYy54bWxQSwUGAAAAAAYABgBZAQAA&#10;RQUAAAAA&#10;">
                <v:fill on="f" focussize="0,0"/>
                <v:stroke on="f"/>
                <v:imagedata o:title=""/>
                <o:lock v:ext="edit" aspectratio="f"/>
                <v:textbox>
                  <w:txbxContent>
                    <w:p>
                      <w:pPr>
                        <w:rPr>
                          <w:rFonts w:hint="default" w:eastAsia="宋体"/>
                          <w:color w:val="C00000"/>
                          <w:lang w:val="en-US" w:eastAsia="zh-CN"/>
                        </w:rPr>
                      </w:pPr>
                      <w:r>
                        <w:rPr>
                          <w:rFonts w:hint="eastAsia"/>
                          <w:color w:val="C00000"/>
                          <w:lang w:val="en-US" w:eastAsia="zh-CN"/>
                        </w:rPr>
                        <w:t>75m</w:t>
                      </w:r>
                    </w:p>
                  </w:txbxContent>
                </v:textbox>
              </v:shape>
            </w:pict>
          </mc:Fallback>
        </mc:AlternateContent>
      </w:r>
    </w:p>
    <w:p>
      <w:pPr>
        <w:jc w:val="center"/>
      </w:pPr>
      <w:r>
        <w:rPr>
          <w:sz w:val="21"/>
        </w:rPr>
        <mc:AlternateContent>
          <mc:Choice Requires="wps">
            <w:drawing>
              <wp:anchor distT="0" distB="0" distL="114300" distR="114300" simplePos="0" relativeHeight="251763712" behindDoc="0" locked="0" layoutInCell="1" allowOverlap="1">
                <wp:simplePos x="0" y="0"/>
                <wp:positionH relativeFrom="column">
                  <wp:posOffset>4828540</wp:posOffset>
                </wp:positionH>
                <wp:positionV relativeFrom="paragraph">
                  <wp:posOffset>100330</wp:posOffset>
                </wp:positionV>
                <wp:extent cx="447675" cy="32385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447675" cy="323850"/>
                        </a:xfrm>
                        <a:prstGeom prst="rect">
                          <a:avLst/>
                        </a:prstGeom>
                        <a:noFill/>
                        <a:ln>
                          <a:noFill/>
                        </a:ln>
                      </wps:spPr>
                      <wps:txbx>
                        <w:txbxContent>
                          <w:p>
                            <w:pPr>
                              <w:rPr>
                                <w:rFonts w:hint="default" w:eastAsia="宋体"/>
                                <w:color w:val="C00000"/>
                                <w:lang w:val="en-US" w:eastAsia="zh-CN"/>
                              </w:rPr>
                            </w:pPr>
                            <w:r>
                              <w:rPr>
                                <w:rFonts w:hint="eastAsia"/>
                                <w:color w:val="C00000"/>
                                <w:lang w:val="en-US" w:eastAsia="zh-CN"/>
                              </w:rPr>
                              <w:t>56m</w:t>
                            </w:r>
                          </w:p>
                        </w:txbxContent>
                      </wps:txbx>
                      <wps:bodyPr upright="1"/>
                    </wps:wsp>
                  </a:graphicData>
                </a:graphic>
              </wp:anchor>
            </w:drawing>
          </mc:Choice>
          <mc:Fallback>
            <w:pict>
              <v:shape id="_x0000_s1026" o:spid="_x0000_s1026" o:spt="202" type="#_x0000_t202" style="position:absolute;left:0pt;margin-left:380.2pt;margin-top:7.9pt;height:25.5pt;width:35.25pt;z-index:251763712;mso-width-relative:page;mso-height-relative:page;" filled="f" stroked="f" coordsize="21600,21600" o:gfxdata="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0lIU/W&#10;AAAACQEAAA8AAAAAAAAAAQAgAAAAIgAAAGRycy9kb3ducmV2LnhtbFBLAQIUABQAAAAIAIdO4kAx&#10;Fh6LsAEAAFEDAAAOAAAAAAAAAAEAIAAAACUBAABkcnMvZTJvRG9jLnhtbFBLBQYAAAAABgAGAFkB&#10;AABHBQAAAAA=&#10;">
                <v:fill on="f" focussize="0,0"/>
                <v:stroke on="f"/>
                <v:imagedata o:title=""/>
                <o:lock v:ext="edit" aspectratio="f"/>
                <v:textbox>
                  <w:txbxContent>
                    <w:p>
                      <w:pPr>
                        <w:rPr>
                          <w:rFonts w:hint="default" w:eastAsia="宋体"/>
                          <w:color w:val="C00000"/>
                          <w:lang w:val="en-US" w:eastAsia="zh-CN"/>
                        </w:rPr>
                      </w:pPr>
                      <w:r>
                        <w:rPr>
                          <w:rFonts w:hint="eastAsia"/>
                          <w:color w:val="C00000"/>
                          <w:lang w:val="en-US" w:eastAsia="zh-CN"/>
                        </w:rPr>
                        <w:t>56m</w:t>
                      </w:r>
                    </w:p>
                  </w:txbxContent>
                </v:textbox>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4436745</wp:posOffset>
                </wp:positionH>
                <wp:positionV relativeFrom="paragraph">
                  <wp:posOffset>95250</wp:posOffset>
                </wp:positionV>
                <wp:extent cx="429895" cy="572135"/>
                <wp:effectExtent l="74295" t="103505" r="77470" b="114300"/>
                <wp:wrapNone/>
                <wp:docPr id="109" name="矩形 109"/>
                <wp:cNvGraphicFramePr/>
                <a:graphic xmlns:a="http://schemas.openxmlformats.org/drawingml/2006/main">
                  <a:graphicData uri="http://schemas.microsoft.com/office/word/2010/wordprocessingShape">
                    <wps:wsp>
                      <wps:cNvSpPr/>
                      <wps:spPr>
                        <a:xfrm rot="-6600000">
                          <a:off x="0" y="0"/>
                          <a:ext cx="429895" cy="572135"/>
                        </a:xfrm>
                        <a:prstGeom prst="rect">
                          <a:avLst/>
                        </a:prstGeom>
                        <a:noFill/>
                        <a:ln w="28575" cap="flat" cmpd="sng">
                          <a:solidFill>
                            <a:srgbClr val="C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49.35pt;margin-top:7.5pt;height:45.05pt;width:33.85pt;rotation:-7208960f;z-index:251718656;mso-width-relative:page;mso-height-relative:page;" filled="f" stroked="t" coordsize="21600,21600" o:gfxdata="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AsGw9gAAAAKAQAADwAAAAAAAAABACAAAAAiAAAAZHJz&#10;L2Rvd25yZXYueG1sUEsBAhQAFAAAAAgAh07iQDase1oEAgAACAQAAA4AAAAAAAAAAQAgAAAAJwEA&#10;AGRycy9lMm9Eb2MueG1sUEsFBgAAAAAGAAYAWQEAAJ0FAAAAAA==&#10;">
                <v:fill on="f" focussize="0,0"/>
                <v:stroke weight="2.25pt" color="#C00000" joinstyle="miter"/>
                <v:imagedata o:title=""/>
                <o:lock v:ext="edit" aspectratio="f"/>
              </v:rect>
            </w:pict>
          </mc:Fallback>
        </mc:AlternateContent>
      </w:r>
    </w:p>
    <w:p>
      <w:pPr>
        <w:jc w:val="center"/>
      </w:pPr>
      <w:r>
        <w:rPr>
          <w:sz w:val="21"/>
        </w:rPr>
        <mc:AlternateContent>
          <mc:Choice Requires="wps">
            <w:drawing>
              <wp:anchor distT="0" distB="0" distL="114300" distR="114300" simplePos="0" relativeHeight="251742208" behindDoc="0" locked="0" layoutInCell="1" allowOverlap="1">
                <wp:simplePos x="0" y="0"/>
                <wp:positionH relativeFrom="column">
                  <wp:posOffset>965835</wp:posOffset>
                </wp:positionH>
                <wp:positionV relativeFrom="paragraph">
                  <wp:posOffset>121285</wp:posOffset>
                </wp:positionV>
                <wp:extent cx="3371215" cy="552450"/>
                <wp:effectExtent l="0" t="4445" r="635" b="52705"/>
                <wp:wrapNone/>
                <wp:docPr id="95" name="直接连接符 95"/>
                <wp:cNvGraphicFramePr/>
                <a:graphic xmlns:a="http://schemas.openxmlformats.org/drawingml/2006/main">
                  <a:graphicData uri="http://schemas.microsoft.com/office/word/2010/wordprocessingShape">
                    <wps:wsp>
                      <wps:cNvCnPr/>
                      <wps:spPr>
                        <a:xfrm flipH="1">
                          <a:off x="0" y="0"/>
                          <a:ext cx="3371215" cy="552450"/>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76.05pt;margin-top:9.55pt;height:43.5pt;width:265.45pt;z-index:251742208;mso-width-relative:page;mso-height-relative:page;" filled="f" stroked="t" coordsize="21600,21600" o:gfxdata="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Yklgd0wAAAAoBAAAPAAAAAAAAAAEAIAAAACIAAABkcnMv&#10;ZG93bnJldi54bWxQSwECFAAUAAAACACHTuJA2YO8HAgCAAD2AwAADgAAAAAAAAABACAAAAAiAQAA&#10;ZHJzL2Uyb0RvYy54bWxQSwUGAAAAAAYABgBZAQAAnAUAAAAA&#10;">
                <v:fill on="f" focussize="0,0"/>
                <v:stroke color="#FFFF00" joinstyle="round" endarrow="open"/>
                <v:imagedata o:title=""/>
                <o:lock v:ext="edit" aspectratio="f"/>
              </v:line>
            </w:pict>
          </mc:Fallback>
        </mc:AlternateContent>
      </w:r>
    </w:p>
    <w:p>
      <w:pPr>
        <w:jc w:val="center"/>
      </w:pPr>
      <w:r>
        <w:rPr>
          <w:sz w:val="21"/>
        </w:rPr>
        <mc:AlternateContent>
          <mc:Choice Requires="wps">
            <w:drawing>
              <wp:anchor distT="0" distB="0" distL="114300" distR="114300" simplePos="0" relativeHeight="251744256" behindDoc="0" locked="0" layoutInCell="1" allowOverlap="1">
                <wp:simplePos x="0" y="0"/>
                <wp:positionH relativeFrom="column">
                  <wp:posOffset>4651375</wp:posOffset>
                </wp:positionH>
                <wp:positionV relativeFrom="paragraph">
                  <wp:posOffset>161925</wp:posOffset>
                </wp:positionV>
                <wp:extent cx="1162685" cy="2799715"/>
                <wp:effectExtent l="4445" t="1905" r="13970" b="17780"/>
                <wp:wrapNone/>
                <wp:docPr id="99" name="直接连接符 99"/>
                <wp:cNvGraphicFramePr/>
                <a:graphic xmlns:a="http://schemas.openxmlformats.org/drawingml/2006/main">
                  <a:graphicData uri="http://schemas.microsoft.com/office/word/2010/wordprocessingShape">
                    <wps:wsp>
                      <wps:cNvCnPr/>
                      <wps:spPr>
                        <a:xfrm>
                          <a:off x="0" y="0"/>
                          <a:ext cx="1162685" cy="279971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66.25pt;margin-top:12.75pt;height:220.45pt;width:91.55pt;z-index:251744256;mso-width-relative:page;mso-height-relative:page;" filled="f" stroked="t" coordsize="21600,21600" o:gfxdata="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&#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ifMQ3ZAAAACgEAAA8AAAAAAAAAAQAgAAAAIgAAAGRy&#10;cy9kb3ducmV2LnhtbFBLAQIUABQAAAAIAIdO4kD89fyFBAIAAO0DAAAOAAAAAAAAAAEAIAAAACgB&#10;AABkcnMvZTJvRG9jLnhtbFBLBQYAAAAABgAGAFkBAACeBQAAAAA=&#10;">
                <v:fill on="f" focussize="0,0"/>
                <v:stroke color="#FFFF00" joinstyle="round" endarrow="open"/>
                <v:imagedata o:title=""/>
                <o:lock v:ext="edit" aspectratio="f"/>
              </v:lin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2308860</wp:posOffset>
                </wp:positionH>
                <wp:positionV relativeFrom="paragraph">
                  <wp:posOffset>189865</wp:posOffset>
                </wp:positionV>
                <wp:extent cx="1228725" cy="32385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497m</w:t>
                            </w:r>
                          </w:p>
                        </w:txbxContent>
                      </wps:txbx>
                      <wps:bodyPr upright="1"/>
                    </wps:wsp>
                  </a:graphicData>
                </a:graphic>
              </wp:anchor>
            </w:drawing>
          </mc:Choice>
          <mc:Fallback>
            <w:pict>
              <v:shape id="_x0000_s1026" o:spid="_x0000_s1026" o:spt="202" type="#_x0000_t202" style="position:absolute;left:0pt;margin-left:181.8pt;margin-top:14.95pt;height:25.5pt;width:96.75pt;z-index:251743232;mso-width-relative:page;mso-height-relative:page;" filled="f" stroked="f" coordsize="21600,21600" o:gfxdata="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HrozEtcA&#10;AAAJAQAADwAAAAAAAAABACAAAAAiAAAAZHJzL2Rvd25yZXYueG1sUEsBAhQAFAAAAAgAh07iQPFE&#10;dRGuAQAAUgMAAA4AAAAAAAAAAQAgAAAAJgEAAGRycy9lMm9Eb2MueG1sUEsFBgAAAAAGAAYAWQEA&#10;AEYFA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497m</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165735</wp:posOffset>
                </wp:positionH>
                <wp:positionV relativeFrom="paragraph">
                  <wp:posOffset>85090</wp:posOffset>
                </wp:positionV>
                <wp:extent cx="819150" cy="1019175"/>
                <wp:effectExtent l="635" t="4445" r="18415" b="5080"/>
                <wp:wrapNone/>
                <wp:docPr id="104" name="任意多边形 104"/>
                <wp:cNvGraphicFramePr/>
                <a:graphic xmlns:a="http://schemas.openxmlformats.org/drawingml/2006/main">
                  <a:graphicData uri="http://schemas.microsoft.com/office/word/2010/wordprocessingShape">
                    <wps:wsp>
                      <wps:cNvSpPr/>
                      <wps:spPr>
                        <a:xfrm>
                          <a:off x="0" y="0"/>
                          <a:ext cx="819150" cy="1019175"/>
                        </a:xfrm>
                        <a:custGeom>
                          <a:avLst/>
                          <a:gdLst/>
                          <a:ahLst/>
                          <a:cxnLst/>
                          <a:pathLst>
                            <a:path w="1290" h="1605">
                              <a:moveTo>
                                <a:pt x="0" y="45"/>
                              </a:moveTo>
                              <a:lnTo>
                                <a:pt x="330" y="75"/>
                              </a:lnTo>
                              <a:lnTo>
                                <a:pt x="525" y="0"/>
                              </a:lnTo>
                              <a:lnTo>
                                <a:pt x="795" y="165"/>
                              </a:lnTo>
                              <a:lnTo>
                                <a:pt x="915" y="255"/>
                              </a:lnTo>
                              <a:lnTo>
                                <a:pt x="1050" y="270"/>
                              </a:lnTo>
                              <a:lnTo>
                                <a:pt x="1215" y="240"/>
                              </a:lnTo>
                              <a:lnTo>
                                <a:pt x="1245" y="360"/>
                              </a:lnTo>
                              <a:lnTo>
                                <a:pt x="1290" y="540"/>
                              </a:lnTo>
                              <a:lnTo>
                                <a:pt x="1260" y="660"/>
                              </a:lnTo>
                              <a:lnTo>
                                <a:pt x="1065" y="825"/>
                              </a:lnTo>
                              <a:lnTo>
                                <a:pt x="900" y="930"/>
                              </a:lnTo>
                              <a:lnTo>
                                <a:pt x="840" y="1050"/>
                              </a:lnTo>
                              <a:lnTo>
                                <a:pt x="930" y="1200"/>
                              </a:lnTo>
                              <a:lnTo>
                                <a:pt x="1065" y="1425"/>
                              </a:lnTo>
                              <a:lnTo>
                                <a:pt x="1080" y="1590"/>
                              </a:lnTo>
                              <a:lnTo>
                                <a:pt x="960" y="1605"/>
                              </a:lnTo>
                              <a:lnTo>
                                <a:pt x="810" y="1530"/>
                              </a:lnTo>
                              <a:lnTo>
                                <a:pt x="660" y="1470"/>
                              </a:lnTo>
                              <a:lnTo>
                                <a:pt x="510" y="1455"/>
                              </a:lnTo>
                              <a:lnTo>
                                <a:pt x="375" y="1500"/>
                              </a:lnTo>
                              <a:lnTo>
                                <a:pt x="60" y="1575"/>
                              </a:lnTo>
                              <a:lnTo>
                                <a:pt x="15" y="1545"/>
                              </a:lnTo>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3.05pt;margin-top:6.7pt;height:80.25pt;width:64.5pt;z-index:251740160;mso-width-relative:page;mso-height-relative:page;" filled="f" stroked="t" coordsize="1290,1605" o:gfxdata="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C+vSlNcAAAAJAQAADwAAAAAAAAABACAAAAAi&#10;AAAAZHJzL2Rvd25yZXYueG1sUEsBAhQAFAAAAAgAh07iQEPmg/XvAgAA7AcAAA4AAAAAAAAAAQAg&#10;AAAAJgEAAGRycy9lMm9Eb2MueG1sUEsFBgAAAAAGAAYAWQEAAIcGAAAAAA==&#10;" path="m0,45l330,75,525,0,795,165,915,255,1050,270,1215,240,1245,360,1290,540,1260,660,1065,825,900,930,840,1050,930,1200,1065,1425,1080,1590,960,1605,810,1530,660,1470,510,1455,375,1500,60,1575,15,1545e">
                <v:fill on="f" focussize="0,0"/>
                <v:stroke color="#FFFF00" joinstyle="round"/>
                <v:imagedata o:title=""/>
                <o:lock v:ext="edit" aspectratio="f"/>
              </v:shap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5050790</wp:posOffset>
                </wp:positionH>
                <wp:positionV relativeFrom="paragraph">
                  <wp:posOffset>73660</wp:posOffset>
                </wp:positionV>
                <wp:extent cx="638175" cy="272415"/>
                <wp:effectExtent l="0" t="0" r="0" b="0"/>
                <wp:wrapNone/>
                <wp:docPr id="105" name="矩形 105"/>
                <wp:cNvGraphicFramePr/>
                <a:graphic xmlns:a="http://schemas.openxmlformats.org/drawingml/2006/main">
                  <a:graphicData uri="http://schemas.microsoft.com/office/word/2010/wordprocessingShape">
                    <wps:wsp>
                      <wps:cNvSpPr/>
                      <wps:spPr>
                        <a:xfrm>
                          <a:off x="0" y="0"/>
                          <a:ext cx="638175" cy="272415"/>
                        </a:xfrm>
                        <a:prstGeom prst="rect">
                          <a:avLst/>
                        </a:prstGeom>
                        <a:noFill/>
                        <a:ln>
                          <a:noFill/>
                        </a:ln>
                      </wps:spPr>
                      <wps:bodyPr upright="1"/>
                    </wps:wsp>
                  </a:graphicData>
                </a:graphic>
              </wp:anchor>
            </w:drawing>
          </mc:Choice>
          <mc:Fallback>
            <w:pict>
              <v:rect id="_x0000_s1026" o:spid="_x0000_s1026" o:spt="1" style="position:absolute;left:0pt;margin-left:397.7pt;margin-top:5.8pt;height:21.45pt;width:50.25pt;z-index:251721728;mso-width-relative:page;mso-height-relative:page;" filled="f" stroked="f" coordsize="21600,21600" o:gfxdata="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wVU1M2gAAAAkBAAAPAAAAAAAA&#10;AAEAIAAAACIAAABkcnMvZG93bnJldi54bWxQSwECFAAUAAAACACHTuJAkL/fVJ4BAAA5AwAADgAA&#10;AAAAAAABACAAAAApAQAAZHJzL2Uyb0RvYy54bWxQSwUGAAAAAAYABgBZAQAAOQUAAAAA&#10;">
                <v:fill on="f" focussize="0,0"/>
                <v:stroke on="f"/>
                <v:imagedata o:title=""/>
                <o:lock v:ext="edit" aspectratio="f"/>
              </v:rect>
            </w:pict>
          </mc:Fallback>
        </mc:AlternateContent>
      </w:r>
    </w:p>
    <w:p>
      <w:pPr>
        <w:jc w:val="center"/>
      </w:pPr>
      <w:r>
        <w:rPr>
          <w:sz w:val="21"/>
        </w:rPr>
        <mc:AlternateContent>
          <mc:Choice Requires="wps">
            <w:drawing>
              <wp:anchor distT="0" distB="0" distL="114300" distR="114300" simplePos="0" relativeHeight="251741184" behindDoc="0" locked="0" layoutInCell="1" allowOverlap="1">
                <wp:simplePos x="0" y="0"/>
                <wp:positionH relativeFrom="column">
                  <wp:posOffset>213360</wp:posOffset>
                </wp:positionH>
                <wp:positionV relativeFrom="paragraph">
                  <wp:posOffset>86995</wp:posOffset>
                </wp:positionV>
                <wp:extent cx="1228725" cy="32385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里瓦窑沟</w:t>
                            </w:r>
                          </w:p>
                        </w:txbxContent>
                      </wps:txbx>
                      <wps:bodyPr upright="1"/>
                    </wps:wsp>
                  </a:graphicData>
                </a:graphic>
              </wp:anchor>
            </w:drawing>
          </mc:Choice>
          <mc:Fallback>
            <w:pict>
              <v:shape id="_x0000_s1026" o:spid="_x0000_s1026" o:spt="202" type="#_x0000_t202" style="position:absolute;left:0pt;margin-left:16.8pt;margin-top:6.85pt;height:25.5pt;width:96.75pt;z-index:251741184;mso-width-relative:page;mso-height-relative:page;" filled="f" stroked="f" coordsize="21600,21600" o:gfxdata="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Goq0fW&#10;AAAACAEAAA8AAAAAAAAAAQAgAAAAIgAAAGRycy9kb3ducmV2LnhtbFBLAQIUABQAAAAIAIdO4kCn&#10;G+mDsAEAAFIDAAAOAAAAAAAAAAEAIAAAACUBAABkcnMvZTJvRG9jLnhtbFBLBQYAAAAABgAGAFkB&#10;AABHBQ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里瓦窑沟</w:t>
                      </w:r>
                    </w:p>
                  </w:txbxContent>
                </v:textbox>
              </v:shape>
            </w:pict>
          </mc:Fallback>
        </mc:AlternateContent>
      </w:r>
    </w:p>
    <w:p>
      <w:pPr>
        <w:jc w:val="center"/>
      </w:pPr>
    </w:p>
    <w:p>
      <w:pPr>
        <w:jc w:val="center"/>
        <w:sectPr>
          <w:pgSz w:w="16838" w:h="11906" w:orient="landscape"/>
          <w:pgMar w:top="96" w:right="96" w:bottom="96" w:left="96" w:header="851" w:footer="992" w:gutter="0"/>
          <w:cols w:space="720" w:num="1"/>
          <w:docGrid w:type="lines" w:linePitch="312" w:charSpace="0"/>
        </w:sectPr>
      </w:pPr>
      <w:r>
        <w:rPr>
          <w:sz w:val="21"/>
        </w:rPr>
        <mc:AlternateContent>
          <mc:Choice Requires="wps">
            <w:drawing>
              <wp:anchor distT="0" distB="0" distL="114300" distR="114300" simplePos="0" relativeHeight="251761664" behindDoc="0" locked="0" layoutInCell="1" allowOverlap="1">
                <wp:simplePos x="0" y="0"/>
                <wp:positionH relativeFrom="column">
                  <wp:posOffset>7163435</wp:posOffset>
                </wp:positionH>
                <wp:positionV relativeFrom="paragraph">
                  <wp:posOffset>2854960</wp:posOffset>
                </wp:positionV>
                <wp:extent cx="2657475" cy="44767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2657475" cy="447675"/>
                        </a:xfrm>
                        <a:prstGeom prst="rect">
                          <a:avLst/>
                        </a:prstGeom>
                        <a:noFill/>
                        <a:ln>
                          <a:noFill/>
                        </a:ln>
                      </wps:spPr>
                      <wps:txbx>
                        <w:txbxContent>
                          <w:p>
                            <w:pPr>
                              <w:rPr>
                                <w:rFonts w:hint="default" w:eastAsia="宋体"/>
                                <w:lang w:val="en-US" w:eastAsia="zh-CN"/>
                              </w:rPr>
                            </w:pPr>
                            <w:r>
                              <w:rPr>
                                <w:rFonts w:hint="eastAsia"/>
                                <w:lang w:val="en-US" w:eastAsia="zh-CN"/>
                              </w:rPr>
                              <w:t>比例尺：1:4717</w:t>
                            </w:r>
                          </w:p>
                        </w:txbxContent>
                      </wps:txbx>
                      <wps:bodyPr upright="1"/>
                    </wps:wsp>
                  </a:graphicData>
                </a:graphic>
              </wp:anchor>
            </w:drawing>
          </mc:Choice>
          <mc:Fallback>
            <w:pict>
              <v:shape id="_x0000_s1026" o:spid="_x0000_s1026" o:spt="202" type="#_x0000_t202" style="position:absolute;left:0pt;margin-left:564.05pt;margin-top:224.8pt;height:35.25pt;width:209.25pt;z-index:251761664;mso-width-relative:page;mso-height-relative:page;" filled="f" stroked="f" coordsize="21600,21600" o:gfxdata="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KM4N&#10;HNkAAAANAQAADwAAAAAAAAABACAAAAAiAAAAZHJzL2Rvd25yZXYueG1sUEsBAhQAFAAAAAgAh07i&#10;QOWawHWvAQAAUgMAAA4AAAAAAAAAAQAgAAAAKAEAAGRycy9lMm9Eb2MueG1sUEsFBgAAAAAGAAYA&#10;WQEAAEkFAAAAAA==&#10;">
                <v:fill on="f" focussize="0,0"/>
                <v:stroke on="f"/>
                <v:imagedata o:title=""/>
                <o:lock v:ext="edit" aspectratio="f"/>
                <v:textbox>
                  <w:txbxContent>
                    <w:p>
                      <w:pPr>
                        <w:rPr>
                          <w:rFonts w:hint="default" w:eastAsia="宋体"/>
                          <w:lang w:val="en-US" w:eastAsia="zh-CN"/>
                        </w:rPr>
                      </w:pPr>
                      <w:r>
                        <w:rPr>
                          <w:rFonts w:hint="eastAsia"/>
                          <w:lang w:val="en-US" w:eastAsia="zh-CN"/>
                        </w:rPr>
                        <w:t>比例尺：1:4717</w:t>
                      </w:r>
                    </w:p>
                  </w:txbxContent>
                </v:textbox>
              </v:shape>
            </w:pict>
          </mc:Fallback>
        </mc:AlternateContent>
      </w:r>
      <w:r>
        <w:rPr>
          <w:sz w:val="21"/>
        </w:rPr>
        <mc:AlternateContent>
          <mc:Choice Requires="wps">
            <w:drawing>
              <wp:anchor distT="0" distB="0" distL="114300" distR="114300" simplePos="0" relativeHeight="251747328" behindDoc="0" locked="0" layoutInCell="1" allowOverlap="1">
                <wp:simplePos x="0" y="0"/>
                <wp:positionH relativeFrom="column">
                  <wp:posOffset>5137785</wp:posOffset>
                </wp:positionH>
                <wp:positionV relativeFrom="paragraph">
                  <wp:posOffset>709930</wp:posOffset>
                </wp:positionV>
                <wp:extent cx="1228725" cy="32385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434m</w:t>
                            </w:r>
                          </w:p>
                        </w:txbxContent>
                      </wps:txbx>
                      <wps:bodyPr upright="1"/>
                    </wps:wsp>
                  </a:graphicData>
                </a:graphic>
              </wp:anchor>
            </w:drawing>
          </mc:Choice>
          <mc:Fallback>
            <w:pict>
              <v:shape id="_x0000_s1026" o:spid="_x0000_s1026" o:spt="202" type="#_x0000_t202" style="position:absolute;left:0pt;margin-left:404.55pt;margin-top:55.9pt;height:25.5pt;width:96.75pt;z-index:251747328;mso-width-relative:page;mso-height-relative:page;" filled="f" stroked="f" coordsize="21600,21600" o:gfxdata="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GX3ny&#10;1wAAAAwBAAAPAAAAAAAAAAEAIAAAACIAAABkcnMvZG93bnJldi54bWxQSwECFAAUAAAACACHTuJA&#10;ueUSjbABAABSAwAADgAAAAAAAAABACAAAAAmAQAAZHJzL2Uyb0RvYy54bWxQSwUGAAAAAAYABgBZ&#10;AQAASAU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434m</w:t>
                      </w:r>
                    </w:p>
                  </w:txbxContent>
                </v:textbox>
              </v:shape>
            </w:pict>
          </mc:Fallback>
        </mc:AlternateContent>
      </w:r>
      <w:r>
        <w:rPr>
          <w:sz w:val="21"/>
        </w:rPr>
        <mc:AlternateContent>
          <mc:Choice Requires="wps">
            <w:drawing>
              <wp:anchor distT="0" distB="0" distL="114300" distR="114300" simplePos="0" relativeHeight="251746304" behindDoc="0" locked="0" layoutInCell="1" allowOverlap="1">
                <wp:simplePos x="0" y="0"/>
                <wp:positionH relativeFrom="column">
                  <wp:posOffset>5642610</wp:posOffset>
                </wp:positionH>
                <wp:positionV relativeFrom="paragraph">
                  <wp:posOffset>2472055</wp:posOffset>
                </wp:positionV>
                <wp:extent cx="1228725" cy="32385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228725" cy="323850"/>
                        </a:xfrm>
                        <a:prstGeom prst="rect">
                          <a:avLst/>
                        </a:prstGeom>
                        <a:noFill/>
                        <a:ln>
                          <a:noFill/>
                        </a:ln>
                      </wps:spPr>
                      <wps:txbx>
                        <w:txbxContent>
                          <w:p>
                            <w:pPr>
                              <w:rPr>
                                <w:rFonts w:hint="default" w:eastAsia="宋体"/>
                                <w:highlight w:val="yellow"/>
                                <w:lang w:val="en-US" w:eastAsia="zh-CN"/>
                              </w:rPr>
                            </w:pPr>
                            <w:r>
                              <w:rPr>
                                <w:rFonts w:hint="eastAsia" w:eastAsia="宋体"/>
                                <w:highlight w:val="yellow"/>
                                <w:lang w:val="en-US" w:eastAsia="zh-CN"/>
                              </w:rPr>
                              <w:t>侯家岭</w:t>
                            </w:r>
                          </w:p>
                        </w:txbxContent>
                      </wps:txbx>
                      <wps:bodyPr upright="1"/>
                    </wps:wsp>
                  </a:graphicData>
                </a:graphic>
              </wp:anchor>
            </w:drawing>
          </mc:Choice>
          <mc:Fallback>
            <w:pict>
              <v:shape id="_x0000_s1026" o:spid="_x0000_s1026" o:spt="202" type="#_x0000_t202" style="position:absolute;left:0pt;margin-left:444.3pt;margin-top:194.65pt;height:25.5pt;width:96.75pt;z-index:251746304;mso-width-relative:page;mso-height-relative:page;" filled="f" stroked="f" coordsize="21600,21600" o:gfxdata="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whwFl&#10;2AAAAAwBAAAPAAAAAAAAAAEAIAAAACIAAABkcnMvZG93bnJldi54bWxQSwECFAAUAAAACACHTuJA&#10;k/XjPK8BAABSAwAADgAAAAAAAAABACAAAAAnAQAAZHJzL2Uyb0RvYy54bWxQSwUGAAAAAAYABgBZ&#10;AQAASAUAAAAA&#10;">
                <v:fill on="f" focussize="0,0"/>
                <v:stroke on="f"/>
                <v:imagedata o:title=""/>
                <o:lock v:ext="edit" aspectratio="f"/>
                <v:textbox>
                  <w:txbxContent>
                    <w:p>
                      <w:pPr>
                        <w:rPr>
                          <w:rFonts w:hint="default" w:eastAsia="宋体"/>
                          <w:highlight w:val="yellow"/>
                          <w:lang w:val="en-US" w:eastAsia="zh-CN"/>
                        </w:rPr>
                      </w:pPr>
                      <w:r>
                        <w:rPr>
                          <w:rFonts w:hint="eastAsia" w:eastAsia="宋体"/>
                          <w:highlight w:val="yellow"/>
                          <w:lang w:val="en-US" w:eastAsia="zh-CN"/>
                        </w:rPr>
                        <w:t>侯家岭</w:t>
                      </w:r>
                    </w:p>
                  </w:txbxContent>
                </v:textbox>
              </v:shape>
            </w:pict>
          </mc:Fallback>
        </mc:AlternateContent>
      </w:r>
      <w:r>
        <w:rPr>
          <w:sz w:val="21"/>
        </w:rPr>
        <mc:AlternateContent>
          <mc:Choice Requires="wps">
            <w:drawing>
              <wp:anchor distT="0" distB="0" distL="114300" distR="114300" simplePos="0" relativeHeight="251745280" behindDoc="0" locked="0" layoutInCell="1" allowOverlap="1">
                <wp:simplePos x="0" y="0"/>
                <wp:positionH relativeFrom="column">
                  <wp:posOffset>5556885</wp:posOffset>
                </wp:positionH>
                <wp:positionV relativeFrom="paragraph">
                  <wp:posOffset>2361565</wp:posOffset>
                </wp:positionV>
                <wp:extent cx="933450" cy="514350"/>
                <wp:effectExtent l="4445" t="4445" r="14605" b="14605"/>
                <wp:wrapNone/>
                <wp:docPr id="118" name="任意多边形 118"/>
                <wp:cNvGraphicFramePr/>
                <a:graphic xmlns:a="http://schemas.openxmlformats.org/drawingml/2006/main">
                  <a:graphicData uri="http://schemas.microsoft.com/office/word/2010/wordprocessingShape">
                    <wps:wsp>
                      <wps:cNvSpPr/>
                      <wps:spPr>
                        <a:xfrm>
                          <a:off x="0" y="0"/>
                          <a:ext cx="933450" cy="514350"/>
                        </a:xfrm>
                        <a:custGeom>
                          <a:avLst/>
                          <a:gdLst/>
                          <a:ahLst/>
                          <a:cxnLst/>
                          <a:pathLst>
                            <a:path w="1470" h="810">
                              <a:moveTo>
                                <a:pt x="735" y="165"/>
                              </a:moveTo>
                              <a:lnTo>
                                <a:pt x="435" y="30"/>
                              </a:lnTo>
                              <a:lnTo>
                                <a:pt x="240" y="0"/>
                              </a:lnTo>
                              <a:lnTo>
                                <a:pt x="45" y="180"/>
                              </a:lnTo>
                              <a:lnTo>
                                <a:pt x="75" y="360"/>
                              </a:lnTo>
                              <a:lnTo>
                                <a:pt x="195" y="480"/>
                              </a:lnTo>
                              <a:lnTo>
                                <a:pt x="0" y="765"/>
                              </a:lnTo>
                              <a:lnTo>
                                <a:pt x="1110" y="810"/>
                              </a:lnTo>
                              <a:lnTo>
                                <a:pt x="1305" y="570"/>
                              </a:lnTo>
                              <a:lnTo>
                                <a:pt x="1470" y="315"/>
                              </a:lnTo>
                              <a:lnTo>
                                <a:pt x="1350" y="105"/>
                              </a:lnTo>
                              <a:lnTo>
                                <a:pt x="1080" y="120"/>
                              </a:lnTo>
                              <a:lnTo>
                                <a:pt x="735" y="165"/>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37.55pt;margin-top:185.95pt;height:40.5pt;width:73.5pt;z-index:251745280;mso-width-relative:page;mso-height-relative:page;" filled="f" stroked="t" coordsize="1470,810" o:gfxdata="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&#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vJCBr2wAAAAwBAAAPAAAAAAAAAAEAIAAAACIAAABk&#10;cnMvZG93bnJldi54bWxQSwECFAAUAAAACACHTuJAy2dopK4CAABXBgAADgAAAAAAAAABACAAAAAq&#10;AQAAZHJzL2Uyb0RvYy54bWxQSwUGAAAAAAYABgBZAQAASgYAAAAA&#10;" path="m735,165l435,30,240,0,45,180,75,360,195,480,0,765,1110,810,1305,570,1470,315,1350,105,1080,120,735,165xe">
                <v:fill on="f" focussize="0,0"/>
                <v:stroke color="#FFFF00" joinstyle="round"/>
                <v:imagedata o:title=""/>
                <o:lock v:ext="edit" aspectratio="f"/>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4269740</wp:posOffset>
                </wp:positionH>
                <wp:positionV relativeFrom="paragraph">
                  <wp:posOffset>2737485</wp:posOffset>
                </wp:positionV>
                <wp:extent cx="2724785" cy="8001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2724785" cy="800100"/>
                        </a:xfrm>
                        <a:prstGeom prst="rect">
                          <a:avLst/>
                        </a:prstGeom>
                        <a:noFill/>
                        <a:ln>
                          <a:noFill/>
                        </a:ln>
                      </wps:spPr>
                      <wps:txbx>
                        <w:txbxContent>
                          <w:p>
                            <w:pPr>
                              <w:jc w:val="center"/>
                              <w:rPr>
                                <w:rFonts w:hint="default"/>
                                <w:b/>
                                <w:bCs/>
                                <w:sz w:val="28"/>
                                <w:szCs w:val="36"/>
                                <w:lang w:val="en-US" w:eastAsia="zh-CN"/>
                              </w:rPr>
                            </w:pPr>
                            <w:r>
                              <w:rPr>
                                <w:rFonts w:hint="eastAsia"/>
                                <w:b/>
                                <w:bCs/>
                                <w:sz w:val="28"/>
                                <w:szCs w:val="36"/>
                                <w:lang w:val="en-US" w:eastAsia="zh-CN"/>
                              </w:rPr>
                              <w:t>附图2-1  项目周边环境图</w:t>
                            </w:r>
                          </w:p>
                        </w:txbxContent>
                      </wps:txbx>
                      <wps:bodyPr upright="1"/>
                    </wps:wsp>
                  </a:graphicData>
                </a:graphic>
              </wp:anchor>
            </w:drawing>
          </mc:Choice>
          <mc:Fallback>
            <w:pict>
              <v:shape id="_x0000_s1026" o:spid="_x0000_s1026" o:spt="202" type="#_x0000_t202" style="position:absolute;left:0pt;margin-left:336.2pt;margin-top:215.55pt;height:63pt;width:214.55pt;z-index:251713536;mso-width-relative:page;mso-height-relative:page;" filled="f" stroked="f" coordsize="21600,21600" o:gfxdata="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RUrE&#10;4dkAAAAMAQAADwAAAAAAAAABACAAAAAiAAAAZHJzL2Rvd25yZXYueG1sUEsBAhQAFAAAAAgAh07i&#10;QNhtOVSvAQAAUgMAAA4AAAAAAAAAAQAgAAAAKAEAAGRycy9lMm9Eb2MueG1sUEsFBgAAAAAGAAYA&#10;WQEAAEkFAAAAAA==&#10;">
                <v:fill on="f" focussize="0,0"/>
                <v:stroke on="f"/>
                <v:imagedata o:title=""/>
                <o:lock v:ext="edit" aspectratio="f"/>
                <v:textbox>
                  <w:txbxContent>
                    <w:p>
                      <w:pPr>
                        <w:jc w:val="center"/>
                        <w:rPr>
                          <w:rFonts w:hint="default"/>
                          <w:b/>
                          <w:bCs/>
                          <w:sz w:val="28"/>
                          <w:szCs w:val="36"/>
                          <w:lang w:val="en-US" w:eastAsia="zh-CN"/>
                        </w:rPr>
                      </w:pPr>
                      <w:r>
                        <w:rPr>
                          <w:rFonts w:hint="eastAsia"/>
                          <w:b/>
                          <w:bCs/>
                          <w:sz w:val="28"/>
                          <w:szCs w:val="36"/>
                          <w:lang w:val="en-US" w:eastAsia="zh-CN"/>
                        </w:rPr>
                        <w:t>附图2-1  项目周边环境图</w:t>
                      </w:r>
                    </w:p>
                  </w:txbxContent>
                </v:textbox>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3233420</wp:posOffset>
                </wp:positionH>
                <wp:positionV relativeFrom="paragraph">
                  <wp:posOffset>161925</wp:posOffset>
                </wp:positionV>
                <wp:extent cx="1285875" cy="381000"/>
                <wp:effectExtent l="4445" t="513715" r="5080" b="19685"/>
                <wp:wrapNone/>
                <wp:docPr id="133" name="圆角矩形标注 133"/>
                <wp:cNvGraphicFramePr/>
                <a:graphic xmlns:a="http://schemas.openxmlformats.org/drawingml/2006/main">
                  <a:graphicData uri="http://schemas.microsoft.com/office/word/2010/wordprocessingShape">
                    <wps:wsp>
                      <wps:cNvSpPr/>
                      <wps:spPr>
                        <a:xfrm rot="10800000">
                          <a:off x="0" y="0"/>
                          <a:ext cx="1285875" cy="381000"/>
                        </a:xfrm>
                        <a:prstGeom prst="wedgeRoundRectCallout">
                          <a:avLst>
                            <a:gd name="adj1" fmla="val -48421"/>
                            <a:gd name="adj2" fmla="val 180000"/>
                            <a:gd name="adj3" fmla="val 16667"/>
                          </a:avLst>
                        </a:prstGeom>
                        <a:noFill/>
                        <a:ln w="9525" cap="flat" cmpd="sng">
                          <a:solidFill>
                            <a:srgbClr val="C00000"/>
                          </a:solidFill>
                          <a:prstDash val="solid"/>
                          <a:miter/>
                          <a:headEnd type="none" w="med" len="med"/>
                          <a:tailEnd type="none" w="med" len="med"/>
                        </a:ln>
                      </wps:spPr>
                      <wps:txbx>
                        <w:txbxContent>
                          <w:p>
                            <w:pPr>
                              <w:rPr>
                                <w:rFonts w:hint="default" w:eastAsia="宋体"/>
                                <w:color w:val="C00000"/>
                                <w:lang w:val="en-US" w:eastAsia="zh-CN"/>
                              </w:rPr>
                            </w:pPr>
                            <w:r>
                              <w:rPr>
                                <w:rFonts w:hint="eastAsia"/>
                                <w:color w:val="C00000"/>
                                <w:lang w:val="en-US" w:eastAsia="zh-CN"/>
                              </w:rPr>
                              <w:t>拟建项目所在地</w:t>
                            </w:r>
                          </w:p>
                        </w:txbxContent>
                      </wps:txbx>
                      <wps:bodyPr upright="1"/>
                    </wps:wsp>
                  </a:graphicData>
                </a:graphic>
              </wp:anchor>
            </w:drawing>
          </mc:Choice>
          <mc:Fallback>
            <w:pict>
              <v:shape id="_x0000_s1026" o:spid="_x0000_s1026" o:spt="62" type="#_x0000_t62" style="position:absolute;left:0pt;margin-left:254.6pt;margin-top:12.75pt;height:30pt;width:101.25pt;rotation:11796480f;z-index:251719680;mso-width-relative:page;mso-height-relative:page;" filled="f" stroked="t" coordsize="21600,21600" o:gfxdata="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bmeyz2AAA&#10;AAkBAAAPAAAAAAAAAAEAIAAAACIAAABkcnMvZG93bnJldi54bWxQSwECFAAUAAAACACHTuJAdVlN&#10;NlcCAACnBAAADgAAAAAAAAABACAAAAAnAQAAZHJzL2Uyb0RvYy54bWxQSwUGAAAAAAYABgBZAQAA&#10;8AUAAAAA&#10;" adj="341,49680,14400">
                <v:fill on="f" focussize="0,0"/>
                <v:stroke color="#C00000" joinstyle="miter"/>
                <v:imagedata o:title=""/>
                <o:lock v:ext="edit" aspectratio="f"/>
                <v:textbox>
                  <w:txbxContent>
                    <w:p>
                      <w:pPr>
                        <w:rPr>
                          <w:rFonts w:hint="default" w:eastAsia="宋体"/>
                          <w:color w:val="C00000"/>
                          <w:lang w:val="en-US" w:eastAsia="zh-CN"/>
                        </w:rPr>
                      </w:pPr>
                      <w:r>
                        <w:rPr>
                          <w:rFonts w:hint="eastAsia"/>
                          <w:color w:val="C00000"/>
                          <w:lang w:val="en-US" w:eastAsia="zh-CN"/>
                        </w:rPr>
                        <w:t>拟建项目所在地</w:t>
                      </w:r>
                    </w:p>
                  </w:txbxContent>
                </v:textbox>
              </v:shape>
            </w:pict>
          </mc:Fallback>
        </mc:AlternateContent>
      </w:r>
    </w:p>
    <w:p>
      <w:pPr>
        <w:jc w:val="center"/>
        <w:sectPr>
          <w:pgSz w:w="16838" w:h="11906" w:orient="landscape"/>
          <w:pgMar w:top="153" w:right="720" w:bottom="96" w:left="720" w:header="851" w:footer="992" w:gutter="0"/>
          <w:cols w:space="720" w:num="1"/>
          <w:docGrid w:type="lines" w:linePitch="312" w:charSpace="0"/>
        </w:sectPr>
      </w:pPr>
      <w:r>
        <w:rPr>
          <w:sz w:val="21"/>
        </w:rPr>
        <mc:AlternateContent>
          <mc:Choice Requires="wps">
            <w:drawing>
              <wp:anchor distT="0" distB="0" distL="114300" distR="114300" simplePos="0" relativeHeight="251766784" behindDoc="0" locked="0" layoutInCell="1" allowOverlap="1">
                <wp:simplePos x="0" y="0"/>
                <wp:positionH relativeFrom="column">
                  <wp:posOffset>3686175</wp:posOffset>
                </wp:positionH>
                <wp:positionV relativeFrom="paragraph">
                  <wp:posOffset>6485255</wp:posOffset>
                </wp:positionV>
                <wp:extent cx="3337560" cy="8001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3337560" cy="800100"/>
                        </a:xfrm>
                        <a:prstGeom prst="rect">
                          <a:avLst/>
                        </a:prstGeom>
                        <a:noFill/>
                        <a:ln>
                          <a:noFill/>
                        </a:ln>
                      </wps:spPr>
                      <wps:txbx>
                        <w:txbxContent>
                          <w:p>
                            <w:pPr>
                              <w:jc w:val="center"/>
                              <w:rPr>
                                <w:rFonts w:hint="default"/>
                                <w:b/>
                                <w:bCs/>
                                <w:sz w:val="28"/>
                                <w:szCs w:val="36"/>
                                <w:lang w:val="en-US" w:eastAsia="zh-CN"/>
                              </w:rPr>
                            </w:pPr>
                            <w:r>
                              <w:rPr>
                                <w:rFonts w:hint="eastAsia"/>
                                <w:b/>
                                <w:bCs/>
                                <w:sz w:val="28"/>
                                <w:szCs w:val="36"/>
                                <w:lang w:val="en-US" w:eastAsia="zh-CN"/>
                              </w:rPr>
                              <w:t>附图3-1  项目现有厂区平面布局图</w:t>
                            </w:r>
                          </w:p>
                        </w:txbxContent>
                      </wps:txbx>
                      <wps:bodyPr upright="1"/>
                    </wps:wsp>
                  </a:graphicData>
                </a:graphic>
              </wp:anchor>
            </w:drawing>
          </mc:Choice>
          <mc:Fallback>
            <w:pict>
              <v:shape id="_x0000_s1026" o:spid="_x0000_s1026" o:spt="202" type="#_x0000_t202" style="position:absolute;left:0pt;margin-left:290.25pt;margin-top:510.65pt;height:63pt;width:262.8pt;z-index:251766784;mso-width-relative:page;mso-height-relative:page;" filled="f" stroked="f" coordsize="21600,21600" o:gfxdata="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UtNCI&#10;2QAAAA4BAAAPAAAAAAAAAAEAIAAAACIAAABkcnMvZG93bnJldi54bWxQSwECFAAUAAAACACHTuJA&#10;L9z6W64BAABSAwAADgAAAAAAAAABACAAAAAoAQAAZHJzL2Uyb0RvYy54bWxQSwUGAAAAAAYABgBZ&#10;AQAASAUAAAAA&#10;">
                <v:fill on="f" focussize="0,0"/>
                <v:stroke on="f"/>
                <v:imagedata o:title=""/>
                <o:lock v:ext="edit" aspectratio="f"/>
                <v:textbox>
                  <w:txbxContent>
                    <w:p>
                      <w:pPr>
                        <w:jc w:val="center"/>
                        <w:rPr>
                          <w:rFonts w:hint="default"/>
                          <w:b/>
                          <w:bCs/>
                          <w:sz w:val="28"/>
                          <w:szCs w:val="36"/>
                          <w:lang w:val="en-US" w:eastAsia="zh-CN"/>
                        </w:rPr>
                      </w:pPr>
                      <w:r>
                        <w:rPr>
                          <w:rFonts w:hint="eastAsia"/>
                          <w:b/>
                          <w:bCs/>
                          <w:sz w:val="28"/>
                          <w:szCs w:val="36"/>
                          <w:lang w:val="en-US" w:eastAsia="zh-CN"/>
                        </w:rPr>
                        <w:t>附图3-1  项目现有厂区平面布局图</w:t>
                      </w:r>
                    </w:p>
                  </w:txbxContent>
                </v:textbox>
              </v:shape>
            </w:pict>
          </mc:Fallback>
        </mc:AlternateContent>
      </w:r>
      <w:r>
        <w:drawing>
          <wp:inline distT="0" distB="0" distL="114300" distR="114300">
            <wp:extent cx="7829550" cy="6019800"/>
            <wp:effectExtent l="0" t="0" r="0" b="0"/>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29"/>
                    <a:stretch>
                      <a:fillRect/>
                    </a:stretch>
                  </pic:blipFill>
                  <pic:spPr>
                    <a:xfrm>
                      <a:off x="0" y="0"/>
                      <a:ext cx="7829550" cy="6019800"/>
                    </a:xfrm>
                    <a:prstGeom prst="rect">
                      <a:avLst/>
                    </a:prstGeom>
                    <a:noFill/>
                    <a:ln>
                      <a:noFill/>
                    </a:ln>
                  </pic:spPr>
                </pic:pic>
              </a:graphicData>
            </a:graphic>
          </wp:inline>
        </w:drawing>
      </w:r>
    </w:p>
    <w:p>
      <w:pPr>
        <w:jc w:val="both"/>
        <w:sectPr>
          <w:pgSz w:w="16838" w:h="11906" w:orient="landscape"/>
          <w:pgMar w:top="153" w:right="720" w:bottom="96" w:left="720" w:header="851" w:footer="992" w:gutter="0"/>
          <w:cols w:space="720" w:num="1"/>
          <w:docGrid w:type="lines" w:linePitch="312" w:charSpace="0"/>
        </w:sectPr>
      </w:pPr>
      <w:r>
        <w:rPr>
          <w:sz w:val="21"/>
        </w:rPr>
        <mc:AlternateContent>
          <mc:Choice Requires="wps">
            <w:drawing>
              <wp:anchor distT="0" distB="0" distL="114300" distR="114300" simplePos="0" relativeHeight="251768832" behindDoc="0" locked="0" layoutInCell="1" allowOverlap="1">
                <wp:simplePos x="0" y="0"/>
                <wp:positionH relativeFrom="column">
                  <wp:posOffset>7230745</wp:posOffset>
                </wp:positionH>
                <wp:positionV relativeFrom="paragraph">
                  <wp:posOffset>3254375</wp:posOffset>
                </wp:positionV>
                <wp:extent cx="724535" cy="32448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724535" cy="324485"/>
                        </a:xfrm>
                        <a:prstGeom prst="rect">
                          <a:avLst/>
                        </a:prstGeom>
                        <a:noFill/>
                        <a:ln>
                          <a:noFill/>
                        </a:ln>
                      </wps:spPr>
                      <wps:txbx>
                        <w:txbxContent>
                          <w:p>
                            <w:pPr>
                              <w:rPr>
                                <w:rFonts w:hint="default" w:eastAsia="宋体"/>
                                <w:lang w:val="en-US" w:eastAsia="zh-CN"/>
                              </w:rPr>
                            </w:pPr>
                            <w:r>
                              <w:rPr>
                                <w:rFonts w:hint="eastAsia"/>
                                <w:lang w:val="en-US" w:eastAsia="zh-CN"/>
                              </w:rPr>
                              <w:t>门</w:t>
                            </w:r>
                          </w:p>
                        </w:txbxContent>
                      </wps:txbx>
                      <wps:bodyPr upright="1"/>
                    </wps:wsp>
                  </a:graphicData>
                </a:graphic>
              </wp:anchor>
            </w:drawing>
          </mc:Choice>
          <mc:Fallback>
            <w:pict>
              <v:shape id="_x0000_s1026" o:spid="_x0000_s1026" o:spt="202" type="#_x0000_t202" style="position:absolute;left:0pt;margin-left:569.35pt;margin-top:256.25pt;height:25.55pt;width:57.05pt;z-index:251768832;mso-width-relative:page;mso-height-relative:page;" filled="f" stroked="f" coordsize="21600,21600" o:gfxdata="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46YyT&#10;2QAAAA0BAAAPAAAAAAAAAAEAIAAAACIAAABkcnMvZG93bnJldi54bWxQSwECFAAUAAAACACHTuJA&#10;iVJUaa4BAABRAwAADgAAAAAAAAABACAAAAAoAQAAZHJzL2Uyb0RvYy54bWxQSwUGAAAAAAYABgBZ&#10;AQAASAUAAAAA&#10;">
                <v:fill on="f" focussize="0,0"/>
                <v:stroke on="f"/>
                <v:imagedata o:title=""/>
                <o:lock v:ext="edit" aspectratio="f"/>
                <v:textbox>
                  <w:txbxContent>
                    <w:p>
                      <w:pPr>
                        <w:rPr>
                          <w:rFonts w:hint="default" w:eastAsia="宋体"/>
                          <w:lang w:val="en-US" w:eastAsia="zh-CN"/>
                        </w:rPr>
                      </w:pPr>
                      <w:r>
                        <w:rPr>
                          <w:rFonts w:hint="eastAsia"/>
                          <w:lang w:val="en-US" w:eastAsia="zh-CN"/>
                        </w:rPr>
                        <w:t>门</w:t>
                      </w:r>
                    </w:p>
                  </w:txbxContent>
                </v:textbox>
              </v:shape>
            </w:pict>
          </mc:Fallback>
        </mc:AlternateContent>
      </w:r>
      <w:r>
        <w:rPr>
          <w:sz w:val="21"/>
        </w:rPr>
        <mc:AlternateContent>
          <mc:Choice Requires="wps">
            <w:drawing>
              <wp:anchor distT="0" distB="0" distL="114300" distR="114300" simplePos="0" relativeHeight="251760640" behindDoc="0" locked="0" layoutInCell="1" allowOverlap="1">
                <wp:simplePos x="0" y="0"/>
                <wp:positionH relativeFrom="column">
                  <wp:posOffset>4267835</wp:posOffset>
                </wp:positionH>
                <wp:positionV relativeFrom="paragraph">
                  <wp:posOffset>5824855</wp:posOffset>
                </wp:positionV>
                <wp:extent cx="1200150" cy="32448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200150" cy="324485"/>
                        </a:xfrm>
                        <a:prstGeom prst="rect">
                          <a:avLst/>
                        </a:prstGeom>
                        <a:noFill/>
                        <a:ln>
                          <a:noFill/>
                        </a:ln>
                      </wps:spPr>
                      <wps:txbx>
                        <w:txbxContent>
                          <w:p>
                            <w:pPr>
                              <w:rPr>
                                <w:rFonts w:hint="default" w:eastAsia="宋体"/>
                                <w:lang w:val="en-US" w:eastAsia="zh-CN"/>
                              </w:rPr>
                            </w:pPr>
                            <w:r>
                              <w:rPr>
                                <w:rFonts w:hint="eastAsia"/>
                                <w:lang w:val="en-US" w:eastAsia="zh-CN"/>
                              </w:rPr>
                              <w:t>氨气处理系统</w:t>
                            </w:r>
                          </w:p>
                        </w:txbxContent>
                      </wps:txbx>
                      <wps:bodyPr upright="1"/>
                    </wps:wsp>
                  </a:graphicData>
                </a:graphic>
              </wp:anchor>
            </w:drawing>
          </mc:Choice>
          <mc:Fallback>
            <w:pict>
              <v:shape id="_x0000_s1026" o:spid="_x0000_s1026" o:spt="202" type="#_x0000_t202" style="position:absolute;left:0pt;margin-left:336.05pt;margin-top:458.65pt;height:25.55pt;width:94.5pt;z-index:251760640;mso-width-relative:page;mso-height-relative:page;" filled="f" stroked="f" coordsize="21600,21600" o:gfxdata="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WVcW2NgA&#10;AAALAQAADwAAAAAAAAABACAAAAAiAAAAZHJzL2Rvd25yZXYueG1sUEsBAhQAFAAAAAgAh07iQDS3&#10;G+itAQAAUgMAAA4AAAAAAAAAAQAgAAAAJwEAAGRycy9lMm9Eb2MueG1sUEsFBgAAAAAGAAYAWQEA&#10;AEYFAAAAAA==&#10;">
                <v:fill on="f" focussize="0,0"/>
                <v:stroke on="f"/>
                <v:imagedata o:title=""/>
                <o:lock v:ext="edit" aspectratio="f"/>
                <v:textbox>
                  <w:txbxContent>
                    <w:p>
                      <w:pPr>
                        <w:rPr>
                          <w:rFonts w:hint="default" w:eastAsia="宋体"/>
                          <w:lang w:val="en-US" w:eastAsia="zh-CN"/>
                        </w:rPr>
                      </w:pPr>
                      <w:r>
                        <w:rPr>
                          <w:rFonts w:hint="eastAsia"/>
                          <w:lang w:val="en-US" w:eastAsia="zh-CN"/>
                        </w:rPr>
                        <w:t>氨气处理系统</w:t>
                      </w:r>
                    </w:p>
                  </w:txbxContent>
                </v:textbox>
              </v:shape>
            </w:pict>
          </mc:Fallback>
        </mc:AlternateContent>
      </w:r>
      <w:r>
        <w:rPr>
          <w:sz w:val="21"/>
        </w:rPr>
        <mc:AlternateContent>
          <mc:Choice Requires="wps">
            <w:drawing>
              <wp:anchor distT="0" distB="0" distL="114300" distR="114300" simplePos="0" relativeHeight="251759616" behindDoc="0" locked="0" layoutInCell="1" allowOverlap="1">
                <wp:simplePos x="0" y="0"/>
                <wp:positionH relativeFrom="column">
                  <wp:posOffset>4989195</wp:posOffset>
                </wp:positionH>
                <wp:positionV relativeFrom="paragraph">
                  <wp:posOffset>5624830</wp:posOffset>
                </wp:positionV>
                <wp:extent cx="724535" cy="324485"/>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724535" cy="324485"/>
                        </a:xfrm>
                        <a:prstGeom prst="rect">
                          <a:avLst/>
                        </a:prstGeom>
                        <a:noFill/>
                        <a:ln>
                          <a:noFill/>
                        </a:ln>
                      </wps:spPr>
                      <wps:txbx>
                        <w:txbxContent>
                          <w:p>
                            <w:pPr>
                              <w:rPr>
                                <w:rFonts w:hint="default" w:eastAsia="宋体"/>
                                <w:lang w:val="en-US" w:eastAsia="zh-CN"/>
                              </w:rPr>
                            </w:pPr>
                            <w:r>
                              <w:rPr>
                                <w:rFonts w:hint="eastAsia"/>
                                <w:lang w:val="en-US" w:eastAsia="zh-CN"/>
                              </w:rPr>
                              <w:t>排气筒</w:t>
                            </w:r>
                          </w:p>
                        </w:txbxContent>
                      </wps:txbx>
                      <wps:bodyPr upright="1"/>
                    </wps:wsp>
                  </a:graphicData>
                </a:graphic>
              </wp:anchor>
            </w:drawing>
          </mc:Choice>
          <mc:Fallback>
            <w:pict>
              <v:shape id="_x0000_s1026" o:spid="_x0000_s1026" o:spt="202" type="#_x0000_t202" style="position:absolute;left:0pt;margin-left:392.85pt;margin-top:442.9pt;height:25.55pt;width:57.05pt;z-index:251759616;mso-width-relative:page;mso-height-relative:page;" filled="f" stroked="f" coordsize="21600,21600" o:gfxdata="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Dbaz9&#10;2AAAAAsBAAAPAAAAAAAAAAEAIAAAACIAAABkcnMvZG93bnJldi54bWxQSwECFAAUAAAACACHTuJA&#10;rV+mSq8BAABRAwAADgAAAAAAAAABACAAAAAnAQAAZHJzL2Uyb0RvYy54bWxQSwUGAAAAAAYABgBZ&#10;AQAASAUAAAAA&#10;">
                <v:fill on="f" focussize="0,0"/>
                <v:stroke on="f"/>
                <v:imagedata o:title=""/>
                <o:lock v:ext="edit" aspectratio="f"/>
                <v:textbox>
                  <w:txbxContent>
                    <w:p>
                      <w:pPr>
                        <w:rPr>
                          <w:rFonts w:hint="default" w:eastAsia="宋体"/>
                          <w:lang w:val="en-US" w:eastAsia="zh-CN"/>
                        </w:rPr>
                      </w:pPr>
                      <w:r>
                        <w:rPr>
                          <w:rFonts w:hint="eastAsia"/>
                          <w:lang w:val="en-US" w:eastAsia="zh-CN"/>
                        </w:rPr>
                        <w:t>排气筒</w:t>
                      </w:r>
                    </w:p>
                  </w:txbxContent>
                </v:textbox>
              </v:shape>
            </w:pict>
          </mc:Fallback>
        </mc:AlternateContent>
      </w:r>
      <w:r>
        <w:rPr>
          <w:sz w:val="21"/>
        </w:rPr>
        <mc:AlternateContent>
          <mc:Choice Requires="wps">
            <w:drawing>
              <wp:anchor distT="0" distB="0" distL="114300" distR="114300" simplePos="0" relativeHeight="251758592" behindDoc="0" locked="0" layoutInCell="1" allowOverlap="1">
                <wp:simplePos x="0" y="0"/>
                <wp:positionH relativeFrom="column">
                  <wp:posOffset>3423920</wp:posOffset>
                </wp:positionH>
                <wp:positionV relativeFrom="paragraph">
                  <wp:posOffset>3191510</wp:posOffset>
                </wp:positionV>
                <wp:extent cx="2400300" cy="695325"/>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2400300" cy="695325"/>
                        </a:xfrm>
                        <a:prstGeom prst="rect">
                          <a:avLst/>
                        </a:prstGeom>
                        <a:noFill/>
                        <a:ln>
                          <a:noFill/>
                        </a:ln>
                      </wps:spPr>
                      <wps:txbx>
                        <w:txbxContent>
                          <w:p>
                            <w:pPr>
                              <w:rPr>
                                <w:rFonts w:hint="default" w:eastAsia="宋体"/>
                                <w:sz w:val="28"/>
                                <w:szCs w:val="36"/>
                                <w:lang w:val="en-US" w:eastAsia="zh-CN"/>
                              </w:rPr>
                            </w:pPr>
                            <w:r>
                              <w:rPr>
                                <w:rFonts w:hint="eastAsia"/>
                                <w:sz w:val="28"/>
                                <w:szCs w:val="36"/>
                                <w:lang w:val="en-US" w:eastAsia="zh-CN"/>
                              </w:rPr>
                              <w:t>飞灰储存库，内设集气管道</w:t>
                            </w:r>
                          </w:p>
                        </w:txbxContent>
                      </wps:txbx>
                      <wps:bodyPr upright="1"/>
                    </wps:wsp>
                  </a:graphicData>
                </a:graphic>
              </wp:anchor>
            </w:drawing>
          </mc:Choice>
          <mc:Fallback>
            <w:pict>
              <v:shape id="_x0000_s1026" o:spid="_x0000_s1026" o:spt="202" type="#_x0000_t202" style="position:absolute;left:0pt;margin-left:269.6pt;margin-top:251.3pt;height:54.75pt;width:189pt;z-index:251758592;mso-width-relative:page;mso-height-relative:page;" filled="f" stroked="f" coordsize="21600,21600" o:gfxdata="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tjLitcA&#10;AAALAQAADwAAAAAAAAABACAAAAAiAAAAZHJzL2Rvd25yZXYueG1sUEsBAhQAFAAAAAgAh07iQFKR&#10;2/WuAQAAUgMAAA4AAAAAAAAAAQAgAAAAJgEAAGRycy9lMm9Eb2MueG1sUEsFBgAAAAAGAAYAWQEA&#10;AEYFAAAAAA==&#10;">
                <v:fill on="f" focussize="0,0"/>
                <v:stroke on="f"/>
                <v:imagedata o:title=""/>
                <o:lock v:ext="edit" aspectratio="f"/>
                <v:textbox>
                  <w:txbxContent>
                    <w:p>
                      <w:pPr>
                        <w:rPr>
                          <w:rFonts w:hint="default" w:eastAsia="宋体"/>
                          <w:sz w:val="28"/>
                          <w:szCs w:val="36"/>
                          <w:lang w:val="en-US" w:eastAsia="zh-CN"/>
                        </w:rPr>
                      </w:pPr>
                      <w:r>
                        <w:rPr>
                          <w:rFonts w:hint="eastAsia"/>
                          <w:sz w:val="28"/>
                          <w:szCs w:val="36"/>
                          <w:lang w:val="en-US" w:eastAsia="zh-CN"/>
                        </w:rPr>
                        <w:t>飞灰储存库，内设集气管道</w:t>
                      </w:r>
                    </w:p>
                  </w:txbxContent>
                </v:textbox>
              </v:shape>
            </w:pict>
          </mc:Fallback>
        </mc:AlternateContent>
      </w:r>
      <w:r>
        <w:rPr>
          <w:sz w:val="21"/>
        </w:rPr>
        <mc:AlternateContent>
          <mc:Choice Requires="wps">
            <w:drawing>
              <wp:anchor distT="0" distB="0" distL="114300" distR="114300" simplePos="0" relativeHeight="251753472" behindDoc="0" locked="0" layoutInCell="1" allowOverlap="1">
                <wp:simplePos x="0" y="0"/>
                <wp:positionH relativeFrom="column">
                  <wp:posOffset>4267835</wp:posOffset>
                </wp:positionH>
                <wp:positionV relativeFrom="paragraph">
                  <wp:posOffset>1320165</wp:posOffset>
                </wp:positionV>
                <wp:extent cx="447675" cy="32385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447675" cy="323850"/>
                        </a:xfrm>
                        <a:prstGeom prst="rect">
                          <a:avLst/>
                        </a:prstGeom>
                        <a:noFill/>
                        <a:ln>
                          <a:noFill/>
                        </a:ln>
                      </wps:spPr>
                      <wps:txbx>
                        <w:txbxContent>
                          <w:p>
                            <w:pPr>
                              <w:rPr>
                                <w:rFonts w:hint="default" w:eastAsia="宋体"/>
                                <w:lang w:val="en-US" w:eastAsia="zh-CN"/>
                              </w:rPr>
                            </w:pPr>
                            <w:r>
                              <w:rPr>
                                <w:rFonts w:hint="eastAsia"/>
                                <w:lang w:val="en-US" w:eastAsia="zh-CN"/>
                              </w:rPr>
                              <w:t>75m</w:t>
                            </w:r>
                          </w:p>
                        </w:txbxContent>
                      </wps:txbx>
                      <wps:bodyPr upright="1"/>
                    </wps:wsp>
                  </a:graphicData>
                </a:graphic>
              </wp:anchor>
            </w:drawing>
          </mc:Choice>
          <mc:Fallback>
            <w:pict>
              <v:shape id="_x0000_s1026" o:spid="_x0000_s1026" o:spt="202" type="#_x0000_t202" style="position:absolute;left:0pt;margin-left:336.05pt;margin-top:103.95pt;height:25.5pt;width:35.25pt;z-index:251753472;mso-width-relative:page;mso-height-relative:page;" filled="f" stroked="f" coordsize="21600,21600" o:gfxdata="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K8yGK&#10;2AAAAAsBAAAPAAAAAAAAAAEAIAAAACIAAABkcnMvZG93bnJldi54bWxQSwECFAAUAAAACACHTuJA&#10;Ftds168BAABRAwAADgAAAAAAAAABACAAAAAnAQAAZHJzL2Uyb0RvYy54bWxQSwUGAAAAAAYABgBZ&#10;AQAASAUAAAAA&#10;">
                <v:fill on="f" focussize="0,0"/>
                <v:stroke on="f"/>
                <v:imagedata o:title=""/>
                <o:lock v:ext="edit" aspectratio="f"/>
                <v:textbox>
                  <w:txbxContent>
                    <w:p>
                      <w:pPr>
                        <w:rPr>
                          <w:rFonts w:hint="default" w:eastAsia="宋体"/>
                          <w:lang w:val="en-US" w:eastAsia="zh-CN"/>
                        </w:rPr>
                      </w:pPr>
                      <w:r>
                        <w:rPr>
                          <w:rFonts w:hint="eastAsia"/>
                          <w:lang w:val="en-US" w:eastAsia="zh-CN"/>
                        </w:rPr>
                        <w:t>75m</w:t>
                      </w:r>
                    </w:p>
                  </w:txbxContent>
                </v:textbox>
              </v:shape>
            </w:pict>
          </mc:Fallback>
        </mc:AlternateContent>
      </w:r>
      <w:r>
        <w:rPr>
          <w:sz w:val="21"/>
        </w:rPr>
        <mc:AlternateContent>
          <mc:Choice Requires="wps">
            <w:drawing>
              <wp:anchor distT="0" distB="0" distL="114300" distR="114300" simplePos="0" relativeHeight="251752448" behindDoc="0" locked="0" layoutInCell="1" allowOverlap="1">
                <wp:simplePos x="0" y="0"/>
                <wp:positionH relativeFrom="column">
                  <wp:posOffset>4854575</wp:posOffset>
                </wp:positionH>
                <wp:positionV relativeFrom="paragraph">
                  <wp:posOffset>1184910</wp:posOffset>
                </wp:positionV>
                <wp:extent cx="2114550" cy="254635"/>
                <wp:effectExtent l="0" t="4445" r="19050" b="45720"/>
                <wp:wrapNone/>
                <wp:docPr id="128" name="直接连接符 128"/>
                <wp:cNvGraphicFramePr/>
                <a:graphic xmlns:a="http://schemas.openxmlformats.org/drawingml/2006/main">
                  <a:graphicData uri="http://schemas.microsoft.com/office/word/2010/wordprocessingShape">
                    <wps:wsp>
                      <wps:cNvCnPr/>
                      <wps:spPr>
                        <a:xfrm flipH="1">
                          <a:off x="0" y="0"/>
                          <a:ext cx="2114550" cy="254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382.25pt;margin-top:93.3pt;height:20.05pt;width:166.5pt;z-index:251752448;mso-width-relative:page;mso-height-relative:page;" filled="f" stroked="t" coordsize="21600,21600" o:gfxdata="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Uirv7ZAAAADAEAAA8AAAAAAAAAAQAgAAAAIgAA&#10;AGRycy9kb3ducmV2LnhtbFBLAQIUABQAAAAIAIdO4kBIEc5RBwIAAPgDAAAOAAAAAAAAAAEAIAAA&#10;ACgBAABkcnMvZTJvRG9jLnhtbFBLBQYAAAAABgAGAFkBAAChBQ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1652270</wp:posOffset>
                </wp:positionH>
                <wp:positionV relativeFrom="paragraph">
                  <wp:posOffset>1537970</wp:posOffset>
                </wp:positionV>
                <wp:extent cx="2483485" cy="316230"/>
                <wp:effectExtent l="635" t="38100" r="11430" b="7620"/>
                <wp:wrapNone/>
                <wp:docPr id="140" name="直接连接符 140"/>
                <wp:cNvGraphicFramePr/>
                <a:graphic xmlns:a="http://schemas.openxmlformats.org/drawingml/2006/main">
                  <a:graphicData uri="http://schemas.microsoft.com/office/word/2010/wordprocessingShape">
                    <wps:wsp>
                      <wps:cNvCnPr/>
                      <wps:spPr>
                        <a:xfrm flipV="1">
                          <a:off x="0" y="0"/>
                          <a:ext cx="2483485" cy="31623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130.1pt;margin-top:121.1pt;height:24.9pt;width:195.55pt;z-index:251751424;mso-width-relative:page;mso-height-relative:page;" filled="f" stroked="t" coordsize="21600,21600" o:gfxdata="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b6KjJ2QAAAAsBAAAPAAAAAAAAAAEAIAAAACIA&#10;AABkcnMvZG93bnJldi54bWxQSwECFAAUAAAACACHTuJA0YeFGggCAAD4AwAADgAAAAAAAAABACAA&#10;AAAoAQAAZHJzL2Uyb0RvYy54bWxQSwUGAAAAAAYABgBZAQAAogU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756544" behindDoc="0" locked="0" layoutInCell="1" allowOverlap="1">
                <wp:simplePos x="0" y="0"/>
                <wp:positionH relativeFrom="column">
                  <wp:posOffset>1479550</wp:posOffset>
                </wp:positionH>
                <wp:positionV relativeFrom="paragraph">
                  <wp:posOffset>3661410</wp:posOffset>
                </wp:positionV>
                <wp:extent cx="447675" cy="32385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447675" cy="323850"/>
                        </a:xfrm>
                        <a:prstGeom prst="rect">
                          <a:avLst/>
                        </a:prstGeom>
                        <a:noFill/>
                        <a:ln>
                          <a:noFill/>
                        </a:ln>
                      </wps:spPr>
                      <wps:txbx>
                        <w:txbxContent>
                          <w:p>
                            <w:pPr>
                              <w:rPr>
                                <w:rFonts w:hint="default" w:eastAsia="宋体"/>
                                <w:lang w:val="en-US" w:eastAsia="zh-CN"/>
                              </w:rPr>
                            </w:pPr>
                            <w:r>
                              <w:rPr>
                                <w:rFonts w:hint="eastAsia"/>
                                <w:lang w:val="en-US" w:eastAsia="zh-CN"/>
                              </w:rPr>
                              <w:t>56m</w:t>
                            </w:r>
                          </w:p>
                        </w:txbxContent>
                      </wps:txbx>
                      <wps:bodyPr upright="1"/>
                    </wps:wsp>
                  </a:graphicData>
                </a:graphic>
              </wp:anchor>
            </w:drawing>
          </mc:Choice>
          <mc:Fallback>
            <w:pict>
              <v:shape id="_x0000_s1026" o:spid="_x0000_s1026" o:spt="202" type="#_x0000_t202" style="position:absolute;left:0pt;margin-left:116.5pt;margin-top:288.3pt;height:25.5pt;width:35.25pt;z-index:251756544;mso-width-relative:page;mso-height-relative:page;" filled="f" stroked="f" coordsize="21600,21600" o:gfxdata="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WZrJ&#10;NtgAAAALAQAADwAAAAAAAAABACAAAAAiAAAAZHJzL2Rvd25yZXYueG1sUEsBAhQAFAAAAAgAh07i&#10;QPX3ueWwAQAAUQMAAA4AAAAAAAAAAQAgAAAAJwEAAGRycy9lMm9Eb2MueG1sUEsFBgAAAAAGAAYA&#10;WQEAAEkFAAAAAA==&#10;">
                <v:fill on="f" focussize="0,0"/>
                <v:stroke on="f"/>
                <v:imagedata o:title=""/>
                <o:lock v:ext="edit" aspectratio="f"/>
                <v:textbox>
                  <w:txbxContent>
                    <w:p>
                      <w:pPr>
                        <w:rPr>
                          <w:rFonts w:hint="default" w:eastAsia="宋体"/>
                          <w:lang w:val="en-US" w:eastAsia="zh-CN"/>
                        </w:rPr>
                      </w:pPr>
                      <w:r>
                        <w:rPr>
                          <w:rFonts w:hint="eastAsia"/>
                          <w:lang w:val="en-US" w:eastAsia="zh-CN"/>
                        </w:rPr>
                        <w:t>56m</w:t>
                      </w:r>
                    </w:p>
                  </w:txbxContent>
                </v:textbox>
              </v:shape>
            </w:pict>
          </mc:Fallback>
        </mc:AlternateContent>
      </w:r>
      <w:r>
        <w:rPr>
          <w:sz w:val="21"/>
        </w:rPr>
        <mc:AlternateContent>
          <mc:Choice Requires="wps">
            <w:drawing>
              <wp:anchor distT="0" distB="0" distL="114300" distR="114300" simplePos="0" relativeHeight="251754496" behindDoc="0" locked="0" layoutInCell="1" allowOverlap="1">
                <wp:simplePos x="0" y="0"/>
                <wp:positionH relativeFrom="column">
                  <wp:posOffset>1482725</wp:posOffset>
                </wp:positionH>
                <wp:positionV relativeFrom="paragraph">
                  <wp:posOffset>2029460</wp:posOffset>
                </wp:positionV>
                <wp:extent cx="175895" cy="1511300"/>
                <wp:effectExtent l="4445" t="635" r="48260" b="12065"/>
                <wp:wrapNone/>
                <wp:docPr id="113" name="直接连接符 113"/>
                <wp:cNvGraphicFramePr/>
                <a:graphic xmlns:a="http://schemas.openxmlformats.org/drawingml/2006/main">
                  <a:graphicData uri="http://schemas.microsoft.com/office/word/2010/wordprocessingShape">
                    <wps:wsp>
                      <wps:cNvCnPr/>
                      <wps:spPr>
                        <a:xfrm>
                          <a:off x="0" y="0"/>
                          <a:ext cx="175895" cy="15113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116.75pt;margin-top:159.8pt;height:119pt;width:13.85pt;z-index:251754496;mso-width-relative:page;mso-height-relative:page;" filled="f" stroked="t" coordsize="21600,21600" o:gfxdata="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Qe0M9sAAAALAQAADwAAAAAAAAABACAAAAAiAAAAZHJz&#10;L2Rvd25yZXYueG1sUEsBAhQAFAAAAAgAh07iQHs3uJ4BAgAA7gMAAA4AAAAAAAAAAQAgAAAAKgEA&#10;AGRycy9lMm9Eb2MueG1sUEsFBgAAAAAGAAYAWQEAAJ0FA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755520" behindDoc="0" locked="0" layoutInCell="1" allowOverlap="1">
                <wp:simplePos x="0" y="0"/>
                <wp:positionH relativeFrom="column">
                  <wp:posOffset>1706245</wp:posOffset>
                </wp:positionH>
                <wp:positionV relativeFrom="paragraph">
                  <wp:posOffset>4117340</wp:posOffset>
                </wp:positionV>
                <wp:extent cx="231775" cy="1915160"/>
                <wp:effectExtent l="38735" t="0" r="15240" b="8890"/>
                <wp:wrapNone/>
                <wp:docPr id="137" name="直接连接符 137"/>
                <wp:cNvGraphicFramePr/>
                <a:graphic xmlns:a="http://schemas.openxmlformats.org/drawingml/2006/main">
                  <a:graphicData uri="http://schemas.microsoft.com/office/word/2010/wordprocessingShape">
                    <wps:wsp>
                      <wps:cNvCnPr/>
                      <wps:spPr>
                        <a:xfrm flipH="1" flipV="1">
                          <a:off x="0" y="0"/>
                          <a:ext cx="231775" cy="191516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134.35pt;margin-top:324.2pt;height:150.8pt;width:18.25pt;z-index:251755520;mso-width-relative:page;mso-height-relative:page;" filled="f" stroked="t" coordsize="21600,21600" o:gfxdata="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J5lofbAAAACwEAAA8AAAAAAAAA&#10;AQAgAAAAIgAAAGRycy9kb3ducmV2LnhtbFBLAQIUABQAAAAIAIdO4kDk8Cr/DgIAAAIEAAAOAAAA&#10;AAAAAAEAIAAAACoBAABkcnMvZTJvRG9jLnhtbFBLBQYAAAAABgAGAFkBAACqBQ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770880" behindDoc="0" locked="0" layoutInCell="1" allowOverlap="1">
                <wp:simplePos x="0" y="0"/>
                <wp:positionH relativeFrom="column">
                  <wp:posOffset>4949190</wp:posOffset>
                </wp:positionH>
                <wp:positionV relativeFrom="paragraph">
                  <wp:posOffset>5512435</wp:posOffset>
                </wp:positionV>
                <wp:extent cx="114300" cy="314325"/>
                <wp:effectExtent l="4445" t="4445" r="14605" b="5080"/>
                <wp:wrapNone/>
                <wp:docPr id="122" name="流程图: 磁盘 122"/>
                <wp:cNvGraphicFramePr/>
                <a:graphic xmlns:a="http://schemas.openxmlformats.org/drawingml/2006/main">
                  <a:graphicData uri="http://schemas.microsoft.com/office/word/2010/wordprocessingShape">
                    <wps:wsp>
                      <wps:cNvSpPr/>
                      <wps:spPr>
                        <a:xfrm>
                          <a:off x="0" y="0"/>
                          <a:ext cx="114300" cy="314325"/>
                        </a:xfrm>
                        <a:prstGeom prst="flowChartMagneticDisk">
                          <a:avLst/>
                        </a:prstGeom>
                        <a:solidFill>
                          <a:srgbClr val="00B05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32" type="#_x0000_t132" style="position:absolute;left:0pt;margin-left:389.7pt;margin-top:434.05pt;height:24.75pt;width:9pt;z-index:251770880;mso-width-relative:page;mso-height-relative:page;" fillcolor="#00B050" filled="t" stroked="t" coordsize="21600,21600" o:gfxdata="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ZacVT3AAAAAsB&#10;AAAPAAAAAAAAAAEAIAAAACIAAABkcnMvZG93bnJldi54bWxQSwECFAAUAAAACACHTuJA2wfKqxcC&#10;AAAzBAAADgAAAAAAAAABACAAAAArAQAAZHJzL2Uyb0RvYy54bWxQSwUGAAAAAAYABgBZAQAAtAUA&#10;AAAA&#1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4754880</wp:posOffset>
                </wp:positionH>
                <wp:positionV relativeFrom="paragraph">
                  <wp:posOffset>5690870</wp:posOffset>
                </wp:positionV>
                <wp:extent cx="180975" cy="171450"/>
                <wp:effectExtent l="4445" t="4445" r="5080" b="14605"/>
                <wp:wrapNone/>
                <wp:docPr id="143" name="流程图: 过程 143"/>
                <wp:cNvGraphicFramePr/>
                <a:graphic xmlns:a="http://schemas.openxmlformats.org/drawingml/2006/main">
                  <a:graphicData uri="http://schemas.microsoft.com/office/word/2010/wordprocessingShape">
                    <wps:wsp>
                      <wps:cNvSpPr/>
                      <wps:spPr>
                        <a:xfrm>
                          <a:off x="0" y="0"/>
                          <a:ext cx="180975" cy="171450"/>
                        </a:xfrm>
                        <a:prstGeom prst="flowChartProcess">
                          <a:avLst/>
                        </a:prstGeom>
                        <a:solidFill>
                          <a:srgbClr val="00B05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09" type="#_x0000_t109" style="position:absolute;left:0pt;margin-left:374.4pt;margin-top:448.1pt;height:13.5pt;width:14.25pt;z-index:251769856;mso-width-relative:page;mso-height-relative:page;" fillcolor="#00B050" filled="t" stroked="t" coordsize="21600,21600" o:gfxdata="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Meb4XbAAAACwEA&#10;AA8AAAAAAAAAAQAgAAAAIgAAAGRycy9kb3ducmV2LnhtbFBLAQIUABQAAAAIAIdO4kCFfqNOFwIA&#10;ADgEAAAOAAAAAAAAAAEAIAAAACoBAABkcnMvZTJvRG9jLnhtbFBLBQYAAAAABgAGAFkBAACzBQAA&#10;AAA=&#1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67808" behindDoc="0" locked="0" layoutInCell="1" allowOverlap="1">
                <wp:simplePos x="0" y="0"/>
                <wp:positionH relativeFrom="column">
                  <wp:posOffset>6952615</wp:posOffset>
                </wp:positionH>
                <wp:positionV relativeFrom="paragraph">
                  <wp:posOffset>3430270</wp:posOffset>
                </wp:positionV>
                <wp:extent cx="645795" cy="76200"/>
                <wp:effectExtent l="39370" t="7620" r="55880" b="13335"/>
                <wp:wrapNone/>
                <wp:docPr id="130" name="矩形 130"/>
                <wp:cNvGraphicFramePr/>
                <a:graphic xmlns:a="http://schemas.openxmlformats.org/drawingml/2006/main">
                  <a:graphicData uri="http://schemas.microsoft.com/office/word/2010/wordprocessingShape">
                    <wps:wsp>
                      <wps:cNvSpPr/>
                      <wps:spPr>
                        <a:xfrm rot="-5760000">
                          <a:off x="0" y="0"/>
                          <a:ext cx="645795" cy="7620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47.45pt;margin-top:270.1pt;height:6pt;width:50.85pt;rotation:-6291456f;z-index:251767808;mso-width-relative:page;mso-height-relative:page;" fillcolor="#FFFFFF" filled="t" stroked="t" coordsize="21600,21600" o:gfxdata="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RlDL62gAAAA0BAAAPAAAAAAAAAAEAIAAAACIA&#10;AABkcnMvZG93bnJldi54bWxQSwECFAAUAAAACACHTuJAroCCaAcCAAAvBAAADgAAAAAAAAABACAA&#10;AAApAQAAZHJzL2Uyb0RvYy54bWxQSwUGAAAAAAYABgBZAQAAogU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3654425</wp:posOffset>
                </wp:positionH>
                <wp:positionV relativeFrom="paragraph">
                  <wp:posOffset>6396990</wp:posOffset>
                </wp:positionV>
                <wp:extent cx="3348990" cy="8001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3348990" cy="800100"/>
                        </a:xfrm>
                        <a:prstGeom prst="rect">
                          <a:avLst/>
                        </a:prstGeom>
                        <a:noFill/>
                        <a:ln>
                          <a:noFill/>
                        </a:ln>
                      </wps:spPr>
                      <wps:txbx>
                        <w:txbxContent>
                          <w:p>
                            <w:pPr>
                              <w:jc w:val="center"/>
                              <w:rPr>
                                <w:rFonts w:hint="default"/>
                                <w:b/>
                                <w:bCs/>
                                <w:sz w:val="28"/>
                                <w:szCs w:val="36"/>
                                <w:lang w:val="en-US" w:eastAsia="zh-CN"/>
                              </w:rPr>
                            </w:pPr>
                            <w:r>
                              <w:rPr>
                                <w:rFonts w:hint="eastAsia"/>
                                <w:b/>
                                <w:bCs/>
                                <w:sz w:val="28"/>
                                <w:szCs w:val="36"/>
                                <w:lang w:val="en-US" w:eastAsia="zh-CN"/>
                              </w:rPr>
                              <w:t>附图3-2  项目扩建飞灰库平面布局图</w:t>
                            </w:r>
                          </w:p>
                        </w:txbxContent>
                      </wps:txbx>
                      <wps:bodyPr upright="1"/>
                    </wps:wsp>
                  </a:graphicData>
                </a:graphic>
              </wp:anchor>
            </w:drawing>
          </mc:Choice>
          <mc:Fallback>
            <w:pict>
              <v:shape id="_x0000_s1026" o:spid="_x0000_s1026" o:spt="202" type="#_x0000_t202" style="position:absolute;left:0pt;margin-left:287.75pt;margin-top:503.7pt;height:63pt;width:263.7pt;z-index:251757568;mso-width-relative:page;mso-height-relative:page;" filled="f" stroked="f" coordsize="21600,21600" o:gfxdata="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ATl3T&#10;2QAAAA4BAAAPAAAAAAAAAAEAIAAAACIAAABkcnMvZG93bnJldi54bWxQSwECFAAUAAAACACHTuJA&#10;5H5rYq4BAABSAwAADgAAAAAAAAABACAAAAAoAQAAZHJzL2Uyb0RvYy54bWxQSwUGAAAAAAYABgBZ&#10;AQAASAUAAAAA&#10;">
                <v:fill on="f" focussize="0,0"/>
                <v:stroke on="f"/>
                <v:imagedata o:title=""/>
                <o:lock v:ext="edit" aspectratio="f"/>
                <v:textbox>
                  <w:txbxContent>
                    <w:p>
                      <w:pPr>
                        <w:jc w:val="center"/>
                        <w:rPr>
                          <w:rFonts w:hint="default"/>
                          <w:b/>
                          <w:bCs/>
                          <w:sz w:val="28"/>
                          <w:szCs w:val="36"/>
                          <w:lang w:val="en-US" w:eastAsia="zh-CN"/>
                        </w:rPr>
                      </w:pPr>
                      <w:r>
                        <w:rPr>
                          <w:rFonts w:hint="eastAsia"/>
                          <w:b/>
                          <w:bCs/>
                          <w:sz w:val="28"/>
                          <w:szCs w:val="36"/>
                          <w:lang w:val="en-US" w:eastAsia="zh-CN"/>
                        </w:rPr>
                        <w:t>附图3-2  项目扩建飞灰库平面布局图</w:t>
                      </w:r>
                    </w:p>
                  </w:txbxContent>
                </v:textbox>
              </v:shape>
            </w:pict>
          </mc:Fallback>
        </mc:AlternateContent>
      </w:r>
      <w:r>
        <w:rPr>
          <w:sz w:val="21"/>
        </w:rPr>
        <mc:AlternateContent>
          <mc:Choice Requires="wps">
            <w:drawing>
              <wp:anchor distT="0" distB="0" distL="114300" distR="114300" simplePos="0" relativeHeight="251748352" behindDoc="0" locked="0" layoutInCell="1" allowOverlap="1">
                <wp:simplePos x="0" y="0"/>
                <wp:positionH relativeFrom="column">
                  <wp:posOffset>2559050</wp:posOffset>
                </wp:positionH>
                <wp:positionV relativeFrom="paragraph">
                  <wp:posOffset>968375</wp:posOffset>
                </wp:positionV>
                <wp:extent cx="4031615" cy="5400040"/>
                <wp:effectExtent l="231140" t="319405" r="236220" b="335280"/>
                <wp:wrapNone/>
                <wp:docPr id="124" name="矩形 124"/>
                <wp:cNvGraphicFramePr/>
                <a:graphic xmlns:a="http://schemas.openxmlformats.org/drawingml/2006/main">
                  <a:graphicData uri="http://schemas.microsoft.com/office/word/2010/wordprocessingShape">
                    <wps:wsp>
                      <wps:cNvSpPr/>
                      <wps:spPr>
                        <a:xfrm rot="-5820000">
                          <a:off x="0" y="0"/>
                          <a:ext cx="4031615" cy="5400040"/>
                        </a:xfrm>
                        <a:prstGeom prst="rect">
                          <a:avLst/>
                        </a:prstGeom>
                        <a:noFill/>
                        <a:ln w="6350"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01.5pt;margin-top:76.25pt;height:425.2pt;width:317.45pt;rotation:-6356992f;z-index:251748352;mso-width-relative:page;mso-height-relative:page;" filled="f" stroked="t" coordsize="21600,21600" o:gfxdata="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9sIBjbAAAADQEAAA8AAAAAAAAAAQAgAAAAIgAA&#10;AGRycy9kb3ducmV2LnhtbFBLAQIUABQAAAAIAIdO4kB44FmKBQIAAAkEAAAOAAAAAAAAAAEAIAAA&#10;ACoBAABkcnMvZTJvRG9jLnhtbFBLBQYAAAAABgAGAFkBAAChBQAAAAA=&#10;">
                <v:fill on="f" focussize="0,0"/>
                <v:stroke weight="0.5pt" color="#000000" joinstyle="miter"/>
                <v:imagedata o:title=""/>
                <o:lock v:ext="edit" aspectratio="f"/>
              </v:rect>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6798945</wp:posOffset>
                </wp:positionH>
                <wp:positionV relativeFrom="paragraph">
                  <wp:posOffset>5691505</wp:posOffset>
                </wp:positionV>
                <wp:extent cx="2657475" cy="44767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2657475" cy="447675"/>
                        </a:xfrm>
                        <a:prstGeom prst="rect">
                          <a:avLst/>
                        </a:prstGeom>
                        <a:noFill/>
                        <a:ln>
                          <a:noFill/>
                        </a:ln>
                      </wps:spPr>
                      <wps:txbx>
                        <w:txbxContent>
                          <w:p>
                            <w:pPr>
                              <w:rPr>
                                <w:rFonts w:hint="default" w:eastAsia="宋体"/>
                                <w:lang w:val="en-US" w:eastAsia="zh-CN"/>
                              </w:rPr>
                            </w:pPr>
                            <w:r>
                              <w:rPr>
                                <w:rFonts w:hint="eastAsia"/>
                                <w:lang w:val="en-US" w:eastAsia="zh-CN"/>
                              </w:rPr>
                              <w:t>比例尺：1:500</w:t>
                            </w:r>
                          </w:p>
                        </w:txbxContent>
                      </wps:txbx>
                      <wps:bodyPr upright="1"/>
                    </wps:wsp>
                  </a:graphicData>
                </a:graphic>
              </wp:anchor>
            </w:drawing>
          </mc:Choice>
          <mc:Fallback>
            <w:pict>
              <v:shape id="_x0000_s1026" o:spid="_x0000_s1026" o:spt="202" type="#_x0000_t202" style="position:absolute;left:0pt;margin-left:535.35pt;margin-top:448.15pt;height:35.25pt;width:209.25pt;z-index:251750400;mso-width-relative:page;mso-height-relative:page;" filled="f" stroked="f" coordsize="21600,21600" o:gfxdata="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ggFV&#10;LtoAAAANAQAADwAAAAAAAAABACAAAAAiAAAAZHJzL2Rvd25yZXYueG1sUEsBAhQAFAAAAAgAh07i&#10;QJXBQIWuAQAAUgMAAA4AAAAAAAAAAQAgAAAAKQEAAGRycy9lMm9Eb2MueG1sUEsFBgAAAAAGAAYA&#10;WQEAAEkFAAAAAA==&#10;">
                <v:fill on="f" focussize="0,0"/>
                <v:stroke on="f"/>
                <v:imagedata o:title=""/>
                <o:lock v:ext="edit" aspectratio="f"/>
                <v:textbox>
                  <w:txbxContent>
                    <w:p>
                      <w:pPr>
                        <w:rPr>
                          <w:rFonts w:hint="default" w:eastAsia="宋体"/>
                          <w:lang w:val="en-US" w:eastAsia="zh-CN"/>
                        </w:rPr>
                      </w:pPr>
                      <w:r>
                        <w:rPr>
                          <w:rFonts w:hint="eastAsia"/>
                          <w:lang w:val="en-US" w:eastAsia="zh-CN"/>
                        </w:rPr>
                        <w:t>比例尺：1:500</w:t>
                      </w:r>
                    </w:p>
                  </w:txbxContent>
                </v:textbox>
              </v:shape>
            </w:pict>
          </mc:Fallback>
        </mc:AlternateContent>
      </w:r>
      <w:r>
        <w:rPr>
          <w:rFonts w:ascii="宋体" w:hAnsi="宋体"/>
        </w:rPr>
        <w:drawing>
          <wp:anchor distT="0" distB="0" distL="114300" distR="114300" simplePos="0" relativeHeight="251749376" behindDoc="0" locked="0" layoutInCell="1" allowOverlap="1">
            <wp:simplePos x="0" y="0"/>
            <wp:positionH relativeFrom="column">
              <wp:posOffset>9107805</wp:posOffset>
            </wp:positionH>
            <wp:positionV relativeFrom="paragraph">
              <wp:posOffset>13970</wp:posOffset>
            </wp:positionV>
            <wp:extent cx="676910" cy="765175"/>
            <wp:effectExtent l="9525" t="9525" r="18415" b="25400"/>
            <wp:wrapNone/>
            <wp:docPr id="1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5"/>
                    <pic:cNvPicPr>
                      <a:picLocks noChangeAspect="1"/>
                    </pic:cNvPicPr>
                  </pic:nvPicPr>
                  <pic:blipFill>
                    <a:blip r:embed="rId26"/>
                    <a:stretch>
                      <a:fillRect/>
                    </a:stretch>
                  </pic:blipFill>
                  <pic:spPr>
                    <a:xfrm>
                      <a:off x="0" y="0"/>
                      <a:ext cx="676910" cy="765175"/>
                    </a:xfrm>
                    <a:prstGeom prst="rect">
                      <a:avLst/>
                    </a:prstGeom>
                    <a:noFill/>
                    <a:ln w="9525" cap="flat" cmpd="sng">
                      <a:solidFill>
                        <a:srgbClr val="000000"/>
                      </a:solidFill>
                      <a:prstDash val="solid"/>
                      <a:miter/>
                      <a:headEnd type="none" w="med" len="med"/>
                      <a:tailEnd type="none" w="med" len="med"/>
                    </a:ln>
                  </pic:spPr>
                </pic:pic>
              </a:graphicData>
            </a:graphic>
          </wp:anchor>
        </w:drawing>
      </w:r>
    </w:p>
    <w:p>
      <w:pPr>
        <w:jc w:val="both"/>
        <w:sectPr>
          <w:pgSz w:w="16838" w:h="11906" w:orient="landscape"/>
          <w:pgMar w:top="153" w:right="720" w:bottom="96" w:left="720" w:header="851" w:footer="992" w:gutter="0"/>
          <w:cols w:space="720" w:num="1"/>
          <w:docGrid w:type="lines" w:linePitch="312" w:charSpace="0"/>
        </w:sectPr>
      </w:pPr>
      <w:r>
        <w:rPr>
          <w:rFonts w:ascii="宋体" w:hAnsi="宋体"/>
        </w:rPr>
        <w:drawing>
          <wp:anchor distT="0" distB="0" distL="114300" distR="114300" simplePos="0" relativeHeight="251723776" behindDoc="0" locked="0" layoutInCell="1" allowOverlap="1">
            <wp:simplePos x="0" y="0"/>
            <wp:positionH relativeFrom="column">
              <wp:posOffset>9349740</wp:posOffset>
            </wp:positionH>
            <wp:positionV relativeFrom="paragraph">
              <wp:posOffset>27305</wp:posOffset>
            </wp:positionV>
            <wp:extent cx="408305" cy="461645"/>
            <wp:effectExtent l="9525" t="9525" r="20320" b="24130"/>
            <wp:wrapNone/>
            <wp:docPr id="12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6"/>
                    <pic:cNvPicPr>
                      <a:picLocks noChangeAspect="1"/>
                    </pic:cNvPicPr>
                  </pic:nvPicPr>
                  <pic:blipFill>
                    <a:blip r:embed="rId26"/>
                    <a:stretch>
                      <a:fillRect/>
                    </a:stretch>
                  </pic:blipFill>
                  <pic:spPr>
                    <a:xfrm>
                      <a:off x="0" y="0"/>
                      <a:ext cx="408305" cy="461645"/>
                    </a:xfrm>
                    <a:prstGeom prst="rect">
                      <a:avLst/>
                    </a:prstGeom>
                    <a:noFill/>
                    <a:ln w="9525" cap="flat" cmpd="sng">
                      <a:solidFill>
                        <a:srgbClr val="000000"/>
                      </a:solidFill>
                      <a:prstDash val="solid"/>
                      <a:miter/>
                      <a:headEnd type="none" w="med" len="med"/>
                      <a:tailEnd type="none" w="med" len="med"/>
                    </a:ln>
                  </pic:spPr>
                </pic:pic>
              </a:graphicData>
            </a:graphic>
          </wp:anchor>
        </w:drawing>
      </w:r>
      <w:r>
        <mc:AlternateContent>
          <mc:Choice Requires="wps">
            <w:drawing>
              <wp:anchor distT="0" distB="0" distL="114300" distR="114300" simplePos="0" relativeHeight="251724800" behindDoc="0" locked="0" layoutInCell="1" allowOverlap="1">
                <wp:simplePos x="0" y="0"/>
                <wp:positionH relativeFrom="column">
                  <wp:posOffset>4783455</wp:posOffset>
                </wp:positionH>
                <wp:positionV relativeFrom="paragraph">
                  <wp:posOffset>3893820</wp:posOffset>
                </wp:positionV>
                <wp:extent cx="937260" cy="314325"/>
                <wp:effectExtent l="6350" t="858520" r="8890" b="8255"/>
                <wp:wrapNone/>
                <wp:docPr id="142" name="圆角矩形标注 142"/>
                <wp:cNvGraphicFramePr/>
                <a:graphic xmlns:a="http://schemas.openxmlformats.org/drawingml/2006/main">
                  <a:graphicData uri="http://schemas.microsoft.com/office/word/2010/wordprocessingShape">
                    <wps:wsp>
                      <wps:cNvSpPr/>
                      <wps:spPr>
                        <a:xfrm rot="10800000">
                          <a:off x="0" y="0"/>
                          <a:ext cx="937260" cy="314325"/>
                        </a:xfrm>
                        <a:prstGeom prst="wedgeRoundRectCallout">
                          <a:avLst>
                            <a:gd name="adj1" fmla="val -9958"/>
                            <a:gd name="adj2" fmla="val 308787"/>
                            <a:gd name="adj3" fmla="val 16667"/>
                          </a:avLst>
                        </a:prstGeom>
                        <a:solidFill>
                          <a:srgbClr val="FFFF00"/>
                        </a:solidFill>
                        <a:ln w="12700" cap="flat" cmpd="sng">
                          <a:solidFill>
                            <a:srgbClr val="000000"/>
                          </a:solidFill>
                          <a:prstDash val="solid"/>
                          <a:miter/>
                          <a:headEnd type="none" w="med" len="med"/>
                          <a:tailEnd type="none" w="med" len="med"/>
                        </a:ln>
                      </wps:spPr>
                      <wps:txbx>
                        <w:txbxContent>
                          <w:p>
                            <w:pPr>
                              <w:rPr>
                                <w:sz w:val="24"/>
                                <w:szCs w:val="24"/>
                              </w:rPr>
                            </w:pPr>
                            <w:r>
                              <w:rPr>
                                <w:rFonts w:hint="eastAsia"/>
                                <w:sz w:val="24"/>
                                <w:szCs w:val="24"/>
                              </w:rPr>
                              <w:t>项目位置</w:t>
                            </w:r>
                          </w:p>
                        </w:txbxContent>
                      </wps:txbx>
                      <wps:bodyPr upright="1"/>
                    </wps:wsp>
                  </a:graphicData>
                </a:graphic>
              </wp:anchor>
            </w:drawing>
          </mc:Choice>
          <mc:Fallback>
            <w:pict>
              <v:shape id="_x0000_s1026" o:spid="_x0000_s1026" o:spt="62" type="#_x0000_t62" style="position:absolute;left:0pt;margin-left:376.65pt;margin-top:306.6pt;height:24.75pt;width:73.8pt;rotation:11796480f;z-index:251724800;mso-width-relative:page;mso-height-relative:page;" fillcolor="#FFFF00" filled="t" stroked="t" coordsize="21600,21600" o:gfxdata="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X/nn3XAAAACwEAAA8AAAAAAAAAAQAgAAAAIgAAAGRycy9kb3ducmV2LnhtbFBLAQIUABQAAAAI&#10;AIdO4kDkUUMqYAIAAM8EAAAOAAAAAAAAAAEAIAAAACYBAABkcnMvZTJvRG9jLnhtbFBLBQYAAAAA&#10;BgAGAFkBAAD4BQAAAAA=&#10;" adj="8649,77498,14400">
                <v:fill on="t" focussize="0,0"/>
                <v:stroke weight="1pt" color="#000000" joinstyle="miter"/>
                <v:imagedata o:title=""/>
                <o:lock v:ext="edit" aspectratio="f"/>
                <v:textbox>
                  <w:txbxContent>
                    <w:p>
                      <w:pPr>
                        <w:rPr>
                          <w:sz w:val="24"/>
                          <w:szCs w:val="24"/>
                        </w:rPr>
                      </w:pPr>
                      <w:r>
                        <w:rPr>
                          <w:rFonts w:hint="eastAsia"/>
                          <w:sz w:val="24"/>
                          <w:szCs w:val="24"/>
                        </w:rPr>
                        <w:t>项目位置</w:t>
                      </w:r>
                    </w:p>
                  </w:txbxContent>
                </v:textbox>
              </v:shape>
            </w:pict>
          </mc:Fallback>
        </mc:AlternateContent>
      </w:r>
      <w:r>
        <w:drawing>
          <wp:inline distT="0" distB="0" distL="114300" distR="114300">
            <wp:extent cx="9768205" cy="5927725"/>
            <wp:effectExtent l="0" t="0" r="4445" b="15875"/>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
                    <pic:cNvPicPr>
                      <a:picLocks noChangeAspect="1"/>
                    </pic:cNvPicPr>
                  </pic:nvPicPr>
                  <pic:blipFill>
                    <a:blip r:embed="rId30"/>
                    <a:stretch>
                      <a:fillRect/>
                    </a:stretch>
                  </pic:blipFill>
                  <pic:spPr>
                    <a:xfrm>
                      <a:off x="0" y="0"/>
                      <a:ext cx="9768205" cy="5927725"/>
                    </a:xfrm>
                    <a:prstGeom prst="rect">
                      <a:avLst/>
                    </a:prstGeom>
                    <a:noFill/>
                    <a:ln>
                      <a:noFill/>
                    </a:ln>
                  </pic:spPr>
                </pic:pic>
              </a:graphicData>
            </a:graphic>
          </wp:inline>
        </w:drawing>
      </w:r>
    </w:p>
    <w:p>
      <w:pPr>
        <w:jc w:val="both"/>
        <w:sectPr>
          <w:pgSz w:w="16838" w:h="11906" w:orient="landscape"/>
          <w:pgMar w:top="153" w:right="720" w:bottom="96" w:left="720" w:header="851" w:footer="992" w:gutter="0"/>
          <w:cols w:space="720" w:num="1"/>
          <w:docGrid w:type="lines" w:linePitch="312" w:charSpace="0"/>
        </w:sectPr>
      </w:pPr>
      <w:r>
        <w:rPr>
          <w:sz w:val="21"/>
        </w:rPr>
        <mc:AlternateContent>
          <mc:Choice Requires="wps">
            <w:drawing>
              <wp:anchor distT="0" distB="0" distL="114300" distR="114300" simplePos="0" relativeHeight="251765760" behindDoc="0" locked="0" layoutInCell="1" allowOverlap="1">
                <wp:simplePos x="0" y="0"/>
                <wp:positionH relativeFrom="column">
                  <wp:posOffset>5783580</wp:posOffset>
                </wp:positionH>
                <wp:positionV relativeFrom="paragraph">
                  <wp:posOffset>3694430</wp:posOffset>
                </wp:positionV>
                <wp:extent cx="296545" cy="222250"/>
                <wp:effectExtent l="38100" t="55245" r="46355" b="65405"/>
                <wp:wrapNone/>
                <wp:docPr id="127" name="矩形 127"/>
                <wp:cNvGraphicFramePr/>
                <a:graphic xmlns:a="http://schemas.openxmlformats.org/drawingml/2006/main">
                  <a:graphicData uri="http://schemas.microsoft.com/office/word/2010/wordprocessingShape">
                    <wps:wsp>
                      <wps:cNvSpPr/>
                      <wps:spPr>
                        <a:xfrm rot="-1380000">
                          <a:off x="0" y="0"/>
                          <a:ext cx="296545" cy="222250"/>
                        </a:xfrm>
                        <a:prstGeom prst="rect">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55.4pt;margin-top:290.9pt;height:17.5pt;width:23.35pt;rotation:-1507328f;z-index:251765760;mso-width-relative:page;mso-height-relative:page;" fillcolor="#FFFF00" filled="t" stroked="t" coordsize="21600,21600" o:gfxdata="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&#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XYXVI1wAAAAsBAAAPAAAAAAAAAAEAIAAAACIAAABk&#10;cnMvZG93bnJldi54bWxQSwECFAAUAAAACACHTuJArfDBmQcCAAAwBAAADgAAAAAAAAABACAAAAAm&#10;AQAAZHJzL2Uyb0RvYy54bWxQSwUGAAAAAAYABgBZAQAAnwUAAAAA&#10;">
                <v:fill on="t" focussize="0,0"/>
                <v:stroke color="#000000" joinstyle="miter"/>
                <v:imagedata o:title=""/>
                <o:lock v:ext="edit" aspectratio="f"/>
              </v:rect>
            </w:pict>
          </mc:Fallback>
        </mc:AlternateContent>
      </w:r>
      <w:r>
        <mc:AlternateContent>
          <mc:Choice Requires="wps">
            <w:drawing>
              <wp:anchor distT="0" distB="0" distL="114300" distR="114300" simplePos="0" relativeHeight="251764736" behindDoc="0" locked="0" layoutInCell="1" allowOverlap="1">
                <wp:simplePos x="0" y="0"/>
                <wp:positionH relativeFrom="column">
                  <wp:posOffset>5386070</wp:posOffset>
                </wp:positionH>
                <wp:positionV relativeFrom="paragraph">
                  <wp:posOffset>4747895</wp:posOffset>
                </wp:positionV>
                <wp:extent cx="937260" cy="314325"/>
                <wp:effectExtent l="6350" t="858520" r="8890" b="8255"/>
                <wp:wrapNone/>
                <wp:docPr id="132" name="圆角矩形标注 132"/>
                <wp:cNvGraphicFramePr/>
                <a:graphic xmlns:a="http://schemas.openxmlformats.org/drawingml/2006/main">
                  <a:graphicData uri="http://schemas.microsoft.com/office/word/2010/wordprocessingShape">
                    <wps:wsp>
                      <wps:cNvSpPr/>
                      <wps:spPr>
                        <a:xfrm rot="10800000">
                          <a:off x="0" y="0"/>
                          <a:ext cx="937260" cy="314325"/>
                        </a:xfrm>
                        <a:prstGeom prst="wedgeRoundRectCallout">
                          <a:avLst>
                            <a:gd name="adj1" fmla="val -9958"/>
                            <a:gd name="adj2" fmla="val 308787"/>
                            <a:gd name="adj3" fmla="val 16667"/>
                          </a:avLst>
                        </a:prstGeom>
                        <a:solidFill>
                          <a:srgbClr val="FFFF00"/>
                        </a:solidFill>
                        <a:ln w="12700" cap="flat" cmpd="sng">
                          <a:solidFill>
                            <a:srgbClr val="000000"/>
                          </a:solidFill>
                          <a:prstDash val="solid"/>
                          <a:miter/>
                          <a:headEnd type="none" w="med" len="med"/>
                          <a:tailEnd type="none" w="med" len="med"/>
                        </a:ln>
                      </wps:spPr>
                      <wps:txbx>
                        <w:txbxContent>
                          <w:p>
                            <w:pPr>
                              <w:rPr>
                                <w:sz w:val="24"/>
                                <w:szCs w:val="24"/>
                              </w:rPr>
                            </w:pPr>
                            <w:r>
                              <w:rPr>
                                <w:rFonts w:hint="eastAsia"/>
                                <w:sz w:val="24"/>
                                <w:szCs w:val="24"/>
                              </w:rPr>
                              <w:t>项目位置</w:t>
                            </w:r>
                          </w:p>
                        </w:txbxContent>
                      </wps:txbx>
                      <wps:bodyPr upright="1"/>
                    </wps:wsp>
                  </a:graphicData>
                </a:graphic>
              </wp:anchor>
            </w:drawing>
          </mc:Choice>
          <mc:Fallback>
            <w:pict>
              <v:shape id="_x0000_s1026" o:spid="_x0000_s1026" o:spt="62" type="#_x0000_t62" style="position:absolute;left:0pt;margin-left:424.1pt;margin-top:373.85pt;height:24.75pt;width:73.8pt;rotation:11796480f;z-index:251764736;mso-width-relative:page;mso-height-relative:page;" fillcolor="#FFFF00" filled="t" stroked="t" coordsize="21600,21600" o:gfxdata="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ButgjXAAAACwEAAA8AAAAAAAAAAQAgAAAAIgAAAGRycy9kb3ducmV2LnhtbFBLAQIUABQAAAAI&#10;AIdO4kDr53/5YAIAAM8EAAAOAAAAAAAAAAEAIAAAACYBAABkcnMvZTJvRG9jLnhtbFBLBQYAAAAA&#10;BgAGAFkBAAD4BQAAAAA=&#10;" adj="8649,77498,14400">
                <v:fill on="t" focussize="0,0"/>
                <v:stroke weight="1pt" color="#000000" joinstyle="miter"/>
                <v:imagedata o:title=""/>
                <o:lock v:ext="edit" aspectratio="f"/>
                <v:textbox>
                  <w:txbxContent>
                    <w:p>
                      <w:pPr>
                        <w:rPr>
                          <w:sz w:val="24"/>
                          <w:szCs w:val="24"/>
                        </w:rPr>
                      </w:pPr>
                      <w:r>
                        <w:rPr>
                          <w:rFonts w:hint="eastAsia"/>
                          <w:sz w:val="24"/>
                          <w:szCs w:val="24"/>
                        </w:rPr>
                        <w:t>项目位置</w:t>
                      </w:r>
                    </w:p>
                  </w:txbxContent>
                </v:textbox>
              </v:shape>
            </w:pict>
          </mc:Fallback>
        </mc:AlternateContent>
      </w:r>
      <w:r>
        <w:drawing>
          <wp:inline distT="0" distB="0" distL="114300" distR="114300">
            <wp:extent cx="9771380" cy="6696710"/>
            <wp:effectExtent l="0" t="0" r="1270" b="8890"/>
            <wp:docPr id="1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
                    <pic:cNvPicPr>
                      <a:picLocks noChangeAspect="1"/>
                    </pic:cNvPicPr>
                  </pic:nvPicPr>
                  <pic:blipFill>
                    <a:blip r:embed="rId31"/>
                    <a:stretch>
                      <a:fillRect/>
                    </a:stretch>
                  </pic:blipFill>
                  <pic:spPr>
                    <a:xfrm>
                      <a:off x="0" y="0"/>
                      <a:ext cx="9771380" cy="6696710"/>
                    </a:xfrm>
                    <a:prstGeom prst="rect">
                      <a:avLst/>
                    </a:prstGeom>
                    <a:noFill/>
                    <a:ln>
                      <a:noFill/>
                    </a:ln>
                  </pic:spPr>
                </pic:pic>
              </a:graphicData>
            </a:graphic>
          </wp:inline>
        </w:drawing>
      </w:r>
    </w:p>
    <w:p>
      <w:pPr>
        <w:jc w:val="both"/>
        <w:sectPr>
          <w:pgSz w:w="16838" w:h="11906" w:orient="landscape"/>
          <w:pgMar w:top="153" w:right="720" w:bottom="96" w:left="720" w:header="851" w:footer="992" w:gutter="0"/>
          <w:cols w:space="720" w:num="1"/>
          <w:docGrid w:type="lines" w:linePitch="312" w:charSpace="0"/>
        </w:sectPr>
      </w:pPr>
      <w:r>
        <w:rPr>
          <w:sz w:val="21"/>
        </w:rPr>
        <mc:AlternateContent>
          <mc:Choice Requires="wps">
            <w:drawing>
              <wp:anchor distT="0" distB="0" distL="114300" distR="114300" simplePos="0" relativeHeight="251739136" behindDoc="0" locked="0" layoutInCell="1" allowOverlap="1">
                <wp:simplePos x="0" y="0"/>
                <wp:positionH relativeFrom="column">
                  <wp:posOffset>5169535</wp:posOffset>
                </wp:positionH>
                <wp:positionV relativeFrom="paragraph">
                  <wp:posOffset>3569970</wp:posOffset>
                </wp:positionV>
                <wp:extent cx="156210" cy="129540"/>
                <wp:effectExtent l="16510" t="13335" r="17780" b="28575"/>
                <wp:wrapNone/>
                <wp:docPr id="144" name="五角星 144"/>
                <wp:cNvGraphicFramePr/>
                <a:graphic xmlns:a="http://schemas.openxmlformats.org/drawingml/2006/main">
                  <a:graphicData uri="http://schemas.microsoft.com/office/word/2010/wordprocessingShape">
                    <wps:wsp>
                      <wps:cNvSpPr/>
                      <wps:spPr>
                        <a:xfrm>
                          <a:off x="0" y="0"/>
                          <a:ext cx="156210" cy="129540"/>
                        </a:xfrm>
                        <a:prstGeom prst="star5">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07.05pt;margin-top:281.1pt;height:10.2pt;width:12.3pt;z-index:251739136;mso-width-relative:page;mso-height-relative:page;" fillcolor="#FFFFFF" filled="t" stroked="t" coordsize="156210,129540" o:gfxdata="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BoE/72wAAAAsBAAAPAAAAAAAAAAEAIAAAACIA&#10;AABkcnMvZG93bnJldi54bWxQSwECFAAUAAAACACHTuJAtswAbgYCAAAlBAAADgAAAAAAAAABACAA&#10;AAAqAQAAZHJzL2Uyb0RvYy54bWxQSwUGAAAAAAYABgBZAQAAogUAAAAA&#10;" path="m0,49479l59667,49480,78105,0,96542,49480,156209,49479,107937,80059,126376,129539,78105,98959,29833,129539,48272,80059xe">
                <v:path o:connectlocs="78105,0;0,49479;29833,129539;126376,129539;156209,49479" o:connectangles="247,164,82,82,0"/>
                <v:fill on="t" focussize="0,0"/>
                <v:stroke color="#000000" joinstyle="miter"/>
                <v:imagedata o:title=""/>
                <o:lock v:ext="edit" aspectratio="f"/>
              </v:shape>
            </w:pict>
          </mc:Fallback>
        </mc:AlternateContent>
      </w:r>
      <w:r>
        <mc:AlternateContent>
          <mc:Choice Requires="wps">
            <w:drawing>
              <wp:anchor distT="0" distB="0" distL="114300" distR="114300" simplePos="0" relativeHeight="251738112" behindDoc="0" locked="0" layoutInCell="1" allowOverlap="1">
                <wp:simplePos x="0" y="0"/>
                <wp:positionH relativeFrom="column">
                  <wp:posOffset>5575935</wp:posOffset>
                </wp:positionH>
                <wp:positionV relativeFrom="paragraph">
                  <wp:posOffset>2873375</wp:posOffset>
                </wp:positionV>
                <wp:extent cx="918210" cy="314325"/>
                <wp:effectExtent l="344805" t="6350" r="13335" b="498475"/>
                <wp:wrapNone/>
                <wp:docPr id="167" name="圆角矩形标注 167"/>
                <wp:cNvGraphicFramePr/>
                <a:graphic xmlns:a="http://schemas.openxmlformats.org/drawingml/2006/main">
                  <a:graphicData uri="http://schemas.microsoft.com/office/word/2010/wordprocessingShape">
                    <wps:wsp>
                      <wps:cNvSpPr/>
                      <wps:spPr>
                        <a:xfrm>
                          <a:off x="5271135" y="828675"/>
                          <a:ext cx="918210" cy="314325"/>
                        </a:xfrm>
                        <a:prstGeom prst="wedgeRoundRectCallout">
                          <a:avLst>
                            <a:gd name="adj1" fmla="val -83194"/>
                            <a:gd name="adj2" fmla="val 196667"/>
                            <a:gd name="adj3" fmla="val 16667"/>
                          </a:avLst>
                        </a:prstGeom>
                        <a:solidFill>
                          <a:srgbClr val="FFFF00"/>
                        </a:solidFill>
                        <a:ln w="12700" cap="flat" cmpd="sng">
                          <a:solidFill>
                            <a:srgbClr val="000000"/>
                          </a:solidFill>
                          <a:prstDash val="solid"/>
                          <a:miter/>
                          <a:headEnd type="none" w="med" len="med"/>
                          <a:tailEnd type="none" w="med" len="med"/>
                        </a:ln>
                        <a:effectLst/>
                      </wps:spPr>
                      <wps:txbx>
                        <w:txbxContent>
                          <w:p>
                            <w:pPr>
                              <w:rPr>
                                <w:sz w:val="24"/>
                                <w:szCs w:val="24"/>
                              </w:rPr>
                            </w:pPr>
                            <w:r>
                              <w:rPr>
                                <w:rFonts w:hint="eastAsia"/>
                                <w:sz w:val="24"/>
                                <w:szCs w:val="24"/>
                              </w:rPr>
                              <w:t>项目位置</w:t>
                            </w:r>
                          </w:p>
                        </w:txbxContent>
                      </wps:txbx>
                      <wps:bodyPr upright="1"/>
                    </wps:wsp>
                  </a:graphicData>
                </a:graphic>
              </wp:anchor>
            </w:drawing>
          </mc:Choice>
          <mc:Fallback>
            <w:pict>
              <v:shape id="_x0000_s1026" o:spid="_x0000_s1026" o:spt="62" type="#_x0000_t62" style="position:absolute;left:0pt;margin-left:439.05pt;margin-top:226.25pt;height:24.75pt;width:72.3pt;z-index:251738112;mso-width-relative:page;mso-height-relative:page;" fillcolor="#FFFF00" filled="t" stroked="t" coordsize="21600,21600" o:gfxdata="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Pywel2wAAAAwBAAAPAAAAAAAAAAEAIAAAACIAAABkcnMvZG93bnJldi54&#10;bWxQSwECFAAUAAAACACHTuJAh0diImkCAADaBAAADgAAAAAAAAABACAAAAAqAQAAZHJzL2Uyb0Rv&#10;Yy54bWxQSwUGAAAAAAYABgBZAQAABQYAAAAA&#10;" adj="-7170,53280,14400">
                <v:fill on="t" focussize="0,0"/>
                <v:stroke weight="1pt" color="#000000" joinstyle="miter"/>
                <v:imagedata o:title=""/>
                <o:lock v:ext="edit" aspectratio="f"/>
                <v:textbox>
                  <w:txbxContent>
                    <w:p>
                      <w:pPr>
                        <w:rPr>
                          <w:sz w:val="24"/>
                          <w:szCs w:val="24"/>
                        </w:rPr>
                      </w:pPr>
                      <w:r>
                        <w:rPr>
                          <w:rFonts w:hint="eastAsia"/>
                          <w:sz w:val="24"/>
                          <w:szCs w:val="24"/>
                        </w:rPr>
                        <w:t>项目位置</w:t>
                      </w:r>
                    </w:p>
                  </w:txbxContent>
                </v:textbox>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2861945</wp:posOffset>
                </wp:positionH>
                <wp:positionV relativeFrom="paragraph">
                  <wp:posOffset>6691630</wp:posOffset>
                </wp:positionV>
                <wp:extent cx="4501515" cy="459105"/>
                <wp:effectExtent l="0" t="0" r="0" b="0"/>
                <wp:wrapNone/>
                <wp:docPr id="91" name="文本框 91"/>
                <wp:cNvGraphicFramePr/>
                <a:graphic xmlns:a="http://schemas.openxmlformats.org/drawingml/2006/main">
                  <a:graphicData uri="http://schemas.microsoft.com/office/word/2010/wordprocessingShape">
                    <wps:wsp>
                      <wps:cNvSpPr txBox="1"/>
                      <wps:spPr>
                        <a:xfrm>
                          <a:off x="3288030" y="6855460"/>
                          <a:ext cx="4501515" cy="306705"/>
                        </a:xfrm>
                        <a:prstGeom prst="rect">
                          <a:avLst/>
                        </a:prstGeom>
                        <a:noFill/>
                        <a:ln w="6350">
                          <a:noFill/>
                        </a:ln>
                        <a:effectLst/>
                      </wps:spPr>
                      <wps:txbx>
                        <w:txbxContent>
                          <w:p>
                            <w:r>
                              <w:rPr>
                                <w:rFonts w:hint="eastAsia" w:ascii="黑体" w:hAnsi="黑体" w:eastAsia="黑体"/>
                                <w:sz w:val="28"/>
                                <w:szCs w:val="28"/>
                                <w:lang w:val="en-US" w:eastAsia="zh-CN"/>
                              </w:rPr>
                              <w:t xml:space="preserve">附图4   </w:t>
                            </w:r>
                            <w:r>
                              <w:rPr>
                                <w:rFonts w:hint="eastAsia" w:ascii="黑体" w:hAnsi="黑体" w:eastAsia="黑体"/>
                                <w:sz w:val="28"/>
                                <w:szCs w:val="28"/>
                              </w:rPr>
                              <w:t>项目</w:t>
                            </w:r>
                            <w:r>
                              <w:rPr>
                                <w:rFonts w:hint="eastAsia" w:ascii="黑体" w:hAnsi="黑体" w:eastAsia="黑体"/>
                                <w:sz w:val="28"/>
                                <w:szCs w:val="28"/>
                                <w:lang w:val="en-US" w:eastAsia="zh-CN"/>
                              </w:rPr>
                              <w:t>在</w:t>
                            </w:r>
                            <w:r>
                              <w:rPr>
                                <w:rFonts w:hint="eastAsia" w:ascii="黑体" w:hAnsi="黑体" w:eastAsia="黑体"/>
                                <w:sz w:val="28"/>
                                <w:szCs w:val="28"/>
                              </w:rPr>
                              <w:t>生态环境管控单元位置关系图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35pt;margin-top:526.9pt;height:36.15pt;width:354.45pt;z-index:251725824;mso-width-relative:page;mso-height-relative:page;" filled="f" stroked="f" coordsize="21600,21600" o:gfxdata="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aH+Sb3QAAAA4B&#10;AAAPAAAAAAAAAAEAIAAAACIAAABkcnMvZG93bnJldi54bWxQSwECFAAUAAAACACHTuJA2wqlnU8C&#10;AACCBAAADgAAAAAAAAABACAAAAAsAQAAZHJzL2Uyb0RvYy54bWxQSwUGAAAAAAYABgBZAQAA7QUA&#10;AAAA&#10;">
                <v:fill on="f" focussize="0,0"/>
                <v:stroke on="f" weight="0.5pt"/>
                <v:imagedata o:title=""/>
                <o:lock v:ext="edit" aspectratio="f"/>
                <v:textbox>
                  <w:txbxContent>
                    <w:p>
                      <w:r>
                        <w:rPr>
                          <w:rFonts w:hint="eastAsia" w:ascii="黑体" w:hAnsi="黑体" w:eastAsia="黑体"/>
                          <w:sz w:val="28"/>
                          <w:szCs w:val="28"/>
                          <w:lang w:val="en-US" w:eastAsia="zh-CN"/>
                        </w:rPr>
                        <w:t xml:space="preserve">附图4   </w:t>
                      </w:r>
                      <w:r>
                        <w:rPr>
                          <w:rFonts w:hint="eastAsia" w:ascii="黑体" w:hAnsi="黑体" w:eastAsia="黑体"/>
                          <w:sz w:val="28"/>
                          <w:szCs w:val="28"/>
                        </w:rPr>
                        <w:t>项目</w:t>
                      </w:r>
                      <w:r>
                        <w:rPr>
                          <w:rFonts w:hint="eastAsia" w:ascii="黑体" w:hAnsi="黑体" w:eastAsia="黑体"/>
                          <w:sz w:val="28"/>
                          <w:szCs w:val="28"/>
                          <w:lang w:val="en-US" w:eastAsia="zh-CN"/>
                        </w:rPr>
                        <w:t>在</w:t>
                      </w:r>
                      <w:r>
                        <w:rPr>
                          <w:rFonts w:hint="eastAsia" w:ascii="黑体" w:hAnsi="黑体" w:eastAsia="黑体"/>
                          <w:sz w:val="28"/>
                          <w:szCs w:val="28"/>
                        </w:rPr>
                        <w:t>生态环境管控单元位置关系图</w:t>
                      </w:r>
                    </w:p>
                  </w:txbxContent>
                </v:textbox>
              </v:shape>
            </w:pict>
          </mc:Fallback>
        </mc:AlternateContent>
      </w:r>
      <w:r>
        <w:rPr>
          <w:rFonts w:ascii="宋体" w:hAnsi="宋体"/>
        </w:rPr>
        <w:drawing>
          <wp:anchor distT="0" distB="0" distL="114300" distR="114300" simplePos="0" relativeHeight="251711488" behindDoc="1" locked="0" layoutInCell="1" allowOverlap="1">
            <wp:simplePos x="0" y="0"/>
            <wp:positionH relativeFrom="column">
              <wp:posOffset>-83185</wp:posOffset>
            </wp:positionH>
            <wp:positionV relativeFrom="paragraph">
              <wp:posOffset>-16510</wp:posOffset>
            </wp:positionV>
            <wp:extent cx="9665970" cy="6842760"/>
            <wp:effectExtent l="0" t="0" r="11430" b="15240"/>
            <wp:wrapNone/>
            <wp:docPr id="81" name="图片 6" descr="平顶山市环境管控单元分布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descr="平顶山市环境管控单元分布示意图.jpg"/>
                    <pic:cNvPicPr>
                      <a:picLocks noChangeAspect="1"/>
                    </pic:cNvPicPr>
                  </pic:nvPicPr>
                  <pic:blipFill>
                    <a:blip r:embed="rId32"/>
                    <a:stretch>
                      <a:fillRect/>
                    </a:stretch>
                  </pic:blipFill>
                  <pic:spPr>
                    <a:xfrm>
                      <a:off x="0" y="0"/>
                      <a:ext cx="9665970" cy="6842760"/>
                    </a:xfrm>
                    <a:prstGeom prst="rect">
                      <a:avLst/>
                    </a:prstGeom>
                    <a:noFill/>
                    <a:ln>
                      <a:noFill/>
                    </a:ln>
                  </pic:spPr>
                </pic:pic>
              </a:graphicData>
            </a:graphic>
          </wp:anchor>
        </w:drawing>
      </w:r>
    </w:p>
    <w:p>
      <w:pPr>
        <w:jc w:val="both"/>
        <w:rPr>
          <w:rFonts w:hint="eastAsia" w:eastAsia="宋体"/>
          <w:lang w:eastAsia="zh-CN"/>
        </w:rPr>
        <w:sectPr>
          <w:pgSz w:w="16838" w:h="11906" w:orient="landscape"/>
          <w:pgMar w:top="153" w:right="720" w:bottom="96" w:left="720" w:header="851" w:footer="992" w:gutter="0"/>
          <w:cols w:space="720" w:num="1"/>
          <w:docGrid w:type="lines" w:linePitch="312" w:charSpace="0"/>
        </w:sectPr>
      </w:pPr>
      <w:r>
        <w:drawing>
          <wp:anchor distT="0" distB="0" distL="114300" distR="114300" simplePos="0" relativeHeight="251731968" behindDoc="0" locked="0" layoutInCell="1" allowOverlap="1">
            <wp:simplePos x="0" y="0"/>
            <wp:positionH relativeFrom="column">
              <wp:posOffset>5151120</wp:posOffset>
            </wp:positionH>
            <wp:positionV relativeFrom="paragraph">
              <wp:posOffset>3590925</wp:posOffset>
            </wp:positionV>
            <wp:extent cx="4273550" cy="3206750"/>
            <wp:effectExtent l="0" t="0" r="12700" b="12700"/>
            <wp:wrapNone/>
            <wp:docPr id="8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4"/>
                    <pic:cNvPicPr>
                      <a:picLocks noChangeAspect="1"/>
                    </pic:cNvPicPr>
                  </pic:nvPicPr>
                  <pic:blipFill>
                    <a:blip r:embed="rId33"/>
                    <a:stretch>
                      <a:fillRect/>
                    </a:stretch>
                  </pic:blipFill>
                  <pic:spPr>
                    <a:xfrm>
                      <a:off x="0" y="0"/>
                      <a:ext cx="4273550" cy="3206750"/>
                    </a:xfrm>
                    <a:prstGeom prst="rect">
                      <a:avLst/>
                    </a:prstGeom>
                    <a:noFill/>
                    <a:ln>
                      <a:noFill/>
                    </a:ln>
                  </pic:spPr>
                </pic:pic>
              </a:graphicData>
            </a:graphic>
          </wp:anchor>
        </w:drawing>
      </w:r>
      <w:r>
        <w:rPr>
          <w:sz w:val="21"/>
        </w:rPr>
        <mc:AlternateContent>
          <mc:Choice Requires="wps">
            <w:drawing>
              <wp:anchor distT="0" distB="0" distL="114300" distR="114300" simplePos="0" relativeHeight="251707392" behindDoc="1" locked="0" layoutInCell="1" allowOverlap="1">
                <wp:simplePos x="0" y="0"/>
                <wp:positionH relativeFrom="column">
                  <wp:posOffset>2401570</wp:posOffset>
                </wp:positionH>
                <wp:positionV relativeFrom="paragraph">
                  <wp:posOffset>6633845</wp:posOffset>
                </wp:positionV>
                <wp:extent cx="494665" cy="459105"/>
                <wp:effectExtent l="0" t="0" r="0" b="0"/>
                <wp:wrapNone/>
                <wp:docPr id="83" name="文本框 83"/>
                <wp:cNvGraphicFramePr/>
                <a:graphic xmlns:a="http://schemas.openxmlformats.org/drawingml/2006/main">
                  <a:graphicData uri="http://schemas.microsoft.com/office/word/2010/wordprocessingShape">
                    <wps:wsp>
                      <wps:cNvSpPr txBox="1"/>
                      <wps:spPr>
                        <a:xfrm>
                          <a:off x="3288030" y="6855460"/>
                          <a:ext cx="4501515" cy="306705"/>
                        </a:xfrm>
                        <a:prstGeom prst="rect">
                          <a:avLst/>
                        </a:prstGeom>
                        <a:noFill/>
                        <a:ln w="6350">
                          <a:noFill/>
                        </a:ln>
                        <a:effectLst/>
                      </wps:spPr>
                      <wps:txbx>
                        <w:txbxContent>
                          <w:p>
                            <w:pPr>
                              <w:rPr>
                                <w:rFonts w:hint="default"/>
                                <w:lang w:val="en-US"/>
                              </w:rPr>
                            </w:pPr>
                            <w:r>
                              <w:rPr>
                                <w:rFonts w:hint="eastAsia" w:ascii="黑体" w:hAnsi="黑体" w:eastAsia="黑体"/>
                                <w:sz w:val="28"/>
                                <w:szCs w:val="28"/>
                                <w:lang w:val="en-US" w:eastAsia="zh-CN"/>
                              </w:rPr>
                              <w:t>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1pt;margin-top:522.35pt;height:36.15pt;width:38.95pt;z-index:-251609088;mso-width-relative:page;mso-height-relative:page;" filled="f" stroked="f" coordsize="21600,21600" o:gfxdata="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r/0wF3QAAAA0B&#10;AAAPAAAAAAAAAAEAIAAAACIAAABkcnMvZG93bnJldi54bWxQSwECFAAUAAAACACHTuJAt61uV08C&#10;AACCBAAADgAAAAAAAAABACAAAAAsAQAAZHJzL2Uyb0RvYy54bWxQSwUGAAAAAAYABgBZAQAA7QUA&#10;AAAA&#10;">
                <v:fill on="f" focussize="0,0"/>
                <v:stroke on="f" weight="0.5pt"/>
                <v:imagedata o:title=""/>
                <o:lock v:ext="edit" aspectratio="f"/>
                <v:textbox>
                  <w:txbxContent>
                    <w:p>
                      <w:pPr>
                        <w:rPr>
                          <w:rFonts w:hint="default"/>
                          <w:lang w:val="en-US"/>
                        </w:rPr>
                      </w:pPr>
                      <w:r>
                        <w:rPr>
                          <w:rFonts w:hint="eastAsia" w:ascii="黑体" w:hAnsi="黑体" w:eastAsia="黑体"/>
                          <w:sz w:val="28"/>
                          <w:szCs w:val="28"/>
                          <w:lang w:val="en-US" w:eastAsia="zh-CN"/>
                        </w:rPr>
                        <w:t>西</w:t>
                      </w:r>
                    </w:p>
                  </w:txbxContent>
                </v:textbox>
              </v:shape>
            </w:pict>
          </mc:Fallback>
        </mc:AlternateContent>
      </w:r>
      <w:r>
        <w:drawing>
          <wp:anchor distT="0" distB="0" distL="114300" distR="114300" simplePos="0" relativeHeight="251732992" behindDoc="0" locked="0" layoutInCell="1" allowOverlap="1">
            <wp:simplePos x="0" y="0"/>
            <wp:positionH relativeFrom="column">
              <wp:posOffset>-86360</wp:posOffset>
            </wp:positionH>
            <wp:positionV relativeFrom="paragraph">
              <wp:posOffset>3615690</wp:posOffset>
            </wp:positionV>
            <wp:extent cx="4933950" cy="3147695"/>
            <wp:effectExtent l="0" t="0" r="0" b="14605"/>
            <wp:wrapNone/>
            <wp:docPr id="9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6"/>
                    <pic:cNvPicPr>
                      <a:picLocks noChangeAspect="1"/>
                    </pic:cNvPicPr>
                  </pic:nvPicPr>
                  <pic:blipFill>
                    <a:blip r:embed="rId34"/>
                    <a:stretch>
                      <a:fillRect/>
                    </a:stretch>
                  </pic:blipFill>
                  <pic:spPr>
                    <a:xfrm>
                      <a:off x="0" y="0"/>
                      <a:ext cx="4933950" cy="3147695"/>
                    </a:xfrm>
                    <a:prstGeom prst="rect">
                      <a:avLst/>
                    </a:prstGeom>
                    <a:noFill/>
                    <a:ln>
                      <a:noFill/>
                    </a:ln>
                  </pic:spPr>
                </pic:pic>
              </a:graphicData>
            </a:graphic>
          </wp:anchor>
        </w:drawing>
      </w:r>
      <w:r>
        <w:drawing>
          <wp:anchor distT="0" distB="0" distL="114300" distR="114300" simplePos="0" relativeHeight="251729920" behindDoc="0" locked="0" layoutInCell="1" allowOverlap="1">
            <wp:simplePos x="0" y="0"/>
            <wp:positionH relativeFrom="column">
              <wp:posOffset>5015230</wp:posOffset>
            </wp:positionH>
            <wp:positionV relativeFrom="paragraph">
              <wp:posOffset>30480</wp:posOffset>
            </wp:positionV>
            <wp:extent cx="4497705" cy="3374390"/>
            <wp:effectExtent l="0" t="0" r="17145" b="16510"/>
            <wp:wrapNone/>
            <wp:docPr id="9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7"/>
                    <pic:cNvPicPr>
                      <a:picLocks noChangeAspect="1"/>
                    </pic:cNvPicPr>
                  </pic:nvPicPr>
                  <pic:blipFill>
                    <a:blip r:embed="rId35"/>
                    <a:stretch>
                      <a:fillRect/>
                    </a:stretch>
                  </pic:blipFill>
                  <pic:spPr>
                    <a:xfrm>
                      <a:off x="0" y="0"/>
                      <a:ext cx="4497705" cy="3374390"/>
                    </a:xfrm>
                    <a:prstGeom prst="rect">
                      <a:avLst/>
                    </a:prstGeom>
                    <a:noFill/>
                    <a:ln>
                      <a:noFill/>
                    </a:ln>
                  </pic:spPr>
                </pic:pic>
              </a:graphicData>
            </a:graphic>
          </wp:anchor>
        </w:drawing>
      </w:r>
      <w:r>
        <w:rPr>
          <w:sz w:val="21"/>
        </w:rPr>
        <mc:AlternateContent>
          <mc:Choice Requires="wps">
            <w:drawing>
              <wp:anchor distT="0" distB="0" distL="114300" distR="114300" simplePos="0" relativeHeight="251726848" behindDoc="0" locked="0" layoutInCell="1" allowOverlap="1">
                <wp:simplePos x="0" y="0"/>
                <wp:positionH relativeFrom="column">
                  <wp:posOffset>7253605</wp:posOffset>
                </wp:positionH>
                <wp:positionV relativeFrom="paragraph">
                  <wp:posOffset>3251200</wp:posOffset>
                </wp:positionV>
                <wp:extent cx="645160" cy="459105"/>
                <wp:effectExtent l="0" t="0" r="0" b="0"/>
                <wp:wrapNone/>
                <wp:docPr id="166" name="文本框 166"/>
                <wp:cNvGraphicFramePr/>
                <a:graphic xmlns:a="http://schemas.openxmlformats.org/drawingml/2006/main">
                  <a:graphicData uri="http://schemas.microsoft.com/office/word/2010/wordprocessingShape">
                    <wps:wsp>
                      <wps:cNvSpPr txBox="1"/>
                      <wps:spPr>
                        <a:xfrm>
                          <a:off x="3288030" y="6855460"/>
                          <a:ext cx="4501515" cy="306705"/>
                        </a:xfrm>
                        <a:prstGeom prst="rect">
                          <a:avLst/>
                        </a:prstGeom>
                        <a:noFill/>
                        <a:ln w="6350">
                          <a:noFill/>
                        </a:ln>
                        <a:effectLst/>
                      </wps:spPr>
                      <wps:txbx>
                        <w:txbxContent>
                          <w:p>
                            <w:pPr>
                              <w:rPr>
                                <w:rFonts w:hint="default"/>
                                <w:lang w:val="en-US"/>
                              </w:rPr>
                            </w:pPr>
                            <w:r>
                              <w:rPr>
                                <w:rFonts w:hint="eastAsia" w:ascii="黑体" w:hAnsi="黑体" w:eastAsia="黑体"/>
                                <w:sz w:val="28"/>
                                <w:szCs w:val="28"/>
                                <w:lang w:val="en-US" w:eastAsia="zh-CN"/>
                              </w:rPr>
                              <w:t>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1.15pt;margin-top:256pt;height:36.15pt;width:50.8pt;z-index:251726848;mso-width-relative:page;mso-height-relative:page;" filled="f" stroked="f" coordsize="21600,21600" o:gfxdata="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t+QIrcAAAADQEA&#10;AA8AAAAAAAAAAQAgAAAAIgAAAGRycy9kb3ducmV2LnhtbFBLAQIUABQAAAAIAIdO4kD/2zr0TwIA&#10;AIQEAAAOAAAAAAAAAAEAIAAAACsBAABkcnMvZTJvRG9jLnhtbFBLBQYAAAAABgAGAFkBAADsBQAA&#10;AAA=&#10;">
                <v:fill on="f" focussize="0,0"/>
                <v:stroke on="f" weight="0.5pt"/>
                <v:imagedata o:title=""/>
                <o:lock v:ext="edit" aspectratio="f"/>
                <v:textbox>
                  <w:txbxContent>
                    <w:p>
                      <w:pPr>
                        <w:rPr>
                          <w:rFonts w:hint="default"/>
                          <w:lang w:val="en-US"/>
                        </w:rPr>
                      </w:pPr>
                      <w:r>
                        <w:rPr>
                          <w:rFonts w:hint="eastAsia" w:ascii="黑体" w:hAnsi="黑体" w:eastAsia="黑体"/>
                          <w:sz w:val="28"/>
                          <w:szCs w:val="28"/>
                          <w:lang w:val="en-US" w:eastAsia="zh-CN"/>
                        </w:rPr>
                        <w:t>南</w:t>
                      </w:r>
                    </w:p>
                  </w:txbxContent>
                </v:textbox>
              </v:shape>
            </w:pict>
          </mc:Fallback>
        </mc:AlternateContent>
      </w:r>
      <w:r>
        <w:drawing>
          <wp:anchor distT="0" distB="0" distL="114300" distR="114300" simplePos="0" relativeHeight="251730944" behindDoc="0" locked="0" layoutInCell="1" allowOverlap="1">
            <wp:simplePos x="0" y="0"/>
            <wp:positionH relativeFrom="column">
              <wp:posOffset>-26670</wp:posOffset>
            </wp:positionH>
            <wp:positionV relativeFrom="paragraph">
              <wp:posOffset>0</wp:posOffset>
            </wp:positionV>
            <wp:extent cx="4605655" cy="3455670"/>
            <wp:effectExtent l="0" t="0" r="4445" b="11430"/>
            <wp:wrapNone/>
            <wp:docPr id="8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9"/>
                    <pic:cNvPicPr>
                      <a:picLocks noChangeAspect="1"/>
                    </pic:cNvPicPr>
                  </pic:nvPicPr>
                  <pic:blipFill>
                    <a:blip r:embed="rId36"/>
                    <a:stretch>
                      <a:fillRect/>
                    </a:stretch>
                  </pic:blipFill>
                  <pic:spPr>
                    <a:xfrm>
                      <a:off x="0" y="0"/>
                      <a:ext cx="4605655" cy="3455670"/>
                    </a:xfrm>
                    <a:prstGeom prst="rect">
                      <a:avLst/>
                    </a:prstGeom>
                    <a:noFill/>
                    <a:ln>
                      <a:noFill/>
                    </a:ln>
                  </pic:spPr>
                </pic:pic>
              </a:graphicData>
            </a:graphic>
          </wp:anchor>
        </w:drawing>
      </w:r>
      <w:r>
        <w:rPr>
          <w:sz w:val="21"/>
        </w:rPr>
        <mc:AlternateContent>
          <mc:Choice Requires="wps">
            <w:drawing>
              <wp:anchor distT="0" distB="0" distL="114300" distR="114300" simplePos="0" relativeHeight="251708416" behindDoc="1" locked="0" layoutInCell="1" allowOverlap="1">
                <wp:simplePos x="0" y="0"/>
                <wp:positionH relativeFrom="column">
                  <wp:posOffset>2411730</wp:posOffset>
                </wp:positionH>
                <wp:positionV relativeFrom="paragraph">
                  <wp:posOffset>3277870</wp:posOffset>
                </wp:positionV>
                <wp:extent cx="453390" cy="459105"/>
                <wp:effectExtent l="0" t="0" r="0" b="0"/>
                <wp:wrapNone/>
                <wp:docPr id="84" name="文本框 84"/>
                <wp:cNvGraphicFramePr/>
                <a:graphic xmlns:a="http://schemas.openxmlformats.org/drawingml/2006/main">
                  <a:graphicData uri="http://schemas.microsoft.com/office/word/2010/wordprocessingShape">
                    <wps:wsp>
                      <wps:cNvSpPr txBox="1"/>
                      <wps:spPr>
                        <a:xfrm>
                          <a:off x="3288030" y="6855460"/>
                          <a:ext cx="4501515" cy="306705"/>
                        </a:xfrm>
                        <a:prstGeom prst="rect">
                          <a:avLst/>
                        </a:prstGeom>
                        <a:noFill/>
                        <a:ln w="6350">
                          <a:noFill/>
                        </a:ln>
                        <a:effectLst/>
                      </wps:spPr>
                      <wps:txbx>
                        <w:txbxContent>
                          <w:p>
                            <w:pPr>
                              <w:rPr>
                                <w:rFonts w:hint="default"/>
                                <w:lang w:val="en-US"/>
                              </w:rPr>
                            </w:pPr>
                            <w:r>
                              <w:rPr>
                                <w:rFonts w:hint="eastAsia" w:ascii="黑体" w:hAnsi="黑体" w:eastAsia="黑体"/>
                                <w:sz w:val="28"/>
                                <w:szCs w:val="28"/>
                                <w:lang w:val="en-US" w:eastAsia="zh-CN"/>
                              </w:rPr>
                              <w:t>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9pt;margin-top:258.1pt;height:36.15pt;width:35.7pt;z-index:-251608064;mso-width-relative:page;mso-height-relative:page;" filled="f" stroked="f" coordsize="21600,21600" o:gfxdata="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G2xAKTcAAAACwEA&#10;AA8AAAAAAAAAAQAgAAAAIgAAAGRycy9kb3ducmV2LnhtbFBLAQIUABQAAAAIAIdO4kDSNrWoTwIA&#10;AIIEAAAOAAAAAAAAAAEAIAAAACsBAABkcnMvZTJvRG9jLnhtbFBLBQYAAAAABgAGAFkBAADsBQAA&#10;AAA=&#10;">
                <v:fill on="f" focussize="0,0"/>
                <v:stroke on="f" weight="0.5pt"/>
                <v:imagedata o:title=""/>
                <o:lock v:ext="edit" aspectratio="f"/>
                <v:textbox>
                  <w:txbxContent>
                    <w:p>
                      <w:pPr>
                        <w:rPr>
                          <w:rFonts w:hint="default"/>
                          <w:lang w:val="en-US"/>
                        </w:rPr>
                      </w:pPr>
                      <w:r>
                        <w:rPr>
                          <w:rFonts w:hint="eastAsia" w:ascii="黑体" w:hAnsi="黑体" w:eastAsia="黑体"/>
                          <w:sz w:val="28"/>
                          <w:szCs w:val="28"/>
                          <w:lang w:val="en-US" w:eastAsia="zh-CN"/>
                        </w:rPr>
                        <w:t>东</w:t>
                      </w:r>
                    </w:p>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3805555</wp:posOffset>
                </wp:positionH>
                <wp:positionV relativeFrom="paragraph">
                  <wp:posOffset>6695440</wp:posOffset>
                </wp:positionV>
                <wp:extent cx="2510790" cy="459105"/>
                <wp:effectExtent l="0" t="0" r="0" b="0"/>
                <wp:wrapNone/>
                <wp:docPr id="86" name="文本框 86"/>
                <wp:cNvGraphicFramePr/>
                <a:graphic xmlns:a="http://schemas.openxmlformats.org/drawingml/2006/main">
                  <a:graphicData uri="http://schemas.microsoft.com/office/word/2010/wordprocessingShape">
                    <wps:wsp>
                      <wps:cNvSpPr txBox="1"/>
                      <wps:spPr>
                        <a:xfrm>
                          <a:off x="3288030" y="6855460"/>
                          <a:ext cx="4501515" cy="306705"/>
                        </a:xfrm>
                        <a:prstGeom prst="rect">
                          <a:avLst/>
                        </a:prstGeom>
                        <a:noFill/>
                        <a:ln w="6350">
                          <a:noFill/>
                        </a:ln>
                        <a:effectLst/>
                      </wps:spPr>
                      <wps:txbx>
                        <w:txbxContent>
                          <w:p>
                            <w:pPr>
                              <w:rPr>
                                <w:rFonts w:hint="default"/>
                                <w:lang w:val="en-US"/>
                              </w:rPr>
                            </w:pPr>
                            <w:r>
                              <w:rPr>
                                <w:rFonts w:hint="eastAsia" w:ascii="黑体" w:hAnsi="黑体" w:eastAsia="黑体"/>
                                <w:sz w:val="28"/>
                                <w:szCs w:val="28"/>
                                <w:lang w:val="en-US" w:eastAsia="zh-CN"/>
                              </w:rPr>
                              <w:t xml:space="preserve">附图5  </w:t>
                            </w:r>
                            <w:r>
                              <w:rPr>
                                <w:rFonts w:hint="eastAsia" w:ascii="黑体" w:hAnsi="黑体" w:eastAsia="黑体"/>
                                <w:sz w:val="28"/>
                                <w:szCs w:val="28"/>
                              </w:rPr>
                              <w:t>项目</w:t>
                            </w:r>
                            <w:r>
                              <w:rPr>
                                <w:rFonts w:hint="eastAsia" w:ascii="黑体" w:hAnsi="黑体" w:eastAsia="黑体"/>
                                <w:sz w:val="28"/>
                                <w:szCs w:val="28"/>
                                <w:lang w:val="en-US" w:eastAsia="zh-CN"/>
                              </w:rPr>
                              <w:t>周边现状图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65pt;margin-top:527.2pt;height:36.15pt;width:197.7pt;z-index:251722752;mso-width-relative:page;mso-height-relative:page;" filled="f" stroked="f" coordsize="21600,21600" o:gfxdata="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uOX1Qt4AAAAN&#10;AQAADwAAAAAAAAABACAAAAAiAAAAZHJzL2Rvd25yZXYueG1sUEsBAhQAFAAAAAgAh07iQOfmmaRP&#10;AgAAggQAAA4AAAAAAAAAAQAgAAAALQEAAGRycy9lMm9Eb2MueG1sUEsFBgAAAAAGAAYAWQEAAO4F&#10;AAAAAA==&#10;">
                <v:fill on="f" focussize="0,0"/>
                <v:stroke on="f" weight="0.5pt"/>
                <v:imagedata o:title=""/>
                <o:lock v:ext="edit" aspectratio="f"/>
                <v:textbox>
                  <w:txbxContent>
                    <w:p>
                      <w:pPr>
                        <w:rPr>
                          <w:rFonts w:hint="default"/>
                          <w:lang w:val="en-US"/>
                        </w:rPr>
                      </w:pPr>
                      <w:r>
                        <w:rPr>
                          <w:rFonts w:hint="eastAsia" w:ascii="黑体" w:hAnsi="黑体" w:eastAsia="黑体"/>
                          <w:sz w:val="28"/>
                          <w:szCs w:val="28"/>
                          <w:lang w:val="en-US" w:eastAsia="zh-CN"/>
                        </w:rPr>
                        <w:t xml:space="preserve">附图5  </w:t>
                      </w:r>
                      <w:r>
                        <w:rPr>
                          <w:rFonts w:hint="eastAsia" w:ascii="黑体" w:hAnsi="黑体" w:eastAsia="黑体"/>
                          <w:sz w:val="28"/>
                          <w:szCs w:val="28"/>
                        </w:rPr>
                        <w:t>项目</w:t>
                      </w:r>
                      <w:r>
                        <w:rPr>
                          <w:rFonts w:hint="eastAsia" w:ascii="黑体" w:hAnsi="黑体" w:eastAsia="黑体"/>
                          <w:sz w:val="28"/>
                          <w:szCs w:val="28"/>
                          <w:lang w:val="en-US" w:eastAsia="zh-CN"/>
                        </w:rPr>
                        <w:t>周边现状图</w:t>
                      </w:r>
                    </w:p>
                  </w:txbxContent>
                </v:textbox>
              </v:shape>
            </w:pict>
          </mc:Fallback>
        </mc:AlternateContent>
      </w:r>
      <w:r>
        <w:rPr>
          <w:sz w:val="21"/>
        </w:rPr>
        <mc:AlternateContent>
          <mc:Choice Requires="wps">
            <w:drawing>
              <wp:anchor distT="0" distB="0" distL="114300" distR="114300" simplePos="0" relativeHeight="251709440" behindDoc="1" locked="0" layoutInCell="1" allowOverlap="1">
                <wp:simplePos x="0" y="0"/>
                <wp:positionH relativeFrom="column">
                  <wp:posOffset>7233920</wp:posOffset>
                </wp:positionH>
                <wp:positionV relativeFrom="paragraph">
                  <wp:posOffset>6661150</wp:posOffset>
                </wp:positionV>
                <wp:extent cx="592455" cy="459105"/>
                <wp:effectExtent l="0" t="0" r="0" b="0"/>
                <wp:wrapNone/>
                <wp:docPr id="88" name="文本框 88"/>
                <wp:cNvGraphicFramePr/>
                <a:graphic xmlns:a="http://schemas.openxmlformats.org/drawingml/2006/main">
                  <a:graphicData uri="http://schemas.microsoft.com/office/word/2010/wordprocessingShape">
                    <wps:wsp>
                      <wps:cNvSpPr txBox="1"/>
                      <wps:spPr>
                        <a:xfrm>
                          <a:off x="3288030" y="6855460"/>
                          <a:ext cx="4501515" cy="306705"/>
                        </a:xfrm>
                        <a:prstGeom prst="rect">
                          <a:avLst/>
                        </a:prstGeom>
                        <a:noFill/>
                        <a:ln w="6350">
                          <a:noFill/>
                        </a:ln>
                        <a:effectLst/>
                      </wps:spPr>
                      <wps:txbx>
                        <w:txbxContent>
                          <w:p>
                            <w:pPr>
                              <w:rPr>
                                <w:rFonts w:hint="default"/>
                                <w:lang w:val="en-US"/>
                              </w:rPr>
                            </w:pPr>
                            <w:r>
                              <w:rPr>
                                <w:rFonts w:hint="eastAsia" w:ascii="黑体" w:hAnsi="黑体" w:eastAsia="黑体"/>
                                <w:sz w:val="28"/>
                                <w:szCs w:val="28"/>
                                <w:lang w:val="en-US"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9.6pt;margin-top:524.5pt;height:36.15pt;width:46.65pt;z-index:-251607040;mso-width-relative:page;mso-height-relative:page;" filled="f" stroked="f" coordsize="21600,21600" o:gfxdata="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GPIs+3QAAAA8B&#10;AAAPAAAAAAAAAAEAIAAAACIAAABkcnMvZG93bnJldi54bWxQSwECFAAUAAAACACHTuJAbNZfgE8C&#10;AACCBAAADgAAAAAAAAABACAAAAAsAQAAZHJzL2Uyb0RvYy54bWxQSwUGAAAAAAYABgBZAQAA7QUA&#10;AAAA&#10;">
                <v:fill on="f" focussize="0,0"/>
                <v:stroke on="f" weight="0.5pt"/>
                <v:imagedata o:title=""/>
                <o:lock v:ext="edit" aspectratio="f"/>
                <v:textbox>
                  <w:txbxContent>
                    <w:p>
                      <w:pPr>
                        <w:rPr>
                          <w:rFonts w:hint="default"/>
                          <w:lang w:val="en-US"/>
                        </w:rPr>
                      </w:pPr>
                      <w:r>
                        <w:rPr>
                          <w:rFonts w:hint="eastAsia" w:ascii="黑体" w:hAnsi="黑体" w:eastAsia="黑体"/>
                          <w:sz w:val="28"/>
                          <w:szCs w:val="28"/>
                          <w:lang w:val="en-US" w:eastAsia="zh-CN"/>
                        </w:rPr>
                        <w:t>北</w:t>
                      </w:r>
                    </w:p>
                  </w:txbxContent>
                </v:textbox>
              </v:shape>
            </w:pict>
          </mc:Fallback>
        </mc:AlternateContent>
      </w:r>
    </w:p>
    <w:p>
      <w:pPr>
        <w:jc w:val="both"/>
        <w:rPr>
          <w:rFonts w:hint="eastAsia" w:eastAsia="宋体"/>
          <w:lang w:eastAsia="zh-CN"/>
        </w:rPr>
      </w:pPr>
      <w:r>
        <w:drawing>
          <wp:anchor distT="0" distB="0" distL="114300" distR="114300" simplePos="0" relativeHeight="251727872" behindDoc="0" locked="0" layoutInCell="1" allowOverlap="1">
            <wp:simplePos x="0" y="0"/>
            <wp:positionH relativeFrom="column">
              <wp:posOffset>4949190</wp:posOffset>
            </wp:positionH>
            <wp:positionV relativeFrom="paragraph">
              <wp:posOffset>145415</wp:posOffset>
            </wp:positionV>
            <wp:extent cx="4840605" cy="4814570"/>
            <wp:effectExtent l="0" t="0" r="17145" b="5080"/>
            <wp:wrapNone/>
            <wp:docPr id="8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3"/>
                    <pic:cNvPicPr>
                      <a:picLocks noChangeAspect="1"/>
                    </pic:cNvPicPr>
                  </pic:nvPicPr>
                  <pic:blipFill>
                    <a:blip r:embed="rId37"/>
                    <a:stretch>
                      <a:fillRect/>
                    </a:stretch>
                  </pic:blipFill>
                  <pic:spPr>
                    <a:xfrm>
                      <a:off x="0" y="0"/>
                      <a:ext cx="4840605" cy="4814570"/>
                    </a:xfrm>
                    <a:prstGeom prst="rect">
                      <a:avLst/>
                    </a:prstGeom>
                    <a:noFill/>
                    <a:ln>
                      <a:noFill/>
                    </a:ln>
                  </pic:spPr>
                </pic:pic>
              </a:graphicData>
            </a:graphic>
          </wp:anchor>
        </w:drawing>
      </w:r>
    </w:p>
    <w:p>
      <w:pPr>
        <w:pStyle w:val="49"/>
        <w:spacing w:beforeLines="80" w:after="24"/>
        <w:jc w:val="left"/>
        <w:rPr>
          <w:rFonts w:hint="eastAsia" w:ascii="Times New Roman" w:hAnsi="Times New Roman" w:cs="Times New Roman"/>
          <w:snapToGrid w:val="0"/>
          <w:color w:val="auto"/>
          <w:spacing w:val="-6"/>
          <w:kern w:val="21"/>
          <w:szCs w:val="21"/>
          <w:lang w:val="en-US" w:eastAsia="zh-CN"/>
        </w:rPr>
        <w:sectPr>
          <w:footerReference r:id="rId15" w:type="default"/>
          <w:pgSz w:w="16838" w:h="11906" w:orient="landscape"/>
          <w:pgMar w:top="720" w:right="720" w:bottom="720" w:left="72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300" distR="114300" simplePos="0" relativeHeight="251728896" behindDoc="0" locked="0" layoutInCell="1" allowOverlap="1">
            <wp:simplePos x="0" y="0"/>
            <wp:positionH relativeFrom="column">
              <wp:posOffset>-321310</wp:posOffset>
            </wp:positionH>
            <wp:positionV relativeFrom="paragraph">
              <wp:posOffset>122555</wp:posOffset>
            </wp:positionV>
            <wp:extent cx="5280025" cy="3961765"/>
            <wp:effectExtent l="0" t="0" r="15875" b="635"/>
            <wp:wrapNone/>
            <wp:docPr id="8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4"/>
                    <pic:cNvPicPr>
                      <a:picLocks noChangeAspect="1"/>
                    </pic:cNvPicPr>
                  </pic:nvPicPr>
                  <pic:blipFill>
                    <a:blip r:embed="rId38"/>
                    <a:stretch>
                      <a:fillRect/>
                    </a:stretch>
                  </pic:blipFill>
                  <pic:spPr>
                    <a:xfrm>
                      <a:off x="0" y="0"/>
                      <a:ext cx="5280025" cy="3961765"/>
                    </a:xfrm>
                    <a:prstGeom prst="rect">
                      <a:avLst/>
                    </a:prstGeom>
                    <a:noFill/>
                    <a:ln>
                      <a:noFill/>
                    </a:ln>
                  </pic:spPr>
                </pic:pic>
              </a:graphicData>
            </a:graphic>
          </wp:anchor>
        </w:drawing>
      </w:r>
      <w:r>
        <w:rPr>
          <w:sz w:val="21"/>
        </w:rPr>
        <mc:AlternateContent>
          <mc:Choice Requires="wps">
            <w:drawing>
              <wp:anchor distT="0" distB="0" distL="114300" distR="114300" simplePos="0" relativeHeight="251706368" behindDoc="1" locked="0" layoutInCell="1" allowOverlap="1">
                <wp:simplePos x="0" y="0"/>
                <wp:positionH relativeFrom="column">
                  <wp:posOffset>3633470</wp:posOffset>
                </wp:positionH>
                <wp:positionV relativeFrom="paragraph">
                  <wp:posOffset>5247005</wp:posOffset>
                </wp:positionV>
                <wp:extent cx="2510790" cy="459105"/>
                <wp:effectExtent l="0" t="0" r="0" b="0"/>
                <wp:wrapNone/>
                <wp:docPr id="87" name="文本框 87"/>
                <wp:cNvGraphicFramePr/>
                <a:graphic xmlns:a="http://schemas.openxmlformats.org/drawingml/2006/main">
                  <a:graphicData uri="http://schemas.microsoft.com/office/word/2010/wordprocessingShape">
                    <wps:wsp>
                      <wps:cNvSpPr txBox="1"/>
                      <wps:spPr>
                        <a:xfrm>
                          <a:off x="3288030" y="6855460"/>
                          <a:ext cx="4501515" cy="306705"/>
                        </a:xfrm>
                        <a:prstGeom prst="rect">
                          <a:avLst/>
                        </a:prstGeom>
                        <a:noFill/>
                        <a:ln w="6350">
                          <a:noFill/>
                        </a:ln>
                        <a:effectLst/>
                      </wps:spPr>
                      <wps:txbx>
                        <w:txbxContent>
                          <w:p>
                            <w:pPr>
                              <w:rPr>
                                <w:rFonts w:hint="default"/>
                                <w:lang w:val="en-US"/>
                              </w:rPr>
                            </w:pPr>
                            <w:r>
                              <w:rPr>
                                <w:rFonts w:hint="eastAsia" w:ascii="黑体" w:hAnsi="黑体" w:eastAsia="黑体"/>
                                <w:sz w:val="28"/>
                                <w:szCs w:val="28"/>
                                <w:lang w:val="en-US" w:eastAsia="zh-CN"/>
                              </w:rPr>
                              <w:t xml:space="preserve">附图6  </w:t>
                            </w:r>
                            <w:r>
                              <w:rPr>
                                <w:rFonts w:hint="eastAsia" w:ascii="黑体" w:hAnsi="黑体" w:eastAsia="黑体"/>
                                <w:sz w:val="28"/>
                                <w:szCs w:val="28"/>
                              </w:rPr>
                              <w:t>项目</w:t>
                            </w:r>
                            <w:r>
                              <w:rPr>
                                <w:rFonts w:hint="eastAsia" w:ascii="黑体" w:hAnsi="黑体" w:eastAsia="黑体"/>
                                <w:sz w:val="28"/>
                                <w:szCs w:val="28"/>
                                <w:lang w:val="en-US" w:eastAsia="zh-CN"/>
                              </w:rPr>
                              <w:t>拟建场地现状图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1pt;margin-top:413.15pt;height:36.15pt;width:197.7pt;z-index:-251610112;mso-width-relative:page;mso-height-relative:page;" filled="f" stroked="f" coordsize="21600,21600" o:gfxdata="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BxZcncAAAACwEA&#10;AA8AAAAAAAAAAQAgAAAAIgAAAGRycy9kb3ducmV2LnhtbFBLAQIUABQAAAAIAIdO4kDdDTdPTwIA&#10;AIIEAAAOAAAAAAAAAAEAIAAAACsBAABkcnMvZTJvRG9jLnhtbFBLBQYAAAAABgAGAFkBAADsBQAA&#10;AAA=&#10;">
                <v:fill on="f" focussize="0,0"/>
                <v:stroke on="f" weight="0.5pt"/>
                <v:imagedata o:title=""/>
                <o:lock v:ext="edit" aspectratio="f"/>
                <v:textbox>
                  <w:txbxContent>
                    <w:p>
                      <w:pPr>
                        <w:rPr>
                          <w:rFonts w:hint="default"/>
                          <w:lang w:val="en-US"/>
                        </w:rPr>
                      </w:pPr>
                      <w:r>
                        <w:rPr>
                          <w:rFonts w:hint="eastAsia" w:ascii="黑体" w:hAnsi="黑体" w:eastAsia="黑体"/>
                          <w:sz w:val="28"/>
                          <w:szCs w:val="28"/>
                          <w:lang w:val="en-US" w:eastAsia="zh-CN"/>
                        </w:rPr>
                        <w:t xml:space="preserve">附图6  </w:t>
                      </w:r>
                      <w:r>
                        <w:rPr>
                          <w:rFonts w:hint="eastAsia" w:ascii="黑体" w:hAnsi="黑体" w:eastAsia="黑体"/>
                          <w:sz w:val="28"/>
                          <w:szCs w:val="28"/>
                        </w:rPr>
                        <w:t>项目</w:t>
                      </w:r>
                      <w:r>
                        <w:rPr>
                          <w:rFonts w:hint="eastAsia" w:ascii="黑体" w:hAnsi="黑体" w:eastAsia="黑体"/>
                          <w:sz w:val="28"/>
                          <w:szCs w:val="28"/>
                          <w:lang w:val="en-US" w:eastAsia="zh-CN"/>
                        </w:rPr>
                        <w:t>拟建场地现状图</w:t>
                      </w:r>
                    </w:p>
                  </w:txbxContent>
                </v:textbox>
              </v:shape>
            </w:pict>
          </mc:Fallback>
        </mc:AlternateContent>
      </w:r>
    </w:p>
    <w:p>
      <w:pPr>
        <w:rPr>
          <w:rFonts w:hint="default" w:ascii="Times New Roman" w:hAnsi="Times New Roman" w:eastAsia="宋体" w:cs="Times New Roman"/>
          <w:b/>
          <w:sz w:val="28"/>
          <w:szCs w:val="28"/>
          <w:lang w:val="en-US" w:eastAsia="zh-CN"/>
        </w:rPr>
      </w:pPr>
      <w:r>
        <w:rPr>
          <w:rFonts w:hint="eastAsia" w:ascii="Times New Roman" w:hAnsi="Times New Roman" w:eastAsia="宋体" w:cs="Times New Roman"/>
          <w:b/>
          <w:sz w:val="28"/>
          <w:szCs w:val="28"/>
          <w:lang w:val="en-US" w:eastAsia="zh-CN"/>
        </w:rPr>
        <w:t>附件1 立项文件</w:t>
      </w:r>
    </w:p>
    <w:p>
      <w:pPr>
        <w:jc w:val="both"/>
        <w:rPr>
          <w:rFonts w:hint="eastAsia"/>
          <w:lang w:eastAsia="zh-CN"/>
        </w:rPr>
      </w:pPr>
      <w:r>
        <w:drawing>
          <wp:inline distT="0" distB="0" distL="114300" distR="114300">
            <wp:extent cx="5876925" cy="8362950"/>
            <wp:effectExtent l="0" t="0" r="9525" b="0"/>
            <wp:docPr id="1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1"/>
                    <pic:cNvPicPr>
                      <a:picLocks noChangeAspect="1"/>
                    </pic:cNvPicPr>
                  </pic:nvPicPr>
                  <pic:blipFill>
                    <a:blip r:embed="rId39"/>
                    <a:stretch>
                      <a:fillRect/>
                    </a:stretch>
                  </pic:blipFill>
                  <pic:spPr>
                    <a:xfrm>
                      <a:off x="0" y="0"/>
                      <a:ext cx="5876925" cy="8362950"/>
                    </a:xfrm>
                    <a:prstGeom prst="rect">
                      <a:avLst/>
                    </a:prstGeom>
                    <a:noFill/>
                    <a:ln>
                      <a:noFill/>
                    </a:ln>
                  </pic:spPr>
                </pic:pic>
              </a:graphicData>
            </a:graphic>
          </wp:inline>
        </w:drawing>
      </w:r>
    </w:p>
    <w:p>
      <w:pPr>
        <w:jc w:val="center"/>
        <w:rPr>
          <w:rFonts w:hint="eastAsia"/>
          <w:lang w:eastAsia="zh-CN"/>
        </w:rPr>
      </w:pPr>
    </w:p>
    <w:p>
      <w:pPr>
        <w:rPr>
          <w:rFonts w:hint="eastAsia" w:ascii="Times New Roman" w:hAnsi="Times New Roman" w:eastAsia="宋体" w:cs="Times New Roman"/>
          <w:b/>
          <w:sz w:val="28"/>
          <w:szCs w:val="28"/>
          <w:lang w:val="en-US" w:eastAsia="zh-CN"/>
        </w:rPr>
      </w:pPr>
    </w:p>
    <w:p>
      <w:pPr>
        <w:rPr>
          <w:rFonts w:hint="eastAsia" w:ascii="Times New Roman" w:hAnsi="Times New Roman" w:eastAsia="宋体" w:cs="Times New Roman"/>
          <w:b/>
          <w:sz w:val="28"/>
          <w:szCs w:val="28"/>
          <w:lang w:val="en-US" w:eastAsia="zh-CN"/>
        </w:rPr>
      </w:pPr>
      <w:r>
        <w:rPr>
          <w:rFonts w:hint="eastAsia" w:ascii="Times New Roman" w:hAnsi="Times New Roman" w:eastAsia="宋体" w:cs="Times New Roman"/>
          <w:b/>
          <w:sz w:val="28"/>
          <w:szCs w:val="28"/>
          <w:lang w:val="en-US" w:eastAsia="zh-CN"/>
        </w:rPr>
        <w:t>附件2 委托书</w:t>
      </w:r>
    </w:p>
    <w:p>
      <w:pPr>
        <w:rPr>
          <w:rFonts w:hint="eastAsia"/>
          <w:sz w:val="28"/>
          <w:szCs w:val="36"/>
          <w:lang w:val="en-US" w:eastAsia="zh-CN"/>
        </w:rPr>
      </w:pPr>
    </w:p>
    <w:p>
      <w:pPr>
        <w:jc w:val="center"/>
        <w:rPr>
          <w:rFonts w:hint="eastAsia"/>
          <w:sz w:val="32"/>
          <w:szCs w:val="40"/>
          <w:lang w:val="en-US" w:eastAsia="zh-CN"/>
        </w:rPr>
      </w:pPr>
      <w:r>
        <w:rPr>
          <w:rFonts w:hint="eastAsia"/>
          <w:sz w:val="32"/>
          <w:szCs w:val="40"/>
          <w:lang w:val="en-US" w:eastAsia="zh-CN"/>
        </w:rPr>
        <w:t>委托书</w:t>
      </w:r>
    </w:p>
    <w:p>
      <w:pPr>
        <w:rPr>
          <w:rFonts w:hint="eastAsia"/>
          <w:sz w:val="32"/>
          <w:szCs w:val="40"/>
          <w:lang w:val="en-US" w:eastAsia="zh-CN"/>
        </w:rPr>
      </w:pPr>
    </w:p>
    <w:p>
      <w:pPr>
        <w:pStyle w:val="2"/>
        <w:rPr>
          <w:rFonts w:hint="eastAsia"/>
          <w:lang w:val="en-US" w:eastAsia="zh-CN"/>
        </w:rPr>
      </w:pPr>
    </w:p>
    <w:p>
      <w:pPr>
        <w:rPr>
          <w:rFonts w:hint="eastAsia"/>
          <w:lang w:val="en-US" w:eastAsia="zh-CN"/>
        </w:rPr>
      </w:pPr>
    </w:p>
    <w:p>
      <w:pPr>
        <w:spacing w:line="360" w:lineRule="auto"/>
        <w:rPr>
          <w:rFonts w:hint="eastAsia"/>
          <w:sz w:val="28"/>
          <w:szCs w:val="36"/>
          <w:lang w:val="en-US" w:eastAsia="zh-CN"/>
        </w:rPr>
      </w:pPr>
      <w:r>
        <w:rPr>
          <w:rFonts w:hint="eastAsia"/>
          <w:sz w:val="28"/>
          <w:szCs w:val="36"/>
          <w:lang w:val="en-US" w:eastAsia="zh-CN"/>
        </w:rPr>
        <w:t>河南橦华生态环境设计院有限公司：</w:t>
      </w:r>
    </w:p>
    <w:p>
      <w:pPr>
        <w:spacing w:line="360" w:lineRule="auto"/>
        <w:ind w:firstLine="560" w:firstLineChars="200"/>
        <w:rPr>
          <w:rFonts w:hint="eastAsia"/>
          <w:sz w:val="28"/>
          <w:szCs w:val="28"/>
          <w:u w:val="none"/>
          <w:lang w:val="en-US" w:eastAsia="zh-CN"/>
        </w:rPr>
      </w:pPr>
      <w:r>
        <w:rPr>
          <w:rFonts w:hint="eastAsia"/>
          <w:sz w:val="28"/>
          <w:szCs w:val="28"/>
          <w:lang w:val="en-US" w:eastAsia="zh-CN"/>
        </w:rPr>
        <w:t>根据</w:t>
      </w:r>
      <w:r>
        <w:rPr>
          <w:rFonts w:hint="eastAsia"/>
          <w:sz w:val="28"/>
          <w:szCs w:val="36"/>
          <w:lang w:val="en-US" w:eastAsia="zh-CN"/>
        </w:rPr>
        <w:t>《中华人民共和国环境影响评价法》和《建设项目环境保护管理条例》的要求。特委</w:t>
      </w:r>
      <w:r>
        <w:rPr>
          <w:rFonts w:hint="eastAsia" w:ascii="Times New Roman" w:hAnsi="Times New Roman" w:eastAsia="宋体" w:cs="Times New Roman"/>
          <w:sz w:val="28"/>
          <w:szCs w:val="36"/>
          <w:u w:val="none"/>
          <w:lang w:val="en-US" w:eastAsia="zh-CN"/>
        </w:rPr>
        <w:t>托贵公司承担</w:t>
      </w:r>
      <w:r>
        <w:rPr>
          <w:rFonts w:hint="eastAsia" w:ascii="Times New Roman" w:hAnsi="Times New Roman" w:eastAsia="宋体" w:cs="Times New Roman"/>
          <w:sz w:val="28"/>
          <w:szCs w:val="36"/>
          <w:u w:val="single"/>
          <w:lang w:val="en-US" w:eastAsia="zh-CN"/>
        </w:rPr>
        <w:t>鲁山首创环保能源有限公司飞灰仓库扩建项目</w:t>
      </w:r>
      <w:r>
        <w:rPr>
          <w:rFonts w:hint="eastAsia" w:ascii="Times New Roman" w:hAnsi="Times New Roman" w:eastAsia="宋体" w:cs="Times New Roman"/>
          <w:sz w:val="28"/>
          <w:szCs w:val="36"/>
          <w:u w:val="none"/>
          <w:lang w:val="en-US" w:eastAsia="zh-CN"/>
        </w:rPr>
        <w:t>环境影响评价</w:t>
      </w:r>
      <w:r>
        <w:rPr>
          <w:rFonts w:hint="eastAsia" w:eastAsia="宋体" w:cs="Times New Roman"/>
          <w:sz w:val="28"/>
          <w:szCs w:val="36"/>
          <w:u w:val="none"/>
          <w:lang w:val="en-US" w:eastAsia="zh-CN"/>
        </w:rPr>
        <w:t>的工作，望贵公司</w:t>
      </w:r>
      <w:r>
        <w:rPr>
          <w:rFonts w:hint="eastAsia"/>
          <w:sz w:val="28"/>
          <w:szCs w:val="36"/>
          <w:u w:val="none"/>
          <w:lang w:val="en-US" w:eastAsia="zh-CN"/>
        </w:rPr>
        <w:t>接受委托后，尽快组织有关工作人员，进行环境影响评价，工作中的有关事宜，双方共同协商解决</w:t>
      </w:r>
      <w:r>
        <w:rPr>
          <w:rFonts w:hint="eastAsia"/>
          <w:sz w:val="28"/>
          <w:szCs w:val="28"/>
          <w:u w:val="none"/>
          <w:lang w:val="en-US" w:eastAsia="zh-CN"/>
        </w:rPr>
        <w:t>。</w:t>
      </w:r>
    </w:p>
    <w:p>
      <w:pPr>
        <w:spacing w:line="360" w:lineRule="auto"/>
        <w:rPr>
          <w:rFonts w:hint="eastAsia"/>
          <w:sz w:val="28"/>
          <w:szCs w:val="28"/>
          <w:lang w:val="en-US" w:eastAsia="zh-CN"/>
        </w:rPr>
      </w:pPr>
    </w:p>
    <w:p>
      <w:pPr>
        <w:spacing w:line="360" w:lineRule="auto"/>
        <w:ind w:firstLine="2240" w:firstLineChars="800"/>
        <w:rPr>
          <w:rFonts w:hint="eastAsia"/>
          <w:sz w:val="28"/>
          <w:szCs w:val="28"/>
          <w:lang w:val="en-US" w:eastAsia="zh-CN"/>
        </w:rPr>
      </w:pPr>
    </w:p>
    <w:p>
      <w:pPr>
        <w:pStyle w:val="2"/>
        <w:spacing w:line="360" w:lineRule="auto"/>
        <w:rPr>
          <w:rFonts w:hint="eastAsia"/>
          <w:lang w:val="en-US" w:eastAsia="zh-CN"/>
        </w:rPr>
      </w:pPr>
    </w:p>
    <w:p>
      <w:pPr>
        <w:spacing w:line="360" w:lineRule="auto"/>
        <w:jc w:val="right"/>
        <w:rPr>
          <w:rFonts w:hint="eastAsia"/>
          <w:sz w:val="28"/>
          <w:szCs w:val="28"/>
          <w:lang w:val="en-US" w:eastAsia="zh-CN"/>
        </w:rPr>
      </w:pPr>
    </w:p>
    <w:p>
      <w:pPr>
        <w:spacing w:line="360" w:lineRule="auto"/>
        <w:jc w:val="both"/>
        <w:rPr>
          <w:rFonts w:hint="eastAsia"/>
          <w:sz w:val="28"/>
          <w:szCs w:val="28"/>
          <w:lang w:val="en-US" w:eastAsia="zh-CN"/>
        </w:rPr>
      </w:pPr>
    </w:p>
    <w:p>
      <w:pPr>
        <w:spacing w:line="360" w:lineRule="auto"/>
        <w:jc w:val="right"/>
        <w:rPr>
          <w:rFonts w:hint="eastAsia"/>
          <w:sz w:val="28"/>
          <w:szCs w:val="28"/>
          <w:lang w:val="en-US" w:eastAsia="zh-CN"/>
        </w:rPr>
      </w:pPr>
    </w:p>
    <w:p>
      <w:pPr>
        <w:spacing w:line="360" w:lineRule="auto"/>
        <w:jc w:val="right"/>
        <w:rPr>
          <w:rFonts w:hint="eastAsia"/>
          <w:sz w:val="28"/>
          <w:szCs w:val="28"/>
          <w:lang w:val="en-US" w:eastAsia="zh-CN"/>
        </w:rPr>
      </w:pPr>
    </w:p>
    <w:p>
      <w:pPr>
        <w:spacing w:line="360" w:lineRule="auto"/>
        <w:jc w:val="right"/>
        <w:rPr>
          <w:rFonts w:hint="eastAsia"/>
          <w:sz w:val="28"/>
          <w:szCs w:val="28"/>
          <w:lang w:val="en-US" w:eastAsia="zh-CN"/>
        </w:rPr>
      </w:pPr>
    </w:p>
    <w:p>
      <w:pPr>
        <w:spacing w:line="360" w:lineRule="auto"/>
        <w:jc w:val="right"/>
        <w:rPr>
          <w:rFonts w:hint="eastAsia" w:ascii="Times New Roman" w:hAnsi="Times New Roman" w:eastAsia="宋体" w:cs="Times New Roman"/>
          <w:sz w:val="28"/>
          <w:szCs w:val="28"/>
          <w:lang w:val="en-US" w:eastAsia="zh-CN"/>
        </w:rPr>
      </w:pPr>
      <w:r>
        <w:rPr>
          <w:rFonts w:hint="eastAsia"/>
          <w:sz w:val="28"/>
          <w:szCs w:val="28"/>
          <w:lang w:val="en-US" w:eastAsia="zh-CN"/>
        </w:rPr>
        <w:t>委托单位（盖章）：</w:t>
      </w:r>
      <w:r>
        <w:rPr>
          <w:rFonts w:hint="eastAsia" w:ascii="Times New Roman" w:hAnsi="Times New Roman" w:eastAsia="宋体" w:cs="Times New Roman"/>
          <w:sz w:val="28"/>
          <w:szCs w:val="28"/>
          <w:lang w:val="en-US" w:eastAsia="zh-CN"/>
        </w:rPr>
        <w:t>鲁山首创环保能源有限公司</w:t>
      </w:r>
    </w:p>
    <w:p>
      <w:pPr>
        <w:spacing w:line="360" w:lineRule="auto"/>
        <w:jc w:val="center"/>
        <w:rPr>
          <w:rFonts w:hint="eastAsia"/>
          <w:sz w:val="28"/>
          <w:szCs w:val="28"/>
          <w:lang w:val="en-US" w:eastAsia="zh-CN"/>
        </w:rPr>
      </w:pPr>
      <w:r>
        <w:rPr>
          <w:rFonts w:hint="eastAsia"/>
          <w:sz w:val="28"/>
          <w:szCs w:val="28"/>
          <w:lang w:val="en-US" w:eastAsia="zh-CN"/>
        </w:rPr>
        <w:t xml:space="preserve">                    委托时间：202</w:t>
      </w:r>
      <w:r>
        <w:rPr>
          <w:rFonts w:hint="eastAsia" w:ascii="Times New Roman" w:hAnsi="Times New Roman" w:eastAsia="宋体" w:cs="Times New Roman"/>
          <w:sz w:val="28"/>
          <w:szCs w:val="28"/>
          <w:lang w:val="en-US" w:eastAsia="zh-CN"/>
        </w:rPr>
        <w:t>3</w:t>
      </w:r>
      <w:r>
        <w:rPr>
          <w:rFonts w:hint="eastAsia"/>
          <w:sz w:val="28"/>
          <w:szCs w:val="28"/>
          <w:lang w:val="en-US" w:eastAsia="zh-CN"/>
        </w:rPr>
        <w:t>年  月  日</w:t>
      </w:r>
    </w:p>
    <w:p>
      <w:pPr>
        <w:rPr>
          <w:rFonts w:hint="eastAsia" w:ascii="Times New Roman" w:hAnsi="Times New Roman" w:eastAsia="宋体" w:cs="Times New Roman"/>
          <w:b/>
          <w:sz w:val="28"/>
          <w:szCs w:val="28"/>
          <w:lang w:val="en-US" w:eastAsia="zh-CN"/>
        </w:rPr>
      </w:pPr>
    </w:p>
    <w:p>
      <w:pPr>
        <w:rPr>
          <w:rFonts w:hint="eastAsia" w:ascii="Times New Roman" w:hAnsi="Times New Roman" w:eastAsia="宋体" w:cs="Times New Roman"/>
          <w:b/>
          <w:sz w:val="28"/>
          <w:szCs w:val="28"/>
          <w:lang w:val="en-US" w:eastAsia="zh-CN"/>
        </w:rPr>
      </w:pPr>
    </w:p>
    <w:p>
      <w:pPr>
        <w:rPr>
          <w:rFonts w:hint="eastAsia" w:ascii="Times New Roman" w:hAnsi="Times New Roman" w:eastAsia="宋体" w:cs="Times New Roman"/>
          <w:b/>
          <w:sz w:val="28"/>
          <w:szCs w:val="28"/>
          <w:lang w:val="en-US" w:eastAsia="zh-CN"/>
        </w:rPr>
      </w:pPr>
    </w:p>
    <w:p>
      <w:pPr>
        <w:rPr>
          <w:rFonts w:hint="eastAsia" w:ascii="Times New Roman" w:hAnsi="Times New Roman" w:eastAsia="宋体" w:cs="Times New Roman"/>
          <w:b/>
          <w:sz w:val="28"/>
          <w:szCs w:val="28"/>
          <w:lang w:val="en-US" w:eastAsia="zh-CN"/>
        </w:rPr>
      </w:pPr>
      <w:r>
        <w:drawing>
          <wp:anchor distT="0" distB="0" distL="114300" distR="114300" simplePos="0" relativeHeight="251772928" behindDoc="0" locked="0" layoutInCell="1" allowOverlap="1">
            <wp:simplePos x="0" y="0"/>
            <wp:positionH relativeFrom="column">
              <wp:posOffset>131445</wp:posOffset>
            </wp:positionH>
            <wp:positionV relativeFrom="paragraph">
              <wp:posOffset>349885</wp:posOffset>
            </wp:positionV>
            <wp:extent cx="6173470" cy="8768080"/>
            <wp:effectExtent l="0" t="0" r="17780" b="13970"/>
            <wp:wrapNone/>
            <wp:docPr id="15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7"/>
                    <pic:cNvPicPr>
                      <a:picLocks noChangeAspect="1"/>
                    </pic:cNvPicPr>
                  </pic:nvPicPr>
                  <pic:blipFill>
                    <a:blip r:embed="rId40"/>
                    <a:stretch>
                      <a:fillRect/>
                    </a:stretch>
                  </pic:blipFill>
                  <pic:spPr>
                    <a:xfrm rot="10800000">
                      <a:off x="0" y="0"/>
                      <a:ext cx="6173470" cy="8768080"/>
                    </a:xfrm>
                    <a:prstGeom prst="rect">
                      <a:avLst/>
                    </a:prstGeom>
                    <a:noFill/>
                    <a:ln>
                      <a:noFill/>
                    </a:ln>
                  </pic:spPr>
                </pic:pic>
              </a:graphicData>
            </a:graphic>
          </wp:anchor>
        </w:drawing>
      </w:r>
      <w:r>
        <w:rPr>
          <w:rFonts w:hint="eastAsia" w:ascii="Times New Roman" w:hAnsi="Times New Roman" w:eastAsia="宋体" w:cs="Times New Roman"/>
          <w:b/>
          <w:sz w:val="28"/>
          <w:szCs w:val="28"/>
          <w:lang w:val="en-US" w:eastAsia="zh-CN"/>
        </w:rPr>
        <w:t>附件3 营业执照</w:t>
      </w:r>
    </w:p>
    <w:p/>
    <w:p>
      <w:pPr>
        <w:jc w:val="center"/>
        <w:rPr>
          <w:rFonts w:hint="eastAsia" w:eastAsia="宋体"/>
          <w:lang w:eastAsia="zh-CN"/>
        </w:rPr>
      </w:pPr>
    </w:p>
    <w:p>
      <w:pPr>
        <w:pStyle w:val="2"/>
        <w:rPr>
          <w:rFonts w:hint="eastAsia"/>
          <w:lang w:eastAsia="zh-CN"/>
        </w:rPr>
      </w:pPr>
    </w:p>
    <w:p/>
    <w:p>
      <w:pPr>
        <w:bidi w:val="0"/>
        <w:rPr>
          <w:kern w:val="2"/>
          <w:sz w:val="21"/>
          <w:szCs w:val="22"/>
          <w:lang w:val="en-US" w:eastAsia="zh-CN" w:bidi="ar-SA"/>
        </w:rPr>
      </w:pPr>
    </w:p>
    <w:p>
      <w:pPr>
        <w:pStyle w:val="2"/>
        <w:jc w:val="both"/>
        <w:rPr>
          <w:rFonts w:hint="eastAsia" w:ascii="Times New Roman" w:hAnsi="Times New Roman" w:eastAsia="宋体" w:cs="Times New Roman"/>
          <w:b/>
          <w:kern w:val="2"/>
          <w:sz w:val="28"/>
          <w:szCs w:val="28"/>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jc w:val="both"/>
        <w:rPr>
          <w:rFonts w:hint="eastAsia" w:ascii="Times New Roman" w:hAnsi="Times New Roman" w:eastAsia="宋体" w:cs="Times New Roman"/>
          <w:b/>
          <w:kern w:val="2"/>
          <w:sz w:val="28"/>
          <w:szCs w:val="28"/>
          <w:lang w:val="en-US" w:eastAsia="zh-CN" w:bidi="ar-SA"/>
        </w:rPr>
      </w:pPr>
    </w:p>
    <w:p>
      <w:pPr>
        <w:pStyle w:val="2"/>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附件4 现有工程环评及验收材料</w:t>
      </w:r>
    </w:p>
    <w:p>
      <w:pPr>
        <w:pStyle w:val="2"/>
        <w:jc w:val="both"/>
        <w:rPr>
          <w:rFonts w:hint="eastAsia" w:ascii="Times New Roman" w:hAnsi="Times New Roman" w:eastAsia="宋体" w:cs="Times New Roman"/>
          <w:b/>
          <w:kern w:val="2"/>
          <w:sz w:val="28"/>
          <w:szCs w:val="28"/>
          <w:lang w:val="en-US" w:eastAsia="zh-CN" w:bidi="ar-SA"/>
        </w:rPr>
      </w:pPr>
    </w:p>
    <w:p>
      <w:pPr>
        <w:pStyle w:val="2"/>
        <w:jc w:val="both"/>
        <w:sectPr>
          <w:pgSz w:w="11906" w:h="16838"/>
          <w:pgMar w:top="720" w:right="720" w:bottom="720" w:left="720" w:header="851" w:footer="992" w:gutter="0"/>
          <w:cols w:space="720" w:num="1"/>
          <w:docGrid w:type="lines" w:linePitch="312" w:charSpace="0"/>
        </w:sectPr>
      </w:pPr>
      <w:r>
        <w:drawing>
          <wp:anchor distT="0" distB="0" distL="114300" distR="114300" simplePos="0" relativeHeight="251774976" behindDoc="0" locked="0" layoutInCell="1" allowOverlap="1">
            <wp:simplePos x="0" y="0"/>
            <wp:positionH relativeFrom="column">
              <wp:posOffset>0</wp:posOffset>
            </wp:positionH>
            <wp:positionV relativeFrom="paragraph">
              <wp:posOffset>0</wp:posOffset>
            </wp:positionV>
            <wp:extent cx="6323965" cy="8258175"/>
            <wp:effectExtent l="0" t="0" r="635" b="9525"/>
            <wp:wrapNone/>
            <wp:docPr id="1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2"/>
                    <pic:cNvPicPr>
                      <a:picLocks noChangeAspect="1"/>
                    </pic:cNvPicPr>
                  </pic:nvPicPr>
                  <pic:blipFill>
                    <a:blip r:embed="rId41"/>
                    <a:stretch>
                      <a:fillRect/>
                    </a:stretch>
                  </pic:blipFill>
                  <pic:spPr>
                    <a:xfrm>
                      <a:off x="0" y="0"/>
                      <a:ext cx="6323965" cy="8258175"/>
                    </a:xfrm>
                    <a:prstGeom prst="rect">
                      <a:avLst/>
                    </a:prstGeom>
                    <a:noFill/>
                    <a:ln>
                      <a:noFill/>
                    </a:ln>
                  </pic:spPr>
                </pic:pic>
              </a:graphicData>
            </a:graphic>
          </wp:anchor>
        </w:drawing>
      </w:r>
    </w:p>
    <w:p>
      <w:pPr>
        <w:rPr>
          <w:rFonts w:hint="eastAsia"/>
          <w:lang w:val="en-US" w:eastAsia="zh-CN"/>
        </w:rPr>
        <w:sectPr>
          <w:pgSz w:w="11906" w:h="16838"/>
          <w:pgMar w:top="720" w:right="720" w:bottom="720" w:left="720" w:header="851" w:footer="992" w:gutter="0"/>
          <w:cols w:space="720" w:num="1"/>
          <w:docGrid w:type="lines" w:linePitch="312" w:charSpace="0"/>
        </w:sectPr>
      </w:pPr>
      <w:r>
        <w:drawing>
          <wp:inline distT="0" distB="0" distL="114300" distR="114300">
            <wp:extent cx="6476365" cy="8496300"/>
            <wp:effectExtent l="0" t="0" r="635" b="0"/>
            <wp:docPr id="1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3"/>
                    <pic:cNvPicPr>
                      <a:picLocks noChangeAspect="1"/>
                    </pic:cNvPicPr>
                  </pic:nvPicPr>
                  <pic:blipFill>
                    <a:blip r:embed="rId42"/>
                    <a:stretch>
                      <a:fillRect/>
                    </a:stretch>
                  </pic:blipFill>
                  <pic:spPr>
                    <a:xfrm>
                      <a:off x="0" y="0"/>
                      <a:ext cx="6476365" cy="8496300"/>
                    </a:xfrm>
                    <a:prstGeom prst="rect">
                      <a:avLst/>
                    </a:prstGeom>
                    <a:noFill/>
                    <a:ln>
                      <a:noFill/>
                    </a:ln>
                  </pic:spPr>
                </pic:pic>
              </a:graphicData>
            </a:graphic>
          </wp:inline>
        </w:drawing>
      </w:r>
    </w:p>
    <w:p>
      <w:pPr>
        <w:pStyle w:val="2"/>
        <w:rPr>
          <w:rFonts w:hint="eastAsia"/>
          <w:lang w:val="en-US" w:eastAsia="zh-CN"/>
        </w:rPr>
      </w:pPr>
    </w:p>
    <w:p>
      <w:pPr>
        <w:pStyle w:val="2"/>
        <w:jc w:val="both"/>
        <w:rPr>
          <w:rFonts w:hint="eastAsia" w:ascii="Times New Roman" w:hAnsi="Times New Roman" w:eastAsia="宋体" w:cs="Times New Roman"/>
          <w:b/>
          <w:kern w:val="2"/>
          <w:sz w:val="28"/>
          <w:szCs w:val="28"/>
          <w:lang w:val="en-US" w:eastAsia="zh-CN" w:bidi="ar-SA"/>
        </w:rPr>
      </w:pPr>
      <w:r>
        <w:drawing>
          <wp:inline distT="0" distB="0" distL="114300" distR="114300">
            <wp:extent cx="6391275" cy="8514715"/>
            <wp:effectExtent l="0" t="0" r="9525" b="635"/>
            <wp:docPr id="1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4"/>
                    <pic:cNvPicPr>
                      <a:picLocks noChangeAspect="1"/>
                    </pic:cNvPicPr>
                  </pic:nvPicPr>
                  <pic:blipFill>
                    <a:blip r:embed="rId43"/>
                    <a:stretch>
                      <a:fillRect/>
                    </a:stretch>
                  </pic:blipFill>
                  <pic:spPr>
                    <a:xfrm>
                      <a:off x="0" y="0"/>
                      <a:ext cx="6391275" cy="8514715"/>
                    </a:xfrm>
                    <a:prstGeom prst="rect">
                      <a:avLst/>
                    </a:prstGeom>
                    <a:noFill/>
                    <a:ln>
                      <a:noFill/>
                    </a:ln>
                  </pic:spPr>
                </pic:pic>
              </a:graphicData>
            </a:graphic>
          </wp:inline>
        </w:drawing>
      </w:r>
    </w:p>
    <w:p>
      <w:pPr>
        <w:bidi w:val="0"/>
        <w:rPr>
          <w:rFonts w:hint="eastAsia"/>
          <w:lang w:val="en-US" w:eastAsia="zh-CN"/>
        </w:rPr>
      </w:pPr>
    </w:p>
    <w:p>
      <w:pPr>
        <w:pStyle w:val="2"/>
        <w:ind w:left="0" w:leftChars="0" w:firstLine="0" w:firstLineChars="0"/>
        <w:jc w:val="both"/>
        <w:rPr>
          <w:rFonts w:hint="eastAsia" w:ascii="Times New Roman" w:hAnsi="Times New Roman" w:eastAsia="宋体" w:cs="Times New Roman"/>
          <w:b/>
          <w:kern w:val="2"/>
          <w:sz w:val="28"/>
          <w:szCs w:val="28"/>
          <w:lang w:val="en-US" w:eastAsia="zh-CN" w:bidi="ar-SA"/>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2"/>
        <w:ind w:left="0" w:leftChars="0" w:firstLine="0" w:firstLineChars="0"/>
        <w:jc w:val="both"/>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915275"/>
            <wp:effectExtent l="0" t="0" r="9525" b="9525"/>
            <wp:docPr id="1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
                    <pic:cNvPicPr>
                      <a:picLocks noChangeAspect="1"/>
                    </pic:cNvPicPr>
                  </pic:nvPicPr>
                  <pic:blipFill>
                    <a:blip r:embed="rId44"/>
                    <a:stretch>
                      <a:fillRect/>
                    </a:stretch>
                  </pic:blipFill>
                  <pic:spPr>
                    <a:xfrm>
                      <a:off x="0" y="0"/>
                      <a:ext cx="5591175" cy="7915275"/>
                    </a:xfrm>
                    <a:prstGeom prst="rect">
                      <a:avLst/>
                    </a:prstGeom>
                    <a:noFill/>
                    <a:ln>
                      <a:noFill/>
                    </a:ln>
                  </pic:spPr>
                </pic:pic>
              </a:graphicData>
            </a:graphic>
          </wp:inline>
        </w:drawing>
      </w:r>
    </w:p>
    <w:p>
      <w:pPr>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62600" cy="7962900"/>
            <wp:effectExtent l="0" t="0" r="0" b="0"/>
            <wp:docPr id="1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
                    <pic:cNvPicPr>
                      <a:picLocks noChangeAspect="1"/>
                    </pic:cNvPicPr>
                  </pic:nvPicPr>
                  <pic:blipFill>
                    <a:blip r:embed="rId45"/>
                    <a:stretch>
                      <a:fillRect/>
                    </a:stretch>
                  </pic:blipFill>
                  <pic:spPr>
                    <a:xfrm>
                      <a:off x="0" y="0"/>
                      <a:ext cx="5562600" cy="7962900"/>
                    </a:xfrm>
                    <a:prstGeom prst="rect">
                      <a:avLst/>
                    </a:prstGeom>
                    <a:noFill/>
                    <a:ln>
                      <a:noFill/>
                    </a:ln>
                  </pic:spPr>
                </pic:pic>
              </a:graphicData>
            </a:graphic>
          </wp:inline>
        </w:drawing>
      </w:r>
    </w:p>
    <w:p>
      <w:pPr>
        <w:pStyle w:val="2"/>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9438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46"/>
                    <a:stretch>
                      <a:fillRect/>
                    </a:stretch>
                  </pic:blipFill>
                  <pic:spPr>
                    <a:xfrm>
                      <a:off x="0" y="0"/>
                      <a:ext cx="5591175" cy="7943850"/>
                    </a:xfrm>
                    <a:prstGeom prst="rect">
                      <a:avLst/>
                    </a:prstGeom>
                    <a:noFill/>
                    <a:ln>
                      <a:noFill/>
                    </a:ln>
                  </pic:spPr>
                </pic:pic>
              </a:graphicData>
            </a:graphic>
          </wp:inline>
        </w:drawing>
      </w:r>
    </w:p>
    <w:p>
      <w:pPr>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19750" cy="7924800"/>
            <wp:effectExtent l="0" t="0" r="0" b="0"/>
            <wp:docPr id="1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5"/>
                    <pic:cNvPicPr>
                      <a:picLocks noChangeAspect="1"/>
                    </pic:cNvPicPr>
                  </pic:nvPicPr>
                  <pic:blipFill>
                    <a:blip r:embed="rId47"/>
                    <a:stretch>
                      <a:fillRect/>
                    </a:stretch>
                  </pic:blipFill>
                  <pic:spPr>
                    <a:xfrm>
                      <a:off x="0" y="0"/>
                      <a:ext cx="5619750" cy="7924800"/>
                    </a:xfrm>
                    <a:prstGeom prst="rect">
                      <a:avLst/>
                    </a:prstGeom>
                    <a:noFill/>
                    <a:ln>
                      <a:noFill/>
                    </a:ln>
                  </pic:spPr>
                </pic:pic>
              </a:graphicData>
            </a:graphic>
          </wp:inline>
        </w:drawing>
      </w:r>
    </w:p>
    <w:p>
      <w:pPr>
        <w:pStyle w:val="2"/>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81650" cy="7934325"/>
            <wp:effectExtent l="0" t="0" r="0" b="9525"/>
            <wp:docPr id="1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6"/>
                    <pic:cNvPicPr>
                      <a:picLocks noChangeAspect="1"/>
                    </pic:cNvPicPr>
                  </pic:nvPicPr>
                  <pic:blipFill>
                    <a:blip r:embed="rId48"/>
                    <a:stretch>
                      <a:fillRect/>
                    </a:stretch>
                  </pic:blipFill>
                  <pic:spPr>
                    <a:xfrm>
                      <a:off x="0" y="0"/>
                      <a:ext cx="5581650" cy="7934325"/>
                    </a:xfrm>
                    <a:prstGeom prst="rect">
                      <a:avLst/>
                    </a:prstGeom>
                    <a:noFill/>
                    <a:ln>
                      <a:noFill/>
                    </a:ln>
                  </pic:spPr>
                </pic:pic>
              </a:graphicData>
            </a:graphic>
          </wp:inline>
        </w:drawing>
      </w:r>
    </w:p>
    <w:p>
      <w:pPr>
        <w:pStyle w:val="2"/>
        <w:ind w:left="0" w:leftChars="0" w:firstLine="0" w:firstLineChars="0"/>
        <w:jc w:val="both"/>
        <w:rPr>
          <w:rFonts w:hint="eastAsia"/>
          <w:lang w:eastAsia="zh-CN"/>
        </w:rPr>
      </w:pPr>
      <w:r>
        <w:drawing>
          <wp:anchor distT="0" distB="0" distL="114300" distR="114300" simplePos="0" relativeHeight="251776000" behindDoc="0" locked="0" layoutInCell="1" allowOverlap="1">
            <wp:simplePos x="0" y="0"/>
            <wp:positionH relativeFrom="column">
              <wp:posOffset>-10795</wp:posOffset>
            </wp:positionH>
            <wp:positionV relativeFrom="paragraph">
              <wp:posOffset>190500</wp:posOffset>
            </wp:positionV>
            <wp:extent cx="6078220" cy="8997315"/>
            <wp:effectExtent l="0" t="0" r="17780" b="13335"/>
            <wp:wrapNone/>
            <wp:docPr id="1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
                    <pic:cNvPicPr>
                      <a:picLocks noChangeAspect="1"/>
                    </pic:cNvPicPr>
                  </pic:nvPicPr>
                  <pic:blipFill>
                    <a:blip r:embed="rId49"/>
                    <a:stretch>
                      <a:fillRect/>
                    </a:stretch>
                  </pic:blipFill>
                  <pic:spPr>
                    <a:xfrm>
                      <a:off x="0" y="0"/>
                      <a:ext cx="6078220" cy="8997315"/>
                    </a:xfrm>
                    <a:prstGeom prst="rect">
                      <a:avLst/>
                    </a:prstGeom>
                    <a:noFill/>
                    <a:ln>
                      <a:noFill/>
                    </a:ln>
                  </pic:spPr>
                </pic:pic>
              </a:graphicData>
            </a:graphic>
          </wp:anchor>
        </w:drawing>
      </w:r>
      <w:r>
        <w:rPr>
          <w:rFonts w:hint="eastAsia" w:ascii="Times New Roman" w:hAnsi="Times New Roman" w:eastAsia="宋体" w:cs="Times New Roman"/>
          <w:b/>
          <w:kern w:val="2"/>
          <w:sz w:val="28"/>
          <w:szCs w:val="28"/>
          <w:lang w:val="en-US" w:eastAsia="zh-CN" w:bidi="ar-SA"/>
        </w:rPr>
        <w:t>附件5 土地文件</w:t>
      </w:r>
    </w:p>
    <w:p>
      <w:pPr>
        <w:pStyle w:val="2"/>
        <w:rPr>
          <w:rFonts w:hint="eastAsia"/>
          <w:lang w:eastAsia="zh-CN"/>
        </w:rPr>
      </w:pPr>
      <w:r>
        <w:drawing>
          <wp:anchor distT="0" distB="0" distL="114300" distR="114300" simplePos="0" relativeHeight="251773952" behindDoc="0" locked="0" layoutInCell="1" allowOverlap="1">
            <wp:simplePos x="0" y="0"/>
            <wp:positionH relativeFrom="column">
              <wp:posOffset>132080</wp:posOffset>
            </wp:positionH>
            <wp:positionV relativeFrom="paragraph">
              <wp:posOffset>87630</wp:posOffset>
            </wp:positionV>
            <wp:extent cx="5856605" cy="8564245"/>
            <wp:effectExtent l="0" t="0" r="10795" b="8255"/>
            <wp:wrapNone/>
            <wp:docPr id="14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8"/>
                    <pic:cNvPicPr>
                      <a:picLocks noChangeAspect="1"/>
                    </pic:cNvPicPr>
                  </pic:nvPicPr>
                  <pic:blipFill>
                    <a:blip r:embed="rId50"/>
                    <a:stretch>
                      <a:fillRect/>
                    </a:stretch>
                  </pic:blipFill>
                  <pic:spPr>
                    <a:xfrm>
                      <a:off x="0" y="0"/>
                      <a:ext cx="5856605" cy="8564245"/>
                    </a:xfrm>
                    <a:prstGeom prst="rect">
                      <a:avLst/>
                    </a:prstGeom>
                    <a:noFill/>
                    <a:ln>
                      <a:noFill/>
                    </a:ln>
                  </pic:spPr>
                </pic:pic>
              </a:graphicData>
            </a:graphic>
          </wp:anchor>
        </w:drawing>
      </w:r>
    </w:p>
    <w:p>
      <w:pPr>
        <w:pStyle w:val="2"/>
        <w:rPr>
          <w:rFonts w:hint="eastAsia"/>
          <w:lang w:eastAsia="zh-CN"/>
        </w:rPr>
      </w:pPr>
    </w:p>
    <w:p>
      <w:pPr>
        <w:pStyle w:val="2"/>
        <w:rPr>
          <w:rFonts w:hint="eastAsia"/>
          <w:lang w:eastAsia="zh-CN"/>
        </w:rPr>
      </w:pPr>
    </w:p>
    <w:p>
      <w:pPr>
        <w:jc w:val="both"/>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300" distR="114300" simplePos="0" relativeHeight="251779072" behindDoc="0" locked="0" layoutInCell="1" allowOverlap="1">
            <wp:simplePos x="0" y="0"/>
            <wp:positionH relativeFrom="column">
              <wp:posOffset>-34290</wp:posOffset>
            </wp:positionH>
            <wp:positionV relativeFrom="paragraph">
              <wp:posOffset>24765</wp:posOffset>
            </wp:positionV>
            <wp:extent cx="5856605" cy="8564245"/>
            <wp:effectExtent l="0" t="0" r="10795" b="8255"/>
            <wp:wrapNone/>
            <wp:docPr id="22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71"/>
                    <pic:cNvPicPr>
                      <a:picLocks noChangeAspect="1"/>
                    </pic:cNvPicPr>
                  </pic:nvPicPr>
                  <pic:blipFill>
                    <a:blip r:embed="rId50"/>
                    <a:stretch>
                      <a:fillRect/>
                    </a:stretch>
                  </pic:blipFill>
                  <pic:spPr>
                    <a:xfrm>
                      <a:off x="880110" y="710565"/>
                      <a:ext cx="5856605" cy="8564245"/>
                    </a:xfrm>
                    <a:prstGeom prst="rect">
                      <a:avLst/>
                    </a:prstGeom>
                    <a:noFill/>
                    <a:ln>
                      <a:noFill/>
                    </a:ln>
                  </pic:spPr>
                </pic:pic>
              </a:graphicData>
            </a:graphic>
          </wp:anchor>
        </w:drawing>
      </w:r>
    </w:p>
    <w:p>
      <w:pPr>
        <w:pStyle w:val="2"/>
        <w:rPr>
          <w:rFonts w:hint="eastAsia"/>
          <w:lang w:val="en-US" w:eastAsia="zh-CN"/>
        </w:rPr>
      </w:pPr>
    </w:p>
    <w:p>
      <w:pPr>
        <w:jc w:val="both"/>
        <w:rPr>
          <w:rFonts w:hint="eastAsia" w:ascii="Times New Roman" w:hAnsi="Times New Roman" w:eastAsia="宋体" w:cs="Times New Roman"/>
          <w:b/>
          <w:kern w:val="2"/>
          <w:sz w:val="28"/>
          <w:szCs w:val="28"/>
          <w:lang w:val="en-US" w:eastAsia="zh-CN" w:bidi="ar-SA"/>
        </w:rPr>
      </w:pPr>
      <w:r>
        <w:drawing>
          <wp:inline distT="0" distB="0" distL="114300" distR="114300">
            <wp:extent cx="8443595" cy="6417310"/>
            <wp:effectExtent l="0" t="0" r="2540" b="14605"/>
            <wp:docPr id="1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
                    <pic:cNvPicPr>
                      <a:picLocks noChangeAspect="1"/>
                    </pic:cNvPicPr>
                  </pic:nvPicPr>
                  <pic:blipFill>
                    <a:blip r:embed="rId51"/>
                    <a:stretch>
                      <a:fillRect/>
                    </a:stretch>
                  </pic:blipFill>
                  <pic:spPr>
                    <a:xfrm rot="-5400000">
                      <a:off x="0" y="0"/>
                      <a:ext cx="8443595" cy="6417310"/>
                    </a:xfrm>
                    <a:prstGeom prst="rect">
                      <a:avLst/>
                    </a:prstGeom>
                    <a:noFill/>
                    <a:ln>
                      <a:noFill/>
                    </a:ln>
                  </pic:spPr>
                </pic:pic>
              </a:graphicData>
            </a:graphic>
          </wp:inline>
        </w:drawing>
      </w:r>
    </w:p>
    <w:p>
      <w:pPr>
        <w:jc w:val="both"/>
        <w:rPr>
          <w:rFonts w:hint="eastAsia" w:ascii="Times New Roman" w:hAnsi="Times New Roman" w:eastAsia="宋体" w:cs="Times New Roman"/>
          <w:b/>
          <w:kern w:val="2"/>
          <w:sz w:val="28"/>
          <w:szCs w:val="28"/>
          <w:lang w:val="en-US" w:eastAsia="zh-CN" w:bidi="ar-SA"/>
        </w:rPr>
      </w:pPr>
    </w:p>
    <w:p>
      <w:pPr>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附件6排污许可证</w:t>
      </w:r>
    </w:p>
    <w:p>
      <w:pPr>
        <w:jc w:val="both"/>
        <w:rPr>
          <w:rFonts w:hint="eastAsia" w:ascii="Times New Roman" w:hAnsi="Times New Roman" w:eastAsia="宋体" w:cs="Times New Roman"/>
          <w:b/>
          <w:kern w:val="2"/>
          <w:sz w:val="28"/>
          <w:szCs w:val="28"/>
          <w:lang w:val="en-US" w:eastAsia="zh-CN" w:bidi="ar-SA"/>
        </w:rPr>
      </w:pPr>
      <w:r>
        <w:drawing>
          <wp:anchor distT="0" distB="0" distL="114300" distR="114300" simplePos="0" relativeHeight="251771904" behindDoc="0" locked="0" layoutInCell="1" allowOverlap="1">
            <wp:simplePos x="0" y="0"/>
            <wp:positionH relativeFrom="column">
              <wp:posOffset>-1377950</wp:posOffset>
            </wp:positionH>
            <wp:positionV relativeFrom="paragraph">
              <wp:posOffset>1276350</wp:posOffset>
            </wp:positionV>
            <wp:extent cx="9072245" cy="6411595"/>
            <wp:effectExtent l="0" t="0" r="8255" b="14605"/>
            <wp:wrapNone/>
            <wp:docPr id="16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9"/>
                    <pic:cNvPicPr>
                      <a:picLocks noChangeAspect="1"/>
                    </pic:cNvPicPr>
                  </pic:nvPicPr>
                  <pic:blipFill>
                    <a:blip r:embed="rId52"/>
                    <a:stretch>
                      <a:fillRect/>
                    </a:stretch>
                  </pic:blipFill>
                  <pic:spPr>
                    <a:xfrm rot="-5400000">
                      <a:off x="0" y="0"/>
                      <a:ext cx="9072245" cy="6411595"/>
                    </a:xfrm>
                    <a:prstGeom prst="rect">
                      <a:avLst/>
                    </a:prstGeom>
                    <a:noFill/>
                    <a:ln>
                      <a:noFill/>
                    </a:ln>
                  </pic:spPr>
                </pic:pic>
              </a:graphicData>
            </a:graphic>
          </wp:anchor>
        </w:drawing>
      </w: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附件7 承诺书</w:t>
      </w:r>
    </w:p>
    <w:p>
      <w:pPr>
        <w:jc w:val="center"/>
        <w:rPr>
          <w:rFonts w:hint="eastAsia"/>
          <w:b/>
          <w:bCs/>
          <w:sz w:val="48"/>
          <w:szCs w:val="56"/>
          <w:lang w:val="en-US" w:eastAsia="zh-CN"/>
        </w:rPr>
      </w:pPr>
    </w:p>
    <w:p>
      <w:pPr>
        <w:spacing w:line="360" w:lineRule="auto"/>
        <w:jc w:val="center"/>
        <w:rPr>
          <w:rFonts w:hint="eastAsia"/>
          <w:b/>
          <w:bCs/>
          <w:sz w:val="48"/>
          <w:szCs w:val="56"/>
          <w:lang w:val="en-US" w:eastAsia="zh-CN"/>
        </w:rPr>
      </w:pPr>
      <w:r>
        <w:rPr>
          <w:rFonts w:hint="eastAsia"/>
          <w:b/>
          <w:bCs/>
          <w:sz w:val="48"/>
          <w:szCs w:val="56"/>
          <w:lang w:val="en-US" w:eastAsia="zh-CN"/>
        </w:rPr>
        <w:t>承 诺 书</w:t>
      </w:r>
    </w:p>
    <w:p>
      <w:pPr>
        <w:spacing w:line="360" w:lineRule="auto"/>
        <w:ind w:firstLine="640" w:firstLineChars="200"/>
        <w:rPr>
          <w:rFonts w:hint="eastAsia"/>
          <w:sz w:val="32"/>
          <w:szCs w:val="40"/>
          <w:lang w:val="en-US" w:eastAsia="zh-CN"/>
        </w:rPr>
      </w:pPr>
    </w:p>
    <w:p>
      <w:pPr>
        <w:spacing w:line="360" w:lineRule="auto"/>
        <w:ind w:firstLine="640" w:firstLineChars="200"/>
        <w:rPr>
          <w:rFonts w:hint="eastAsia"/>
          <w:sz w:val="32"/>
          <w:szCs w:val="40"/>
          <w:lang w:val="en-US" w:eastAsia="zh-CN"/>
        </w:rPr>
      </w:pPr>
      <w:r>
        <w:rPr>
          <w:rFonts w:hint="eastAsia"/>
          <w:sz w:val="32"/>
          <w:szCs w:val="40"/>
          <w:lang w:val="en-US" w:eastAsia="zh-CN"/>
        </w:rPr>
        <w:t>《</w:t>
      </w:r>
      <w:r>
        <w:rPr>
          <w:rFonts w:hint="eastAsia" w:ascii="Times New Roman" w:hAnsi="Times New Roman" w:eastAsia="宋体" w:cs="Times New Roman"/>
          <w:sz w:val="32"/>
          <w:szCs w:val="40"/>
          <w:lang w:val="en-US" w:eastAsia="zh-CN"/>
        </w:rPr>
        <w:t>鲁山首创环保能源有限公司飞灰仓库扩建项目环境影</w:t>
      </w:r>
      <w:r>
        <w:rPr>
          <w:rFonts w:hint="eastAsia"/>
          <w:sz w:val="32"/>
          <w:szCs w:val="40"/>
          <w:lang w:val="en-US" w:eastAsia="zh-CN"/>
        </w:rPr>
        <w:t>响评价报告表》已经我单位确认，现我单位作出以下承诺：</w:t>
      </w:r>
    </w:p>
    <w:p>
      <w:pPr>
        <w:numPr>
          <w:ilvl w:val="0"/>
          <w:numId w:val="8"/>
        </w:numPr>
        <w:spacing w:line="360" w:lineRule="auto"/>
        <w:ind w:firstLine="640" w:firstLineChars="200"/>
        <w:rPr>
          <w:rFonts w:hint="eastAsia"/>
          <w:sz w:val="32"/>
          <w:szCs w:val="40"/>
          <w:lang w:val="en-US" w:eastAsia="zh-CN"/>
        </w:rPr>
      </w:pPr>
      <w:r>
        <w:rPr>
          <w:rFonts w:hint="eastAsia"/>
          <w:sz w:val="32"/>
          <w:szCs w:val="40"/>
          <w:lang w:val="en-US" w:eastAsia="zh-CN"/>
        </w:rPr>
        <w:t>环评报告中内容属实，与我单位建设内容一致，我单位对提供资料的准确性和真实性负责。</w:t>
      </w:r>
    </w:p>
    <w:p>
      <w:pPr>
        <w:numPr>
          <w:ilvl w:val="0"/>
          <w:numId w:val="8"/>
        </w:numPr>
        <w:spacing w:line="360" w:lineRule="auto"/>
        <w:ind w:firstLine="640" w:firstLineChars="200"/>
        <w:rPr>
          <w:rFonts w:hint="eastAsia"/>
          <w:sz w:val="32"/>
          <w:szCs w:val="40"/>
          <w:lang w:val="en-US" w:eastAsia="zh-CN"/>
        </w:rPr>
      </w:pPr>
      <w:r>
        <w:rPr>
          <w:rFonts w:hint="eastAsia"/>
          <w:sz w:val="32"/>
          <w:szCs w:val="40"/>
          <w:lang w:val="en-US" w:eastAsia="zh-CN"/>
        </w:rPr>
        <w:t>项目生产经营过程中严格遵守国家环保政策及法律法规，如造成环境污染和生态破坏及周边民众上访问题，我单位自愿承担一切责任。</w:t>
      </w:r>
    </w:p>
    <w:p>
      <w:pPr>
        <w:numPr>
          <w:ilvl w:val="0"/>
          <w:numId w:val="8"/>
        </w:numPr>
        <w:spacing w:line="360" w:lineRule="auto"/>
        <w:ind w:firstLine="640" w:firstLineChars="200"/>
        <w:rPr>
          <w:rFonts w:hint="eastAsia"/>
          <w:sz w:val="32"/>
          <w:szCs w:val="40"/>
          <w:lang w:val="en-US" w:eastAsia="zh-CN"/>
        </w:rPr>
      </w:pPr>
      <w:r>
        <w:rPr>
          <w:rFonts w:hint="eastAsia"/>
          <w:sz w:val="32"/>
          <w:szCs w:val="40"/>
          <w:lang w:val="en-US" w:eastAsia="zh-CN"/>
        </w:rPr>
        <w:t>积极配合相关环保部门监督，自觉维护公众权益，接受社会监督。</w:t>
      </w:r>
    </w:p>
    <w:p>
      <w:pPr>
        <w:spacing w:line="360" w:lineRule="auto"/>
        <w:rPr>
          <w:rFonts w:hint="eastAsia"/>
          <w:sz w:val="32"/>
          <w:szCs w:val="40"/>
          <w:lang w:val="en-US" w:eastAsia="zh-CN"/>
        </w:rPr>
      </w:pPr>
    </w:p>
    <w:p>
      <w:pPr>
        <w:spacing w:line="360" w:lineRule="auto"/>
        <w:jc w:val="center"/>
        <w:rPr>
          <w:rFonts w:hint="eastAsia" w:ascii="Times New Roman" w:hAnsi="Times New Roman" w:eastAsia="宋体" w:cs="Times New Roman"/>
          <w:sz w:val="32"/>
          <w:szCs w:val="40"/>
          <w:lang w:val="en-US" w:eastAsia="zh-CN"/>
        </w:rPr>
      </w:pPr>
      <w:r>
        <w:rPr>
          <w:rFonts w:hint="eastAsia"/>
          <w:b/>
          <w:bCs/>
          <w:sz w:val="32"/>
          <w:szCs w:val="40"/>
          <w:lang w:val="en-US" w:eastAsia="zh-CN"/>
        </w:rPr>
        <w:t xml:space="preserve">                          </w:t>
      </w:r>
      <w:r>
        <w:rPr>
          <w:rFonts w:hint="eastAsia" w:ascii="Times New Roman" w:hAnsi="Times New Roman" w:eastAsia="宋体" w:cs="Times New Roman"/>
          <w:sz w:val="32"/>
          <w:szCs w:val="40"/>
          <w:lang w:val="en-US" w:eastAsia="zh-CN"/>
        </w:rPr>
        <w:t xml:space="preserve">  </w:t>
      </w:r>
    </w:p>
    <w:p>
      <w:pPr>
        <w:spacing w:line="360" w:lineRule="auto"/>
        <w:jc w:val="center"/>
        <w:rPr>
          <w:rFonts w:hint="eastAsia" w:ascii="Times New Roman" w:hAnsi="Times New Roman" w:eastAsia="宋体" w:cs="Times New Roman"/>
          <w:sz w:val="32"/>
          <w:szCs w:val="40"/>
          <w:lang w:val="en-US" w:eastAsia="zh-CN"/>
        </w:rPr>
      </w:pPr>
    </w:p>
    <w:p>
      <w:pPr>
        <w:spacing w:line="360" w:lineRule="auto"/>
        <w:jc w:val="center"/>
        <w:rPr>
          <w:rFonts w:hint="eastAsia" w:ascii="Times New Roman" w:hAnsi="Times New Roman" w:eastAsia="宋体" w:cs="Times New Roman"/>
          <w:sz w:val="32"/>
          <w:szCs w:val="40"/>
          <w:lang w:val="en-US" w:eastAsia="zh-CN"/>
        </w:rPr>
      </w:pPr>
    </w:p>
    <w:p>
      <w:pPr>
        <w:spacing w:line="360" w:lineRule="auto"/>
        <w:jc w:val="right"/>
        <w:rPr>
          <w:rFonts w:hint="eastAsia" w:ascii="Times New Roman" w:hAnsi="Times New Roman" w:eastAsia="宋体" w:cs="Times New Roman"/>
          <w:sz w:val="32"/>
          <w:szCs w:val="40"/>
          <w:lang w:val="en-US" w:eastAsia="zh-CN"/>
        </w:rPr>
      </w:pPr>
      <w:r>
        <w:rPr>
          <w:rFonts w:hint="eastAsia" w:ascii="Times New Roman" w:hAnsi="Times New Roman" w:eastAsia="宋体" w:cs="Times New Roman"/>
          <w:sz w:val="32"/>
          <w:szCs w:val="40"/>
          <w:lang w:val="en-US" w:eastAsia="zh-CN"/>
        </w:rPr>
        <w:t>鲁山首创环保能源有限公司</w:t>
      </w:r>
    </w:p>
    <w:p>
      <w:pPr>
        <w:spacing w:line="360" w:lineRule="auto"/>
        <w:jc w:val="right"/>
        <w:rPr>
          <w:rFonts w:hint="eastAsia" w:ascii="Times New Roman" w:hAnsi="Times New Roman" w:eastAsia="宋体" w:cs="Times New Roman"/>
          <w:sz w:val="32"/>
          <w:szCs w:val="40"/>
          <w:lang w:val="en-US" w:eastAsia="zh-CN"/>
        </w:rPr>
      </w:pPr>
      <w:r>
        <w:rPr>
          <w:rFonts w:hint="eastAsia" w:ascii="Times New Roman" w:hAnsi="Times New Roman" w:eastAsia="宋体" w:cs="Times New Roman"/>
          <w:sz w:val="32"/>
          <w:szCs w:val="40"/>
          <w:lang w:val="en-US" w:eastAsia="zh-CN"/>
        </w:rPr>
        <w:t>年   月   日</w:t>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ascii="Times New Roman" w:hAnsi="Times New Roman" w:eastAsia="宋体" w:cs="Times New Roman"/>
          <w:b/>
          <w:kern w:val="2"/>
          <w:szCs w:val="28"/>
          <w:lang w:val="en-US" w:eastAsia="zh-CN" w:bidi="ar-SA"/>
        </w:rPr>
      </w:pPr>
    </w:p>
    <w:p>
      <w:pPr>
        <w:bidi w:val="0"/>
        <w:rPr>
          <w:rFonts w:hint="eastAsia" w:ascii="Times New Roman" w:hAnsi="Times New Roman" w:eastAsia="宋体" w:cs="Times New Roman"/>
          <w:b/>
          <w:kern w:val="2"/>
          <w:szCs w:val="28"/>
          <w:lang w:val="en-US" w:eastAsia="zh-CN" w:bidi="ar-SA"/>
        </w:rPr>
      </w:pPr>
    </w:p>
    <w:p>
      <w:pPr>
        <w:bidi w:val="0"/>
        <w:rPr>
          <w:rFonts w:hint="eastAsia" w:ascii="Times New Roman" w:hAnsi="Times New Roman" w:eastAsia="宋体" w:cs="Times New Roman"/>
          <w:b/>
          <w:kern w:val="2"/>
          <w:szCs w:val="28"/>
          <w:lang w:val="en-US" w:eastAsia="zh-CN" w:bidi="ar-SA"/>
        </w:rPr>
      </w:pPr>
    </w:p>
    <w:p>
      <w:pPr>
        <w:bidi w:val="0"/>
        <w:rPr>
          <w:rFonts w:hint="eastAsia" w:ascii="Times New Roman" w:hAnsi="Times New Roman" w:eastAsia="宋体" w:cs="Times New Roman"/>
          <w:b/>
          <w:kern w:val="2"/>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eastAsia"/>
          <w:lang w:eastAsia="zh-CN"/>
        </w:rPr>
      </w:pPr>
      <w:r>
        <w:drawing>
          <wp:anchor distT="0" distB="0" distL="114300" distR="114300" simplePos="0" relativeHeight="251780096" behindDoc="0" locked="0" layoutInCell="1" allowOverlap="1">
            <wp:simplePos x="0" y="0"/>
            <wp:positionH relativeFrom="column">
              <wp:posOffset>-94615</wp:posOffset>
            </wp:positionH>
            <wp:positionV relativeFrom="paragraph">
              <wp:posOffset>326390</wp:posOffset>
            </wp:positionV>
            <wp:extent cx="6358255" cy="9003030"/>
            <wp:effectExtent l="0" t="0" r="4445" b="7620"/>
            <wp:wrapNone/>
            <wp:docPr id="22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85"/>
                    <pic:cNvPicPr>
                      <a:picLocks noChangeAspect="1"/>
                    </pic:cNvPicPr>
                  </pic:nvPicPr>
                  <pic:blipFill>
                    <a:blip r:embed="rId53"/>
                    <a:stretch>
                      <a:fillRect/>
                    </a:stretch>
                  </pic:blipFill>
                  <pic:spPr>
                    <a:xfrm>
                      <a:off x="0" y="0"/>
                      <a:ext cx="6358255" cy="9003030"/>
                    </a:xfrm>
                    <a:prstGeom prst="rect">
                      <a:avLst/>
                    </a:prstGeom>
                    <a:noFill/>
                    <a:ln>
                      <a:noFill/>
                    </a:ln>
                  </pic:spPr>
                </pic:pic>
              </a:graphicData>
            </a:graphic>
          </wp:anchor>
        </w:drawing>
      </w:r>
      <w:r>
        <w:rPr>
          <w:rFonts w:hint="eastAsia" w:ascii="Times New Roman" w:hAnsi="Times New Roman" w:eastAsia="宋体" w:cs="Times New Roman"/>
          <w:b/>
          <w:kern w:val="2"/>
          <w:sz w:val="28"/>
          <w:szCs w:val="28"/>
          <w:lang w:val="en-US" w:eastAsia="zh-CN" w:bidi="ar-SA"/>
        </w:rPr>
        <w:t>附件8  租赁合同</w:t>
      </w:r>
    </w:p>
    <w:p>
      <w:pPr>
        <w:pStyle w:val="2"/>
        <w:rPr>
          <w:rFonts w:hint="eastAsia"/>
          <w:lang w:eastAsia="zh-CN"/>
        </w:rPr>
      </w:pPr>
    </w:p>
    <w:p>
      <w:pPr>
        <w:pStyle w:val="2"/>
        <w:rPr>
          <w:rFonts w:hint="eastAsia"/>
          <w:lang w:eastAsia="zh-CN"/>
        </w:rPr>
      </w:pPr>
    </w:p>
    <w:p>
      <w:pPr>
        <w:pStyle w:val="2"/>
        <w:rPr>
          <w:rFonts w:hint="eastAsia"/>
          <w:lang w:eastAsia="zh-CN"/>
        </w:rPr>
      </w:pPr>
    </w:p>
    <w:p>
      <w:pPr>
        <w:jc w:val="both"/>
        <w:rPr>
          <w:rFonts w:hint="eastAsia" w:ascii="Times New Roman" w:hAnsi="Times New Roman" w:eastAsia="宋体" w:cs="Times New Roman"/>
          <w:b/>
          <w:kern w:val="2"/>
          <w:sz w:val="28"/>
          <w:szCs w:val="28"/>
          <w:lang w:val="en-US" w:eastAsia="zh-CN" w:bidi="ar-SA"/>
        </w:rPr>
      </w:pPr>
    </w:p>
    <w:p>
      <w:pPr>
        <w:pStyle w:val="2"/>
        <w:rPr>
          <w:rFonts w:hint="eastAsia"/>
          <w:lang w:val="en-US" w:eastAsia="zh-CN"/>
        </w:rPr>
      </w:pPr>
    </w:p>
    <w:p>
      <w:pPr>
        <w:jc w:val="both"/>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pStyle w:val="2"/>
        <w:rPr>
          <w:rFonts w:hint="eastAsia" w:ascii="Times New Roman" w:hAnsi="Times New Roman" w:eastAsia="宋体" w:cs="Times New Roman"/>
          <w:b/>
          <w:kern w:val="2"/>
          <w:sz w:val="28"/>
          <w:szCs w:val="28"/>
          <w:lang w:val="en-US" w:eastAsia="zh-CN" w:bidi="ar-SA"/>
        </w:rPr>
      </w:pPr>
    </w:p>
    <w:p>
      <w:pPr>
        <w:rPr>
          <w:rFonts w:hint="eastAsia" w:ascii="Times New Roman" w:hAnsi="Times New Roman" w:eastAsia="宋体" w:cs="Times New Roman"/>
          <w:b/>
          <w:kern w:val="2"/>
          <w:sz w:val="28"/>
          <w:szCs w:val="28"/>
          <w:lang w:val="en-US" w:eastAsia="zh-CN" w:bidi="ar-SA"/>
        </w:rPr>
      </w:pPr>
    </w:p>
    <w:p>
      <w:pPr>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2"/>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896225"/>
            <wp:effectExtent l="0" t="0" r="9525" b="9525"/>
            <wp:docPr id="23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6"/>
                    <pic:cNvPicPr>
                      <a:picLocks noChangeAspect="1"/>
                    </pic:cNvPicPr>
                  </pic:nvPicPr>
                  <pic:blipFill>
                    <a:blip r:embed="rId54"/>
                    <a:stretch>
                      <a:fillRect/>
                    </a:stretch>
                  </pic:blipFill>
                  <pic:spPr>
                    <a:xfrm>
                      <a:off x="0" y="0"/>
                      <a:ext cx="5591175" cy="7896225"/>
                    </a:xfrm>
                    <a:prstGeom prst="rect">
                      <a:avLst/>
                    </a:prstGeom>
                    <a:noFill/>
                    <a:ln>
                      <a:noFill/>
                    </a:ln>
                  </pic:spPr>
                </pic:pic>
              </a:graphicData>
            </a:graphic>
          </wp:inline>
        </w:drawing>
      </w:r>
    </w:p>
    <w:p>
      <w:pPr>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934325"/>
            <wp:effectExtent l="0" t="0" r="9525" b="9525"/>
            <wp:docPr id="23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7"/>
                    <pic:cNvPicPr>
                      <a:picLocks noChangeAspect="1"/>
                    </pic:cNvPicPr>
                  </pic:nvPicPr>
                  <pic:blipFill>
                    <a:blip r:embed="rId55"/>
                    <a:stretch>
                      <a:fillRect/>
                    </a:stretch>
                  </pic:blipFill>
                  <pic:spPr>
                    <a:xfrm>
                      <a:off x="0" y="0"/>
                      <a:ext cx="5591175" cy="7934325"/>
                    </a:xfrm>
                    <a:prstGeom prst="rect">
                      <a:avLst/>
                    </a:prstGeom>
                    <a:noFill/>
                    <a:ln>
                      <a:noFill/>
                    </a:ln>
                  </pic:spPr>
                </pic:pic>
              </a:graphicData>
            </a:graphic>
          </wp:inline>
        </w:drawing>
      </w:r>
    </w:p>
    <w:p>
      <w:pPr>
        <w:jc w:val="both"/>
        <w:rPr>
          <w:rFonts w:hint="default" w:ascii="Times New Roman" w:hAnsi="Times New Roman" w:eastAsia="宋体" w:cs="Times New Roman"/>
          <w:b/>
          <w:kern w:val="2"/>
          <w:sz w:val="28"/>
          <w:szCs w:val="28"/>
          <w:lang w:val="en-US" w:eastAsia="zh-CN" w:bidi="ar-SA"/>
        </w:rPr>
      </w:pPr>
      <w:r>
        <w:drawing>
          <wp:anchor distT="0" distB="0" distL="114300" distR="114300" simplePos="0" relativeHeight="251777024" behindDoc="0" locked="0" layoutInCell="1" allowOverlap="1">
            <wp:simplePos x="0" y="0"/>
            <wp:positionH relativeFrom="column">
              <wp:posOffset>-455295</wp:posOffset>
            </wp:positionH>
            <wp:positionV relativeFrom="paragraph">
              <wp:posOffset>387350</wp:posOffset>
            </wp:positionV>
            <wp:extent cx="6642100" cy="8821420"/>
            <wp:effectExtent l="0" t="0" r="6350" b="17780"/>
            <wp:wrapNone/>
            <wp:docPr id="1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8"/>
                    <pic:cNvPicPr>
                      <a:picLocks noChangeAspect="1"/>
                    </pic:cNvPicPr>
                  </pic:nvPicPr>
                  <pic:blipFill>
                    <a:blip r:embed="rId56"/>
                    <a:stretch>
                      <a:fillRect/>
                    </a:stretch>
                  </pic:blipFill>
                  <pic:spPr>
                    <a:xfrm>
                      <a:off x="0" y="0"/>
                      <a:ext cx="6642100" cy="8821420"/>
                    </a:xfrm>
                    <a:prstGeom prst="rect">
                      <a:avLst/>
                    </a:prstGeom>
                    <a:noFill/>
                    <a:ln>
                      <a:noFill/>
                    </a:ln>
                  </pic:spPr>
                </pic:pic>
              </a:graphicData>
            </a:graphic>
          </wp:anchor>
        </w:drawing>
      </w:r>
      <w:r>
        <w:rPr>
          <w:rFonts w:hint="eastAsia" w:ascii="Times New Roman" w:hAnsi="Times New Roman" w:cs="Times New Roman"/>
          <w:b/>
          <w:kern w:val="2"/>
          <w:sz w:val="28"/>
          <w:szCs w:val="28"/>
          <w:lang w:val="en-US" w:eastAsia="zh-CN" w:bidi="ar-SA"/>
        </w:rPr>
        <w:t>附</w:t>
      </w:r>
      <w:r>
        <w:rPr>
          <w:rFonts w:hint="eastAsia" w:ascii="Times New Roman" w:hAnsi="Times New Roman" w:eastAsia="宋体" w:cs="Times New Roman"/>
          <w:b/>
          <w:kern w:val="2"/>
          <w:sz w:val="28"/>
          <w:szCs w:val="28"/>
          <w:lang w:val="en-US" w:eastAsia="zh-CN" w:bidi="ar-SA"/>
        </w:rPr>
        <w:t>件9 执行标准</w:t>
      </w:r>
    </w:p>
    <w:p>
      <w:pPr>
        <w:jc w:val="both"/>
        <w:rPr>
          <w:rFonts w:hint="eastAsia" w:ascii="Times New Roman" w:hAnsi="Times New Roman" w:eastAsia="宋体" w:cs="Times New Roman"/>
          <w:b/>
          <w:kern w:val="2"/>
          <w:sz w:val="28"/>
          <w:szCs w:val="28"/>
          <w:lang w:val="en-US" w:eastAsia="zh-CN" w:bidi="ar-SA"/>
        </w:rPr>
      </w:pPr>
    </w:p>
    <w:p>
      <w:pPr>
        <w:jc w:val="both"/>
        <w:rPr>
          <w:rFonts w:hint="eastAsia" w:ascii="Times New Roman" w:hAnsi="Times New Roman" w:eastAsia="宋体" w:cs="Times New Roman"/>
          <w:b/>
          <w:kern w:val="2"/>
          <w:sz w:val="28"/>
          <w:szCs w:val="28"/>
          <w:lang w:val="en-US" w:eastAsia="zh-CN" w:bidi="ar-SA"/>
        </w:rPr>
      </w:pPr>
    </w:p>
    <w:p>
      <w:pPr>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附件10 现有工程自行监测报告</w:t>
      </w:r>
    </w:p>
    <w:p>
      <w:pPr>
        <w:pStyle w:val="2"/>
        <w:rPr>
          <w:rFonts w:hint="default" w:ascii="Times New Roman" w:hAnsi="Times New Roman" w:eastAsia="宋体" w:cs="Times New Roman"/>
          <w:b/>
          <w:kern w:val="2"/>
          <w:sz w:val="28"/>
          <w:szCs w:val="28"/>
          <w:lang w:val="en-US" w:eastAsia="zh-CN" w:bidi="ar-SA"/>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ind w:left="0" w:leftChars="0" w:firstLine="0" w:firstLineChars="0"/>
        <w:jc w:val="both"/>
        <w:rPr>
          <w:rFonts w:hint="eastAsia"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附件10 现有飞灰库内废气检测报告</w:t>
      </w:r>
    </w:p>
    <w:p>
      <w:r>
        <w:drawing>
          <wp:inline distT="0" distB="0" distL="114300" distR="114300">
            <wp:extent cx="5553075" cy="7877175"/>
            <wp:effectExtent l="0" t="0" r="9525" b="9525"/>
            <wp:docPr id="1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9"/>
                    <pic:cNvPicPr>
                      <a:picLocks noChangeAspect="1"/>
                    </pic:cNvPicPr>
                  </pic:nvPicPr>
                  <pic:blipFill>
                    <a:blip r:embed="rId57"/>
                    <a:stretch>
                      <a:fillRect/>
                    </a:stretch>
                  </pic:blipFill>
                  <pic:spPr>
                    <a:xfrm>
                      <a:off x="0" y="0"/>
                      <a:ext cx="5553075" cy="7877175"/>
                    </a:xfrm>
                    <a:prstGeom prst="rect">
                      <a:avLst/>
                    </a:prstGeom>
                    <a:noFill/>
                    <a:ln>
                      <a:noFill/>
                    </a:ln>
                  </pic:spPr>
                </pic:pic>
              </a:graphicData>
            </a:graphic>
          </wp:inline>
        </w:drawing>
      </w:r>
    </w:p>
    <w:p>
      <w:pPr>
        <w:pStyle w:val="2"/>
      </w:pPr>
    </w:p>
    <w:p/>
    <w:p>
      <w:pPr>
        <w:pStyle w:val="2"/>
      </w:pPr>
    </w:p>
    <w:p>
      <w:r>
        <w:drawing>
          <wp:inline distT="0" distB="0" distL="114300" distR="114300">
            <wp:extent cx="5876925" cy="8334375"/>
            <wp:effectExtent l="0" t="0" r="9525" b="9525"/>
            <wp:docPr id="1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0"/>
                    <pic:cNvPicPr>
                      <a:picLocks noChangeAspect="1"/>
                    </pic:cNvPicPr>
                  </pic:nvPicPr>
                  <pic:blipFill>
                    <a:blip r:embed="rId58"/>
                    <a:stretch>
                      <a:fillRect/>
                    </a:stretch>
                  </pic:blipFill>
                  <pic:spPr>
                    <a:xfrm>
                      <a:off x="0" y="0"/>
                      <a:ext cx="5876925" cy="8334375"/>
                    </a:xfrm>
                    <a:prstGeom prst="rect">
                      <a:avLst/>
                    </a:prstGeom>
                    <a:noFill/>
                    <a:ln>
                      <a:noFill/>
                    </a:ln>
                  </pic:spPr>
                </pic:pic>
              </a:graphicData>
            </a:graphic>
          </wp:inline>
        </w:drawing>
      </w:r>
    </w:p>
    <w:p/>
    <w:p>
      <w:pPr>
        <w:pStyle w:val="2"/>
      </w:pPr>
      <w:r>
        <w:drawing>
          <wp:inline distT="0" distB="0" distL="114300" distR="114300">
            <wp:extent cx="5905500" cy="8315325"/>
            <wp:effectExtent l="0" t="0" r="0" b="9525"/>
            <wp:docPr id="1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1"/>
                    <pic:cNvPicPr>
                      <a:picLocks noChangeAspect="1"/>
                    </pic:cNvPicPr>
                  </pic:nvPicPr>
                  <pic:blipFill>
                    <a:blip r:embed="rId59"/>
                    <a:stretch>
                      <a:fillRect/>
                    </a:stretch>
                  </pic:blipFill>
                  <pic:spPr>
                    <a:xfrm>
                      <a:off x="0" y="0"/>
                      <a:ext cx="5905500" cy="8315325"/>
                    </a:xfrm>
                    <a:prstGeom prst="rect">
                      <a:avLst/>
                    </a:prstGeom>
                    <a:noFill/>
                    <a:ln>
                      <a:noFill/>
                    </a:ln>
                  </pic:spPr>
                </pic:pic>
              </a:graphicData>
            </a:graphic>
          </wp:inline>
        </w:drawing>
      </w:r>
    </w:p>
    <w:p>
      <w:pPr>
        <w:pStyle w:val="2"/>
      </w:pPr>
    </w:p>
    <w:p/>
    <w:p>
      <w:pPr>
        <w:pStyle w:val="2"/>
      </w:pPr>
    </w:p>
    <w:p/>
    <w:p>
      <w:r>
        <w:drawing>
          <wp:inline distT="0" distB="0" distL="114300" distR="114300">
            <wp:extent cx="5876925" cy="8362950"/>
            <wp:effectExtent l="0" t="0" r="9525" b="0"/>
            <wp:docPr id="1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2"/>
                    <pic:cNvPicPr>
                      <a:picLocks noChangeAspect="1"/>
                    </pic:cNvPicPr>
                  </pic:nvPicPr>
                  <pic:blipFill>
                    <a:blip r:embed="rId60"/>
                    <a:stretch>
                      <a:fillRect/>
                    </a:stretch>
                  </pic:blipFill>
                  <pic:spPr>
                    <a:xfrm>
                      <a:off x="0" y="0"/>
                      <a:ext cx="5876925" cy="8362950"/>
                    </a:xfrm>
                    <a:prstGeom prst="rect">
                      <a:avLst/>
                    </a:prstGeom>
                    <a:noFill/>
                    <a:ln>
                      <a:noFill/>
                    </a:ln>
                  </pic:spPr>
                </pic:pic>
              </a:graphicData>
            </a:graphic>
          </wp:inline>
        </w:drawing>
      </w:r>
    </w:p>
    <w:p/>
    <w:p/>
    <w:p>
      <w:pPr>
        <w:pStyle w:val="2"/>
      </w:pPr>
      <w:r>
        <w:drawing>
          <wp:inline distT="0" distB="0" distL="114300" distR="114300">
            <wp:extent cx="5905500" cy="8296275"/>
            <wp:effectExtent l="0" t="0" r="0" b="9525"/>
            <wp:docPr id="16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3"/>
                    <pic:cNvPicPr>
                      <a:picLocks noChangeAspect="1"/>
                    </pic:cNvPicPr>
                  </pic:nvPicPr>
                  <pic:blipFill>
                    <a:blip r:embed="rId61"/>
                    <a:stretch>
                      <a:fillRect/>
                    </a:stretch>
                  </pic:blipFill>
                  <pic:spPr>
                    <a:xfrm>
                      <a:off x="0" y="0"/>
                      <a:ext cx="5905500" cy="8296275"/>
                    </a:xfrm>
                    <a:prstGeom prst="rect">
                      <a:avLst/>
                    </a:prstGeom>
                    <a:noFill/>
                    <a:ln>
                      <a:noFill/>
                    </a:ln>
                  </pic:spPr>
                </pic:pic>
              </a:graphicData>
            </a:graphic>
          </wp:inline>
        </w:drawing>
      </w:r>
    </w:p>
    <w:p>
      <w:pPr>
        <w:pStyle w:val="2"/>
      </w:pPr>
    </w:p>
    <w:p/>
    <w:p>
      <w:pPr>
        <w:pStyle w:val="2"/>
      </w:pPr>
    </w:p>
    <w:p/>
    <w:p>
      <w:pPr>
        <w:pStyle w:val="2"/>
      </w:pPr>
      <w:r>
        <w:drawing>
          <wp:anchor distT="0" distB="0" distL="114300" distR="114300" simplePos="0" relativeHeight="251778048" behindDoc="0" locked="0" layoutInCell="1" allowOverlap="1">
            <wp:simplePos x="0" y="0"/>
            <wp:positionH relativeFrom="column">
              <wp:posOffset>0</wp:posOffset>
            </wp:positionH>
            <wp:positionV relativeFrom="paragraph">
              <wp:posOffset>-535940</wp:posOffset>
            </wp:positionV>
            <wp:extent cx="5905500" cy="8277225"/>
            <wp:effectExtent l="0" t="0" r="0" b="9525"/>
            <wp:wrapNone/>
            <wp:docPr id="15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4"/>
                    <pic:cNvPicPr>
                      <a:picLocks noChangeAspect="1"/>
                    </pic:cNvPicPr>
                  </pic:nvPicPr>
                  <pic:blipFill>
                    <a:blip r:embed="rId62"/>
                    <a:stretch>
                      <a:fillRect/>
                    </a:stretch>
                  </pic:blipFill>
                  <pic:spPr>
                    <a:xfrm>
                      <a:off x="0" y="0"/>
                      <a:ext cx="5905500" cy="8277225"/>
                    </a:xfrm>
                    <a:prstGeom prst="rect">
                      <a:avLst/>
                    </a:prstGeom>
                    <a:noFill/>
                    <a:ln>
                      <a:noFill/>
                    </a:ln>
                  </pic:spPr>
                </pic:pic>
              </a:graphicData>
            </a:graphic>
          </wp:anchor>
        </w:drawing>
      </w:r>
    </w:p>
    <w:p>
      <w:pPr>
        <w:pStyle w:val="2"/>
      </w:pPr>
    </w:p>
    <w:p/>
    <w:p>
      <w:pPr>
        <w:pStyle w:val="2"/>
      </w:pPr>
      <w:r>
        <w:drawing>
          <wp:inline distT="0" distB="0" distL="114300" distR="114300">
            <wp:extent cx="5895975" cy="8267700"/>
            <wp:effectExtent l="0" t="0" r="9525" b="0"/>
            <wp:docPr id="1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5"/>
                    <pic:cNvPicPr>
                      <a:picLocks noChangeAspect="1"/>
                    </pic:cNvPicPr>
                  </pic:nvPicPr>
                  <pic:blipFill>
                    <a:blip r:embed="rId63"/>
                    <a:stretch>
                      <a:fillRect/>
                    </a:stretch>
                  </pic:blipFill>
                  <pic:spPr>
                    <a:xfrm>
                      <a:off x="0" y="0"/>
                      <a:ext cx="5895975" cy="8267700"/>
                    </a:xfrm>
                    <a:prstGeom prst="rect">
                      <a:avLst/>
                    </a:prstGeom>
                    <a:noFill/>
                    <a:ln>
                      <a:noFill/>
                    </a:ln>
                  </pic:spPr>
                </pic:pic>
              </a:graphicData>
            </a:graphic>
          </wp:inline>
        </w:drawing>
      </w:r>
    </w:p>
    <w:p>
      <w:pPr>
        <w:pStyle w:val="2"/>
      </w:pPr>
    </w:p>
    <w:p/>
    <w:p>
      <w:pPr>
        <w:pStyle w:val="2"/>
      </w:pPr>
      <w:r>
        <w:drawing>
          <wp:inline distT="0" distB="0" distL="114300" distR="114300">
            <wp:extent cx="5838825" cy="8210550"/>
            <wp:effectExtent l="0" t="0" r="9525" b="0"/>
            <wp:docPr id="15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6"/>
                    <pic:cNvPicPr>
                      <a:picLocks noChangeAspect="1"/>
                    </pic:cNvPicPr>
                  </pic:nvPicPr>
                  <pic:blipFill>
                    <a:blip r:embed="rId64"/>
                    <a:stretch>
                      <a:fillRect/>
                    </a:stretch>
                  </pic:blipFill>
                  <pic:spPr>
                    <a:xfrm>
                      <a:off x="0" y="0"/>
                      <a:ext cx="5838825" cy="8210550"/>
                    </a:xfrm>
                    <a:prstGeom prst="rect">
                      <a:avLst/>
                    </a:prstGeom>
                    <a:noFill/>
                    <a:ln>
                      <a:noFill/>
                    </a:ln>
                  </pic:spPr>
                </pic:pic>
              </a:graphicData>
            </a:graphic>
          </wp:inline>
        </w:drawing>
      </w:r>
    </w:p>
    <w:p>
      <w:pPr>
        <w:pStyle w:val="2"/>
      </w:pPr>
    </w:p>
    <w:p/>
    <w:p>
      <w:pPr>
        <w:pStyle w:val="2"/>
        <w:ind w:left="0" w:leftChars="0" w:firstLine="0" w:firstLineChars="0"/>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附件11 自行检测报告（氨气无组织）</w:t>
      </w:r>
    </w:p>
    <w:p>
      <w:r>
        <w:drawing>
          <wp:inline distT="0" distB="0" distL="114300" distR="114300">
            <wp:extent cx="5572125" cy="7877175"/>
            <wp:effectExtent l="0" t="0" r="9525" b="9525"/>
            <wp:docPr id="17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2"/>
                    <pic:cNvPicPr>
                      <a:picLocks noChangeAspect="1"/>
                    </pic:cNvPicPr>
                  </pic:nvPicPr>
                  <pic:blipFill>
                    <a:blip r:embed="rId65"/>
                    <a:stretch>
                      <a:fillRect/>
                    </a:stretch>
                  </pic:blipFill>
                  <pic:spPr>
                    <a:xfrm>
                      <a:off x="0" y="0"/>
                      <a:ext cx="5572125" cy="7877175"/>
                    </a:xfrm>
                    <a:prstGeom prst="rect">
                      <a:avLst/>
                    </a:prstGeom>
                    <a:noFill/>
                    <a:ln>
                      <a:noFill/>
                    </a:ln>
                  </pic:spPr>
                </pic:pic>
              </a:graphicData>
            </a:graphic>
          </wp:inline>
        </w:drawing>
      </w:r>
    </w:p>
    <w:p>
      <w:pPr>
        <w:pStyle w:val="2"/>
      </w:pPr>
    </w:p>
    <w:p/>
    <w:p/>
    <w:p>
      <w:pPr>
        <w:pStyle w:val="2"/>
      </w:pPr>
      <w:r>
        <w:drawing>
          <wp:inline distT="0" distB="0" distL="114300" distR="114300">
            <wp:extent cx="5610225" cy="7915275"/>
            <wp:effectExtent l="0" t="0" r="9525" b="9525"/>
            <wp:docPr id="1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3"/>
                    <pic:cNvPicPr>
                      <a:picLocks noChangeAspect="1"/>
                    </pic:cNvPicPr>
                  </pic:nvPicPr>
                  <pic:blipFill>
                    <a:blip r:embed="rId66"/>
                    <a:stretch>
                      <a:fillRect/>
                    </a:stretch>
                  </pic:blipFill>
                  <pic:spPr>
                    <a:xfrm>
                      <a:off x="0" y="0"/>
                      <a:ext cx="5610225" cy="7915275"/>
                    </a:xfrm>
                    <a:prstGeom prst="rect">
                      <a:avLst/>
                    </a:prstGeom>
                    <a:noFill/>
                    <a:ln>
                      <a:noFill/>
                    </a:ln>
                  </pic:spPr>
                </pic:pic>
              </a:graphicData>
            </a:graphic>
          </wp:inline>
        </w:drawing>
      </w:r>
    </w:p>
    <w:p/>
    <w:p>
      <w:pPr>
        <w:pStyle w:val="2"/>
        <w:rPr>
          <w:rFonts w:hint="default"/>
          <w:lang w:val="en-US" w:eastAsia="zh-CN"/>
        </w:rPr>
      </w:pPr>
    </w:p>
    <w:p>
      <w:pPr>
        <w:pStyle w:val="49"/>
        <w:spacing w:beforeLines="80" w:after="24"/>
        <w:jc w:val="left"/>
        <w:rPr>
          <w:rFonts w:hint="eastAsia" w:ascii="Times New Roman" w:hAnsi="Times New Roman" w:cs="Times New Roman"/>
          <w:snapToGrid w:val="0"/>
          <w:color w:val="auto"/>
          <w:spacing w:val="-6"/>
          <w:kern w:val="21"/>
          <w:szCs w:val="21"/>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81650" cy="7924800"/>
            <wp:effectExtent l="0" t="0" r="0" b="0"/>
            <wp:docPr id="17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4"/>
                    <pic:cNvPicPr>
                      <a:picLocks noChangeAspect="1"/>
                    </pic:cNvPicPr>
                  </pic:nvPicPr>
                  <pic:blipFill>
                    <a:blip r:embed="rId67"/>
                    <a:stretch>
                      <a:fillRect/>
                    </a:stretch>
                  </pic:blipFill>
                  <pic:spPr>
                    <a:xfrm>
                      <a:off x="0" y="0"/>
                      <a:ext cx="5581650" cy="7924800"/>
                    </a:xfrm>
                    <a:prstGeom prst="rect">
                      <a:avLst/>
                    </a:prstGeom>
                    <a:noFill/>
                    <a:ln>
                      <a:noFill/>
                    </a:ln>
                  </pic:spPr>
                </pic:pic>
              </a:graphicData>
            </a:graphic>
          </wp:inline>
        </w:drawing>
      </w:r>
    </w:p>
    <w:p>
      <w:pPr>
        <w:pStyle w:val="49"/>
        <w:spacing w:beforeLines="80" w:after="24"/>
        <w:jc w:val="left"/>
      </w:pPr>
      <w:r>
        <w:drawing>
          <wp:inline distT="0" distB="0" distL="114300" distR="114300">
            <wp:extent cx="5562600" cy="7905750"/>
            <wp:effectExtent l="0" t="0" r="0" b="0"/>
            <wp:docPr id="1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5"/>
                    <pic:cNvPicPr>
                      <a:picLocks noChangeAspect="1"/>
                    </pic:cNvPicPr>
                  </pic:nvPicPr>
                  <pic:blipFill>
                    <a:blip r:embed="rId68"/>
                    <a:stretch>
                      <a:fillRect/>
                    </a:stretch>
                  </pic:blipFill>
                  <pic:spPr>
                    <a:xfrm>
                      <a:off x="0" y="0"/>
                      <a:ext cx="5562600" cy="7905750"/>
                    </a:xfrm>
                    <a:prstGeom prst="rect">
                      <a:avLst/>
                    </a:prstGeom>
                    <a:noFill/>
                    <a:ln>
                      <a:noFill/>
                    </a:ln>
                  </pic:spPr>
                </pic:pic>
              </a:graphicData>
            </a:graphic>
          </wp:inline>
        </w:drawing>
      </w: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pPr>
      <w:r>
        <w:drawing>
          <wp:inline distT="0" distB="0" distL="114300" distR="114300">
            <wp:extent cx="5591175" cy="7905750"/>
            <wp:effectExtent l="0" t="0" r="9525" b="0"/>
            <wp:docPr id="17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6"/>
                    <pic:cNvPicPr>
                      <a:picLocks noChangeAspect="1"/>
                    </pic:cNvPicPr>
                  </pic:nvPicPr>
                  <pic:blipFill>
                    <a:blip r:embed="rId69"/>
                    <a:stretch>
                      <a:fillRect/>
                    </a:stretch>
                  </pic:blipFill>
                  <pic:spPr>
                    <a:xfrm>
                      <a:off x="0" y="0"/>
                      <a:ext cx="5591175" cy="7905750"/>
                    </a:xfrm>
                    <a:prstGeom prst="rect">
                      <a:avLst/>
                    </a:prstGeom>
                    <a:noFill/>
                    <a:ln>
                      <a:noFill/>
                    </a:ln>
                  </pic:spPr>
                </pic:pic>
              </a:graphicData>
            </a:graphic>
          </wp:inline>
        </w:drawing>
      </w: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pPr>
      <w:r>
        <w:drawing>
          <wp:inline distT="0" distB="0" distL="114300" distR="114300">
            <wp:extent cx="5648325" cy="7810500"/>
            <wp:effectExtent l="0" t="0" r="9525" b="0"/>
            <wp:docPr id="18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7"/>
                    <pic:cNvPicPr>
                      <a:picLocks noChangeAspect="1"/>
                    </pic:cNvPicPr>
                  </pic:nvPicPr>
                  <pic:blipFill>
                    <a:blip r:embed="rId70"/>
                    <a:stretch>
                      <a:fillRect/>
                    </a:stretch>
                  </pic:blipFill>
                  <pic:spPr>
                    <a:xfrm>
                      <a:off x="0" y="0"/>
                      <a:ext cx="5648325" cy="7810500"/>
                    </a:xfrm>
                    <a:prstGeom prst="rect">
                      <a:avLst/>
                    </a:prstGeom>
                    <a:noFill/>
                    <a:ln>
                      <a:noFill/>
                    </a:ln>
                  </pic:spPr>
                </pic:pic>
              </a:graphicData>
            </a:graphic>
          </wp:inline>
        </w:drawing>
      </w: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86425" cy="7734300"/>
            <wp:effectExtent l="0" t="0" r="9525" b="0"/>
            <wp:docPr id="18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8"/>
                    <pic:cNvPicPr>
                      <a:picLocks noChangeAspect="1"/>
                    </pic:cNvPicPr>
                  </pic:nvPicPr>
                  <pic:blipFill>
                    <a:blip r:embed="rId71"/>
                    <a:stretch>
                      <a:fillRect/>
                    </a:stretch>
                  </pic:blipFill>
                  <pic:spPr>
                    <a:xfrm>
                      <a:off x="0" y="0"/>
                      <a:ext cx="5686425" cy="7734300"/>
                    </a:xfrm>
                    <a:prstGeom prst="rect">
                      <a:avLst/>
                    </a:prstGeom>
                    <a:noFill/>
                    <a:ln>
                      <a:noFill/>
                    </a:ln>
                  </pic:spPr>
                </pic:pic>
              </a:graphicData>
            </a:graphic>
          </wp:inline>
        </w:drawing>
      </w:r>
    </w:p>
    <w:p>
      <w:pPr>
        <w:pStyle w:val="49"/>
        <w:spacing w:beforeLines="80" w:after="24"/>
        <w:jc w:val="left"/>
      </w:pPr>
      <w:r>
        <w:drawing>
          <wp:inline distT="0" distB="0" distL="114300" distR="114300">
            <wp:extent cx="5648325" cy="7591425"/>
            <wp:effectExtent l="0" t="0" r="9525" b="9525"/>
            <wp:docPr id="18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9"/>
                    <pic:cNvPicPr>
                      <a:picLocks noChangeAspect="1"/>
                    </pic:cNvPicPr>
                  </pic:nvPicPr>
                  <pic:blipFill>
                    <a:blip r:embed="rId72"/>
                    <a:stretch>
                      <a:fillRect/>
                    </a:stretch>
                  </pic:blipFill>
                  <pic:spPr>
                    <a:xfrm>
                      <a:off x="0" y="0"/>
                      <a:ext cx="5648325" cy="7591425"/>
                    </a:xfrm>
                    <a:prstGeom prst="rect">
                      <a:avLst/>
                    </a:prstGeom>
                    <a:noFill/>
                    <a:ln>
                      <a:noFill/>
                    </a:ln>
                  </pic:spPr>
                </pic:pic>
              </a:graphicData>
            </a:graphic>
          </wp:inline>
        </w:drawing>
      </w: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b/>
          <w:bCs/>
          <w:color w:val="000000"/>
          <w:kern w:val="2"/>
          <w:sz w:val="28"/>
          <w:szCs w:val="28"/>
          <w:lang w:val="en-US" w:eastAsia="zh-CN" w:bidi="ar-SA"/>
        </w:rPr>
        <w:t>附件1</w:t>
      </w:r>
      <w:r>
        <w:rPr>
          <w:rFonts w:hint="eastAsia" w:ascii="Times New Roman" w:hAnsi="Times New Roman" w:cs="Times New Roman"/>
          <w:b/>
          <w:bCs/>
          <w:color w:val="000000"/>
          <w:kern w:val="2"/>
          <w:sz w:val="28"/>
          <w:szCs w:val="28"/>
          <w:lang w:val="en-US" w:eastAsia="zh-CN" w:bidi="ar-SA"/>
        </w:rPr>
        <w:t>2</w:t>
      </w:r>
      <w:r>
        <w:rPr>
          <w:rFonts w:hint="eastAsia" w:ascii="Times New Roman" w:hAnsi="Times New Roman" w:eastAsia="宋体" w:cs="Times New Roman"/>
          <w:b/>
          <w:bCs/>
          <w:color w:val="000000"/>
          <w:kern w:val="2"/>
          <w:sz w:val="28"/>
          <w:szCs w:val="28"/>
          <w:lang w:val="en-US" w:eastAsia="zh-CN" w:bidi="ar-SA"/>
        </w:rPr>
        <w:t xml:space="preserve"> 现状检测报告（地下水）</w:t>
      </w:r>
      <w:r>
        <w:drawing>
          <wp:inline distT="0" distB="0" distL="114300" distR="114300">
            <wp:extent cx="5543550" cy="7924800"/>
            <wp:effectExtent l="0" t="0" r="0" b="0"/>
            <wp:docPr id="18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0"/>
                    <pic:cNvPicPr>
                      <a:picLocks noChangeAspect="1"/>
                    </pic:cNvPicPr>
                  </pic:nvPicPr>
                  <pic:blipFill>
                    <a:blip r:embed="rId73"/>
                    <a:stretch>
                      <a:fillRect/>
                    </a:stretch>
                  </pic:blipFill>
                  <pic:spPr>
                    <a:xfrm>
                      <a:off x="0" y="0"/>
                      <a:ext cx="5543550" cy="7924800"/>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915275"/>
            <wp:effectExtent l="0" t="0" r="9525" b="9525"/>
            <wp:docPr id="1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1"/>
                    <pic:cNvPicPr>
                      <a:picLocks noChangeAspect="1"/>
                    </pic:cNvPicPr>
                  </pic:nvPicPr>
                  <pic:blipFill>
                    <a:blip r:embed="rId74"/>
                    <a:stretch>
                      <a:fillRect/>
                    </a:stretch>
                  </pic:blipFill>
                  <pic:spPr>
                    <a:xfrm>
                      <a:off x="0" y="0"/>
                      <a:ext cx="5591175" cy="7915275"/>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81650" cy="7905750"/>
            <wp:effectExtent l="0" t="0" r="0" b="0"/>
            <wp:docPr id="18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2"/>
                    <pic:cNvPicPr>
                      <a:picLocks noChangeAspect="1"/>
                    </pic:cNvPicPr>
                  </pic:nvPicPr>
                  <pic:blipFill>
                    <a:blip r:embed="rId75"/>
                    <a:stretch>
                      <a:fillRect/>
                    </a:stretch>
                  </pic:blipFill>
                  <pic:spPr>
                    <a:xfrm>
                      <a:off x="0" y="0"/>
                      <a:ext cx="5581650" cy="7905750"/>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72125" cy="7915275"/>
            <wp:effectExtent l="0" t="0" r="9525" b="9525"/>
            <wp:docPr id="18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3"/>
                    <pic:cNvPicPr>
                      <a:picLocks noChangeAspect="1"/>
                    </pic:cNvPicPr>
                  </pic:nvPicPr>
                  <pic:blipFill>
                    <a:blip r:embed="rId76"/>
                    <a:stretch>
                      <a:fillRect/>
                    </a:stretch>
                  </pic:blipFill>
                  <pic:spPr>
                    <a:xfrm>
                      <a:off x="0" y="0"/>
                      <a:ext cx="5572125" cy="7915275"/>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905750"/>
            <wp:effectExtent l="0" t="0" r="9525" b="0"/>
            <wp:docPr id="1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4"/>
                    <pic:cNvPicPr>
                      <a:picLocks noChangeAspect="1"/>
                    </pic:cNvPicPr>
                  </pic:nvPicPr>
                  <pic:blipFill>
                    <a:blip r:embed="rId77"/>
                    <a:stretch>
                      <a:fillRect/>
                    </a:stretch>
                  </pic:blipFill>
                  <pic:spPr>
                    <a:xfrm>
                      <a:off x="0" y="0"/>
                      <a:ext cx="5591175" cy="7905750"/>
                    </a:xfrm>
                    <a:prstGeom prst="rect">
                      <a:avLst/>
                    </a:prstGeom>
                    <a:noFill/>
                    <a:ln>
                      <a:noFill/>
                    </a:ln>
                  </pic:spPr>
                </pic:pic>
              </a:graphicData>
            </a:graphic>
          </wp:inline>
        </w:drawing>
      </w:r>
    </w:p>
    <w:p>
      <w:pPr>
        <w:pStyle w:val="49"/>
        <w:spacing w:beforeLines="80" w:after="24"/>
        <w:jc w:val="left"/>
        <w:rPr>
          <w:rFonts w:hint="eastAsia" w:ascii="Times New Roman" w:hAnsi="Times New Roman" w:eastAsia="宋体" w:cs="Times New Roman"/>
          <w:b/>
          <w:bCs/>
          <w:color w:val="000000"/>
          <w:kern w:val="2"/>
          <w:sz w:val="28"/>
          <w:szCs w:val="28"/>
          <w:lang w:val="en-US" w:eastAsia="zh-CN" w:bidi="ar-SA"/>
        </w:rPr>
      </w:pPr>
      <w:r>
        <w:rPr>
          <w:rFonts w:hint="eastAsia" w:ascii="Times New Roman" w:hAnsi="Times New Roman" w:eastAsia="宋体" w:cs="Times New Roman"/>
          <w:b/>
          <w:bCs/>
          <w:color w:val="000000"/>
          <w:kern w:val="2"/>
          <w:sz w:val="28"/>
          <w:szCs w:val="28"/>
          <w:lang w:val="en-US" w:eastAsia="zh-CN" w:bidi="ar-SA"/>
        </w:rPr>
        <w:t>附件1</w:t>
      </w:r>
      <w:r>
        <w:rPr>
          <w:rFonts w:hint="eastAsia" w:ascii="Times New Roman" w:hAnsi="Times New Roman" w:cs="Times New Roman"/>
          <w:b/>
          <w:bCs/>
          <w:color w:val="000000"/>
          <w:kern w:val="2"/>
          <w:sz w:val="28"/>
          <w:szCs w:val="28"/>
          <w:lang w:val="en-US" w:eastAsia="zh-CN" w:bidi="ar-SA"/>
        </w:rPr>
        <w:t>3</w:t>
      </w:r>
      <w:r>
        <w:rPr>
          <w:rFonts w:hint="eastAsia" w:ascii="Times New Roman" w:hAnsi="Times New Roman" w:eastAsia="宋体" w:cs="Times New Roman"/>
          <w:b/>
          <w:bCs/>
          <w:color w:val="000000"/>
          <w:kern w:val="2"/>
          <w:sz w:val="28"/>
          <w:szCs w:val="28"/>
          <w:lang w:val="en-US" w:eastAsia="zh-CN" w:bidi="ar-SA"/>
        </w:rPr>
        <w:t xml:space="preserve"> </w:t>
      </w:r>
      <w:r>
        <w:rPr>
          <w:rFonts w:hint="eastAsia" w:ascii="Times New Roman" w:hAnsi="Times New Roman" w:cs="Times New Roman"/>
          <w:b/>
          <w:bCs/>
          <w:color w:val="000000"/>
          <w:kern w:val="2"/>
          <w:sz w:val="28"/>
          <w:szCs w:val="28"/>
          <w:lang w:val="en-US" w:eastAsia="zh-CN" w:bidi="ar-SA"/>
        </w:rPr>
        <w:t>自行监测</w:t>
      </w:r>
      <w:r>
        <w:rPr>
          <w:rFonts w:hint="eastAsia" w:ascii="Times New Roman" w:hAnsi="Times New Roman" w:eastAsia="宋体" w:cs="Times New Roman"/>
          <w:b/>
          <w:bCs/>
          <w:color w:val="000000"/>
          <w:kern w:val="2"/>
          <w:sz w:val="28"/>
          <w:szCs w:val="28"/>
          <w:lang w:val="en-US" w:eastAsia="zh-CN" w:bidi="ar-SA"/>
        </w:rPr>
        <w:t>报告（</w:t>
      </w:r>
      <w:r>
        <w:rPr>
          <w:rFonts w:hint="eastAsia" w:ascii="Times New Roman" w:hAnsi="Times New Roman" w:cs="Times New Roman"/>
          <w:b/>
          <w:bCs/>
          <w:color w:val="000000"/>
          <w:kern w:val="2"/>
          <w:sz w:val="28"/>
          <w:szCs w:val="28"/>
          <w:lang w:val="en-US" w:eastAsia="zh-CN" w:bidi="ar-SA"/>
        </w:rPr>
        <w:t>土壤</w:t>
      </w:r>
      <w:r>
        <w:rPr>
          <w:rFonts w:hint="eastAsia" w:ascii="Times New Roman" w:hAnsi="Times New Roman" w:eastAsia="宋体" w:cs="Times New Roman"/>
          <w:b/>
          <w:bCs/>
          <w:color w:val="000000"/>
          <w:kern w:val="2"/>
          <w:sz w:val="28"/>
          <w:szCs w:val="28"/>
          <w:lang w:val="en-US" w:eastAsia="zh-CN" w:bidi="ar-SA"/>
        </w:rPr>
        <w:t>）</w:t>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53075" cy="7886700"/>
            <wp:effectExtent l="0" t="0" r="9525" b="0"/>
            <wp:docPr id="20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4"/>
                    <pic:cNvPicPr>
                      <a:picLocks noChangeAspect="1"/>
                    </pic:cNvPicPr>
                  </pic:nvPicPr>
                  <pic:blipFill>
                    <a:blip r:embed="rId78"/>
                    <a:stretch>
                      <a:fillRect/>
                    </a:stretch>
                  </pic:blipFill>
                  <pic:spPr>
                    <a:xfrm>
                      <a:off x="0" y="0"/>
                      <a:ext cx="5553075" cy="7886700"/>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924800"/>
            <wp:effectExtent l="0" t="0" r="9525" b="0"/>
            <wp:docPr id="20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5"/>
                    <pic:cNvPicPr>
                      <a:picLocks noChangeAspect="1"/>
                    </pic:cNvPicPr>
                  </pic:nvPicPr>
                  <pic:blipFill>
                    <a:blip r:embed="rId79"/>
                    <a:stretch>
                      <a:fillRect/>
                    </a:stretch>
                  </pic:blipFill>
                  <pic:spPr>
                    <a:xfrm>
                      <a:off x="0" y="0"/>
                      <a:ext cx="5591175" cy="7924800"/>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81650" cy="7915275"/>
            <wp:effectExtent l="0" t="0" r="0" b="9525"/>
            <wp:docPr id="20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66"/>
                    <pic:cNvPicPr>
                      <a:picLocks noChangeAspect="1"/>
                    </pic:cNvPicPr>
                  </pic:nvPicPr>
                  <pic:blipFill>
                    <a:blip r:embed="rId80"/>
                    <a:stretch>
                      <a:fillRect/>
                    </a:stretch>
                  </pic:blipFill>
                  <pic:spPr>
                    <a:xfrm>
                      <a:off x="0" y="0"/>
                      <a:ext cx="5581650" cy="79152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81650" cy="7896225"/>
            <wp:effectExtent l="0" t="0" r="0" b="9525"/>
            <wp:docPr id="21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7"/>
                    <pic:cNvPicPr>
                      <a:picLocks noChangeAspect="1"/>
                    </pic:cNvPicPr>
                  </pic:nvPicPr>
                  <pic:blipFill>
                    <a:blip r:embed="rId81"/>
                    <a:stretch>
                      <a:fillRect/>
                    </a:stretch>
                  </pic:blipFill>
                  <pic:spPr>
                    <a:xfrm>
                      <a:off x="0" y="0"/>
                      <a:ext cx="5581650" cy="789622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00700" cy="7867650"/>
            <wp:effectExtent l="0" t="0" r="0" b="0"/>
            <wp:docPr id="21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68"/>
                    <pic:cNvPicPr>
                      <a:picLocks noChangeAspect="1"/>
                    </pic:cNvPicPr>
                  </pic:nvPicPr>
                  <pic:blipFill>
                    <a:blip r:embed="rId82"/>
                    <a:stretch>
                      <a:fillRect/>
                    </a:stretch>
                  </pic:blipFill>
                  <pic:spPr>
                    <a:xfrm>
                      <a:off x="0" y="0"/>
                      <a:ext cx="5600700" cy="7867650"/>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867650"/>
            <wp:effectExtent l="0" t="0" r="9525" b="0"/>
            <wp:docPr id="21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69"/>
                    <pic:cNvPicPr>
                      <a:picLocks noChangeAspect="1"/>
                    </pic:cNvPicPr>
                  </pic:nvPicPr>
                  <pic:blipFill>
                    <a:blip r:embed="rId83"/>
                    <a:stretch>
                      <a:fillRect/>
                    </a:stretch>
                  </pic:blipFill>
                  <pic:spPr>
                    <a:xfrm>
                      <a:off x="0" y="0"/>
                      <a:ext cx="5591175" cy="7867650"/>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72125" cy="7867650"/>
            <wp:effectExtent l="0" t="0" r="9525" b="0"/>
            <wp:docPr id="21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70"/>
                    <pic:cNvPicPr>
                      <a:picLocks noChangeAspect="1"/>
                    </pic:cNvPicPr>
                  </pic:nvPicPr>
                  <pic:blipFill>
                    <a:blip r:embed="rId84"/>
                    <a:stretch>
                      <a:fillRect/>
                    </a:stretch>
                  </pic:blipFill>
                  <pic:spPr>
                    <a:xfrm>
                      <a:off x="0" y="0"/>
                      <a:ext cx="5572125" cy="7867650"/>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839075"/>
            <wp:effectExtent l="0" t="0" r="9525" b="9525"/>
            <wp:docPr id="21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1"/>
                    <pic:cNvPicPr>
                      <a:picLocks noChangeAspect="1"/>
                    </pic:cNvPicPr>
                  </pic:nvPicPr>
                  <pic:blipFill>
                    <a:blip r:embed="rId85"/>
                    <a:stretch>
                      <a:fillRect/>
                    </a:stretch>
                  </pic:blipFill>
                  <pic:spPr>
                    <a:xfrm>
                      <a:off x="0" y="0"/>
                      <a:ext cx="5591175" cy="78390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10225" cy="7781925"/>
            <wp:effectExtent l="0" t="0" r="9525" b="9525"/>
            <wp:docPr id="21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2"/>
                    <pic:cNvPicPr>
                      <a:picLocks noChangeAspect="1"/>
                    </pic:cNvPicPr>
                  </pic:nvPicPr>
                  <pic:blipFill>
                    <a:blip r:embed="rId86"/>
                    <a:stretch>
                      <a:fillRect/>
                    </a:stretch>
                  </pic:blipFill>
                  <pic:spPr>
                    <a:xfrm>
                      <a:off x="0" y="0"/>
                      <a:ext cx="5610225" cy="778192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10225" cy="7781925"/>
            <wp:effectExtent l="0" t="0" r="9525" b="9525"/>
            <wp:docPr id="21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73"/>
                    <pic:cNvPicPr>
                      <a:picLocks noChangeAspect="1"/>
                    </pic:cNvPicPr>
                  </pic:nvPicPr>
                  <pic:blipFill>
                    <a:blip r:embed="rId87"/>
                    <a:stretch>
                      <a:fillRect/>
                    </a:stretch>
                  </pic:blipFill>
                  <pic:spPr>
                    <a:xfrm>
                      <a:off x="0" y="0"/>
                      <a:ext cx="5610225" cy="778192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81650" cy="7791450"/>
            <wp:effectExtent l="0" t="0" r="0" b="0"/>
            <wp:docPr id="21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4"/>
                    <pic:cNvPicPr>
                      <a:picLocks noChangeAspect="1"/>
                    </pic:cNvPicPr>
                  </pic:nvPicPr>
                  <pic:blipFill>
                    <a:blip r:embed="rId88"/>
                    <a:stretch>
                      <a:fillRect/>
                    </a:stretch>
                  </pic:blipFill>
                  <pic:spPr>
                    <a:xfrm>
                      <a:off x="0" y="0"/>
                      <a:ext cx="5581650" cy="7791450"/>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72125" cy="7762875"/>
            <wp:effectExtent l="0" t="0" r="9525" b="9525"/>
            <wp:docPr id="21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5"/>
                    <pic:cNvPicPr>
                      <a:picLocks noChangeAspect="1"/>
                    </pic:cNvPicPr>
                  </pic:nvPicPr>
                  <pic:blipFill>
                    <a:blip r:embed="rId89"/>
                    <a:stretch>
                      <a:fillRect/>
                    </a:stretch>
                  </pic:blipFill>
                  <pic:spPr>
                    <a:xfrm>
                      <a:off x="0" y="0"/>
                      <a:ext cx="5572125" cy="776287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00700" cy="7381875"/>
            <wp:effectExtent l="0" t="0" r="0" b="9525"/>
            <wp:docPr id="21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6"/>
                    <pic:cNvPicPr>
                      <a:picLocks noChangeAspect="1"/>
                    </pic:cNvPicPr>
                  </pic:nvPicPr>
                  <pic:blipFill>
                    <a:blip r:embed="rId90"/>
                    <a:stretch>
                      <a:fillRect/>
                    </a:stretch>
                  </pic:blipFill>
                  <pic:spPr>
                    <a:xfrm>
                      <a:off x="0" y="0"/>
                      <a:ext cx="5600700" cy="7381875"/>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eastAsia="宋体" w:cs="Times New Roman"/>
          <w:b/>
          <w:bCs/>
          <w:color w:val="000000"/>
          <w:kern w:val="2"/>
          <w:sz w:val="28"/>
          <w:szCs w:val="28"/>
          <w:lang w:val="en-US" w:eastAsia="zh-CN" w:bidi="ar-SA"/>
        </w:rPr>
        <w:t>附件1</w:t>
      </w:r>
      <w:r>
        <w:rPr>
          <w:rFonts w:hint="eastAsia" w:ascii="Times New Roman" w:hAnsi="Times New Roman" w:cs="Times New Roman"/>
          <w:b/>
          <w:bCs/>
          <w:color w:val="000000"/>
          <w:kern w:val="2"/>
          <w:sz w:val="28"/>
          <w:szCs w:val="28"/>
          <w:lang w:val="en-US" w:eastAsia="zh-CN" w:bidi="ar-SA"/>
        </w:rPr>
        <w:t>4</w:t>
      </w:r>
      <w:r>
        <w:rPr>
          <w:rFonts w:hint="eastAsia" w:ascii="Times New Roman" w:hAnsi="Times New Roman" w:eastAsia="宋体" w:cs="Times New Roman"/>
          <w:b/>
          <w:bCs/>
          <w:color w:val="000000"/>
          <w:kern w:val="2"/>
          <w:sz w:val="28"/>
          <w:szCs w:val="28"/>
          <w:lang w:val="en-US" w:eastAsia="zh-CN" w:bidi="ar-SA"/>
        </w:rPr>
        <w:t xml:space="preserve"> </w:t>
      </w:r>
      <w:r>
        <w:rPr>
          <w:rFonts w:hint="eastAsia" w:ascii="Times New Roman" w:hAnsi="Times New Roman" w:cs="Times New Roman"/>
          <w:b/>
          <w:bCs/>
          <w:color w:val="000000"/>
          <w:kern w:val="2"/>
          <w:sz w:val="28"/>
          <w:szCs w:val="28"/>
          <w:lang w:val="en-US" w:eastAsia="zh-CN" w:bidi="ar-SA"/>
        </w:rPr>
        <w:t>自行监测</w:t>
      </w:r>
      <w:r>
        <w:rPr>
          <w:rFonts w:hint="eastAsia" w:ascii="Times New Roman" w:hAnsi="Times New Roman" w:eastAsia="宋体" w:cs="Times New Roman"/>
          <w:b/>
          <w:bCs/>
          <w:color w:val="000000"/>
          <w:kern w:val="2"/>
          <w:sz w:val="28"/>
          <w:szCs w:val="28"/>
          <w:lang w:val="en-US" w:eastAsia="zh-CN" w:bidi="ar-SA"/>
        </w:rPr>
        <w:t>报告（噪声）</w:t>
      </w:r>
      <w:r>
        <w:drawing>
          <wp:inline distT="0" distB="0" distL="114300" distR="114300">
            <wp:extent cx="5534025" cy="7829550"/>
            <wp:effectExtent l="0" t="0" r="9525" b="0"/>
            <wp:docPr id="18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5"/>
                    <pic:cNvPicPr>
                      <a:picLocks noChangeAspect="1"/>
                    </pic:cNvPicPr>
                  </pic:nvPicPr>
                  <pic:blipFill>
                    <a:blip r:embed="rId91"/>
                    <a:stretch>
                      <a:fillRect/>
                    </a:stretch>
                  </pic:blipFill>
                  <pic:spPr>
                    <a:xfrm>
                      <a:off x="0" y="0"/>
                      <a:ext cx="5534025" cy="7829550"/>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72125" cy="7934325"/>
            <wp:effectExtent l="0" t="0" r="9525" b="9525"/>
            <wp:docPr id="18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6"/>
                    <pic:cNvPicPr>
                      <a:picLocks noChangeAspect="1"/>
                    </pic:cNvPicPr>
                  </pic:nvPicPr>
                  <pic:blipFill>
                    <a:blip r:embed="rId92"/>
                    <a:stretch>
                      <a:fillRect/>
                    </a:stretch>
                  </pic:blipFill>
                  <pic:spPr>
                    <a:xfrm>
                      <a:off x="0" y="0"/>
                      <a:ext cx="5572125" cy="793432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62600" cy="7858125"/>
            <wp:effectExtent l="0" t="0" r="0" b="9525"/>
            <wp:docPr id="19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7"/>
                    <pic:cNvPicPr>
                      <a:picLocks noChangeAspect="1"/>
                    </pic:cNvPicPr>
                  </pic:nvPicPr>
                  <pic:blipFill>
                    <a:blip r:embed="rId93"/>
                    <a:stretch>
                      <a:fillRect/>
                    </a:stretch>
                  </pic:blipFill>
                  <pic:spPr>
                    <a:xfrm>
                      <a:off x="0" y="0"/>
                      <a:ext cx="5562600" cy="785812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00700" cy="7820025"/>
            <wp:effectExtent l="0" t="0" r="0" b="9525"/>
            <wp:docPr id="1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8"/>
                    <pic:cNvPicPr>
                      <a:picLocks noChangeAspect="1"/>
                    </pic:cNvPicPr>
                  </pic:nvPicPr>
                  <pic:blipFill>
                    <a:blip r:embed="rId94"/>
                    <a:stretch>
                      <a:fillRect/>
                    </a:stretch>
                  </pic:blipFill>
                  <pic:spPr>
                    <a:xfrm>
                      <a:off x="0" y="0"/>
                      <a:ext cx="5600700" cy="782002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00700" cy="7791450"/>
            <wp:effectExtent l="0" t="0" r="0" b="0"/>
            <wp:docPr id="19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9"/>
                    <pic:cNvPicPr>
                      <a:picLocks noChangeAspect="1"/>
                    </pic:cNvPicPr>
                  </pic:nvPicPr>
                  <pic:blipFill>
                    <a:blip r:embed="rId95"/>
                    <a:stretch>
                      <a:fillRect/>
                    </a:stretch>
                  </pic:blipFill>
                  <pic:spPr>
                    <a:xfrm>
                      <a:off x="0" y="0"/>
                      <a:ext cx="5600700" cy="7791450"/>
                    </a:xfrm>
                    <a:prstGeom prst="rect">
                      <a:avLst/>
                    </a:prstGeom>
                    <a:noFill/>
                    <a:ln>
                      <a:noFill/>
                    </a:ln>
                  </pic:spPr>
                </pic:pic>
              </a:graphicData>
            </a:graphic>
          </wp:inline>
        </w:drawing>
      </w:r>
    </w:p>
    <w:p>
      <w:pPr>
        <w:pStyle w:val="49"/>
        <w:spacing w:beforeLines="80" w:after="24"/>
        <w:jc w:val="left"/>
        <w:rPr>
          <w:rFonts w:hint="eastAsia"/>
          <w:lang w:eastAsia="zh-CN"/>
        </w:rPr>
      </w:pPr>
      <w:r>
        <w:drawing>
          <wp:inline distT="0" distB="0" distL="114300" distR="114300">
            <wp:extent cx="5610225" cy="7353300"/>
            <wp:effectExtent l="0" t="0" r="9525" b="0"/>
            <wp:docPr id="1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0"/>
                    <pic:cNvPicPr>
                      <a:picLocks noChangeAspect="1"/>
                    </pic:cNvPicPr>
                  </pic:nvPicPr>
                  <pic:blipFill>
                    <a:blip r:embed="rId96"/>
                    <a:stretch>
                      <a:fillRect/>
                    </a:stretch>
                  </pic:blipFill>
                  <pic:spPr>
                    <a:xfrm>
                      <a:off x="0" y="0"/>
                      <a:ext cx="5610225" cy="7353300"/>
                    </a:xfrm>
                    <a:prstGeom prst="rect">
                      <a:avLst/>
                    </a:prstGeom>
                    <a:noFill/>
                    <a:ln>
                      <a:noFill/>
                    </a:ln>
                  </pic:spPr>
                </pic:pic>
              </a:graphicData>
            </a:graphic>
          </wp:inline>
        </w:drawing>
      </w:r>
      <w:r>
        <w:rPr>
          <w:rFonts w:hint="eastAsia"/>
          <w:lang w:eastAsia="zh-CN"/>
        </w:rPr>
        <w:t>、</w:t>
      </w:r>
    </w:p>
    <w:p>
      <w:pPr>
        <w:pStyle w:val="49"/>
        <w:spacing w:beforeLines="80" w:after="24"/>
        <w:jc w:val="left"/>
        <w:rPr>
          <w:rFonts w:hint="eastAsia"/>
          <w:lang w:eastAsia="zh-CN"/>
        </w:rPr>
      </w:pPr>
    </w:p>
    <w:p>
      <w:pPr>
        <w:pStyle w:val="49"/>
        <w:spacing w:beforeLines="80" w:after="24"/>
        <w:jc w:val="left"/>
        <w:rPr>
          <w:rFonts w:hint="eastAsia"/>
          <w:lang w:eastAsia="zh-CN"/>
        </w:rPr>
      </w:pPr>
    </w:p>
    <w:p>
      <w:pPr>
        <w:pStyle w:val="49"/>
        <w:spacing w:beforeLines="80" w:after="24"/>
        <w:jc w:val="left"/>
        <w:rPr>
          <w:rFonts w:hint="eastAsia"/>
          <w:lang w:eastAsia="zh-CN"/>
        </w:rPr>
      </w:pPr>
    </w:p>
    <w:p>
      <w:pPr>
        <w:pStyle w:val="49"/>
        <w:spacing w:beforeLines="80" w:after="24"/>
        <w:jc w:val="left"/>
        <w:rPr>
          <w:rFonts w:hint="eastAsia"/>
          <w:lang w:eastAsia="zh-CN"/>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r>
        <w:rPr>
          <w:rFonts w:hint="eastAsia" w:ascii="Times New Roman" w:hAnsi="Times New Roman" w:cs="Times New Roman"/>
          <w:b/>
          <w:bCs/>
          <w:color w:val="000000"/>
          <w:kern w:val="2"/>
          <w:sz w:val="28"/>
          <w:szCs w:val="28"/>
          <w:lang w:val="en-US" w:eastAsia="zh-CN" w:bidi="ar-SA"/>
        </w:rPr>
        <w:t>附件15 自行监测报告（有组织废气）</w:t>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877175"/>
            <wp:effectExtent l="0" t="0" r="9525" b="9525"/>
            <wp:docPr id="1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1"/>
                    <pic:cNvPicPr>
                      <a:picLocks noChangeAspect="1"/>
                    </pic:cNvPicPr>
                  </pic:nvPicPr>
                  <pic:blipFill>
                    <a:blip r:embed="rId97"/>
                    <a:stretch>
                      <a:fillRect/>
                    </a:stretch>
                  </pic:blipFill>
                  <pic:spPr>
                    <a:xfrm>
                      <a:off x="0" y="0"/>
                      <a:ext cx="5591175" cy="7877175"/>
                    </a:xfrm>
                    <a:prstGeom prst="rect">
                      <a:avLst/>
                    </a:prstGeom>
                    <a:noFill/>
                    <a:ln>
                      <a:noFill/>
                    </a:ln>
                  </pic:spPr>
                </pic:pic>
              </a:graphicData>
            </a:graphic>
          </wp:inline>
        </w:drawing>
      </w:r>
    </w:p>
    <w:p>
      <w:pPr>
        <w:pStyle w:val="49"/>
        <w:spacing w:beforeLines="80" w:after="24"/>
        <w:jc w:val="left"/>
      </w:pPr>
      <w:r>
        <w:drawing>
          <wp:inline distT="0" distB="0" distL="114300" distR="114300">
            <wp:extent cx="5610225" cy="7924800"/>
            <wp:effectExtent l="0" t="0" r="9525" b="0"/>
            <wp:docPr id="19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2"/>
                    <pic:cNvPicPr>
                      <a:picLocks noChangeAspect="1"/>
                    </pic:cNvPicPr>
                  </pic:nvPicPr>
                  <pic:blipFill>
                    <a:blip r:embed="rId98"/>
                    <a:stretch>
                      <a:fillRect/>
                    </a:stretch>
                  </pic:blipFill>
                  <pic:spPr>
                    <a:xfrm>
                      <a:off x="0" y="0"/>
                      <a:ext cx="5610225" cy="7924800"/>
                    </a:xfrm>
                    <a:prstGeom prst="rect">
                      <a:avLst/>
                    </a:prstGeom>
                    <a:noFill/>
                    <a:ln>
                      <a:noFill/>
                    </a:ln>
                  </pic:spPr>
                </pic:pic>
              </a:graphicData>
            </a:graphic>
          </wp:inline>
        </w:drawing>
      </w: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72125" cy="7877175"/>
            <wp:effectExtent l="0" t="0" r="9525" b="9525"/>
            <wp:docPr id="19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3"/>
                    <pic:cNvPicPr>
                      <a:picLocks noChangeAspect="1"/>
                    </pic:cNvPicPr>
                  </pic:nvPicPr>
                  <pic:blipFill>
                    <a:blip r:embed="rId99"/>
                    <a:stretch>
                      <a:fillRect/>
                    </a:stretch>
                  </pic:blipFill>
                  <pic:spPr>
                    <a:xfrm>
                      <a:off x="0" y="0"/>
                      <a:ext cx="5572125" cy="78771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72125" cy="7858125"/>
            <wp:effectExtent l="0" t="0" r="9525" b="9525"/>
            <wp:docPr id="19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4"/>
                    <pic:cNvPicPr>
                      <a:picLocks noChangeAspect="1"/>
                    </pic:cNvPicPr>
                  </pic:nvPicPr>
                  <pic:blipFill>
                    <a:blip r:embed="rId100"/>
                    <a:stretch>
                      <a:fillRect/>
                    </a:stretch>
                  </pic:blipFill>
                  <pic:spPr>
                    <a:xfrm>
                      <a:off x="0" y="0"/>
                      <a:ext cx="5572125" cy="7858125"/>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30240" cy="8042275"/>
            <wp:effectExtent l="0" t="0" r="3810" b="15875"/>
            <wp:docPr id="19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55"/>
                    <pic:cNvPicPr>
                      <a:picLocks noChangeAspect="1"/>
                    </pic:cNvPicPr>
                  </pic:nvPicPr>
                  <pic:blipFill>
                    <a:blip r:embed="rId101"/>
                    <a:stretch>
                      <a:fillRect/>
                    </a:stretch>
                  </pic:blipFill>
                  <pic:spPr>
                    <a:xfrm>
                      <a:off x="0" y="0"/>
                      <a:ext cx="5730240" cy="8042275"/>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27700" cy="8081645"/>
            <wp:effectExtent l="0" t="0" r="6350" b="14605"/>
            <wp:docPr id="1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6"/>
                    <pic:cNvPicPr>
                      <a:picLocks noChangeAspect="1"/>
                    </pic:cNvPicPr>
                  </pic:nvPicPr>
                  <pic:blipFill>
                    <a:blip r:embed="rId102"/>
                    <a:stretch>
                      <a:fillRect/>
                    </a:stretch>
                  </pic:blipFill>
                  <pic:spPr>
                    <a:xfrm>
                      <a:off x="0" y="0"/>
                      <a:ext cx="5727700" cy="8081645"/>
                    </a:xfrm>
                    <a:prstGeom prst="rect">
                      <a:avLst/>
                    </a:prstGeom>
                    <a:noFill/>
                    <a:ln>
                      <a:noFill/>
                    </a:ln>
                  </pic:spPr>
                </pic:pic>
              </a:graphicData>
            </a:graphic>
          </wp:inline>
        </w:drawing>
      </w:r>
    </w:p>
    <w:p>
      <w:pPr>
        <w:pStyle w:val="49"/>
        <w:spacing w:beforeLines="80" w:after="24"/>
        <w:jc w:val="left"/>
      </w:pPr>
      <w:r>
        <w:drawing>
          <wp:inline distT="0" distB="0" distL="114300" distR="114300">
            <wp:extent cx="5730240" cy="7373620"/>
            <wp:effectExtent l="0" t="0" r="3810" b="17780"/>
            <wp:docPr id="20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7"/>
                    <pic:cNvPicPr>
                      <a:picLocks noChangeAspect="1"/>
                    </pic:cNvPicPr>
                  </pic:nvPicPr>
                  <pic:blipFill>
                    <a:blip r:embed="rId103"/>
                    <a:stretch>
                      <a:fillRect/>
                    </a:stretch>
                  </pic:blipFill>
                  <pic:spPr>
                    <a:xfrm>
                      <a:off x="0" y="0"/>
                      <a:ext cx="5730240" cy="7373620"/>
                    </a:xfrm>
                    <a:prstGeom prst="rect">
                      <a:avLst/>
                    </a:prstGeom>
                    <a:noFill/>
                    <a:ln>
                      <a:noFill/>
                    </a:ln>
                  </pic:spPr>
                </pic:pic>
              </a:graphicData>
            </a:graphic>
          </wp:inline>
        </w:drawing>
      </w: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r>
        <w:rPr>
          <w:rFonts w:hint="eastAsia" w:ascii="Times New Roman" w:hAnsi="Times New Roman" w:cs="Times New Roman"/>
          <w:b/>
          <w:bCs/>
          <w:color w:val="000000"/>
          <w:kern w:val="2"/>
          <w:sz w:val="28"/>
          <w:szCs w:val="28"/>
          <w:lang w:val="en-US" w:eastAsia="zh-CN" w:bidi="ar-SA"/>
        </w:rPr>
        <w:t>附件16 自行监测报告（飞灰）</w:t>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62600" cy="7924800"/>
            <wp:effectExtent l="0" t="0" r="0" b="0"/>
            <wp:docPr id="20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8"/>
                    <pic:cNvPicPr>
                      <a:picLocks noChangeAspect="1"/>
                    </pic:cNvPicPr>
                  </pic:nvPicPr>
                  <pic:blipFill>
                    <a:blip r:embed="rId104"/>
                    <a:stretch>
                      <a:fillRect/>
                    </a:stretch>
                  </pic:blipFill>
                  <pic:spPr>
                    <a:xfrm>
                      <a:off x="0" y="0"/>
                      <a:ext cx="5562600" cy="7924800"/>
                    </a:xfrm>
                    <a:prstGeom prst="rect">
                      <a:avLst/>
                    </a:prstGeom>
                    <a:noFill/>
                    <a:ln>
                      <a:noFill/>
                    </a:ln>
                  </pic:spPr>
                </pic:pic>
              </a:graphicData>
            </a:graphic>
          </wp:inline>
        </w:drawing>
      </w:r>
    </w:p>
    <w:p>
      <w:pPr>
        <w:pStyle w:val="49"/>
        <w:spacing w:beforeLines="80" w:after="24"/>
        <w:jc w:val="left"/>
        <w:rPr>
          <w:rFonts w:hint="default"/>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924800"/>
            <wp:effectExtent l="0" t="0" r="9525" b="0"/>
            <wp:docPr id="20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9"/>
                    <pic:cNvPicPr>
                      <a:picLocks noChangeAspect="1"/>
                    </pic:cNvPicPr>
                  </pic:nvPicPr>
                  <pic:blipFill>
                    <a:blip r:embed="rId105"/>
                    <a:stretch>
                      <a:fillRect/>
                    </a:stretch>
                  </pic:blipFill>
                  <pic:spPr>
                    <a:xfrm>
                      <a:off x="0" y="0"/>
                      <a:ext cx="5591175" cy="7924800"/>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91175" cy="7896225"/>
            <wp:effectExtent l="0" t="0" r="9525" b="9525"/>
            <wp:docPr id="20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0"/>
                    <pic:cNvPicPr>
                      <a:picLocks noChangeAspect="1"/>
                    </pic:cNvPicPr>
                  </pic:nvPicPr>
                  <pic:blipFill>
                    <a:blip r:embed="rId106"/>
                    <a:stretch>
                      <a:fillRect/>
                    </a:stretch>
                  </pic:blipFill>
                  <pic:spPr>
                    <a:xfrm>
                      <a:off x="0" y="0"/>
                      <a:ext cx="5591175" cy="789622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610225" cy="7839075"/>
            <wp:effectExtent l="0" t="0" r="9525" b="9525"/>
            <wp:docPr id="20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1"/>
                    <pic:cNvPicPr>
                      <a:picLocks noChangeAspect="1"/>
                    </pic:cNvPicPr>
                  </pic:nvPicPr>
                  <pic:blipFill>
                    <a:blip r:embed="rId107"/>
                    <a:stretch>
                      <a:fillRect/>
                    </a:stretch>
                  </pic:blipFill>
                  <pic:spPr>
                    <a:xfrm>
                      <a:off x="0" y="0"/>
                      <a:ext cx="5610225" cy="78390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81650" cy="7800975"/>
            <wp:effectExtent l="0" t="0" r="0" b="9525"/>
            <wp:docPr id="20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2"/>
                    <pic:cNvPicPr>
                      <a:picLocks noChangeAspect="1"/>
                    </pic:cNvPicPr>
                  </pic:nvPicPr>
                  <pic:blipFill>
                    <a:blip r:embed="rId108"/>
                    <a:stretch>
                      <a:fillRect/>
                    </a:stretch>
                  </pic:blipFill>
                  <pic:spPr>
                    <a:xfrm>
                      <a:off x="0" y="0"/>
                      <a:ext cx="5581650" cy="78009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562600" cy="7400925"/>
            <wp:effectExtent l="0" t="0" r="0" b="9525"/>
            <wp:docPr id="20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63"/>
                    <pic:cNvPicPr>
                      <a:picLocks noChangeAspect="1"/>
                    </pic:cNvPicPr>
                  </pic:nvPicPr>
                  <pic:blipFill>
                    <a:blip r:embed="rId109"/>
                    <a:stretch>
                      <a:fillRect/>
                    </a:stretch>
                  </pic:blipFill>
                  <pic:spPr>
                    <a:xfrm>
                      <a:off x="0" y="0"/>
                      <a:ext cx="5562600" cy="740092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27700" cy="8118475"/>
            <wp:effectExtent l="0" t="0" r="6350" b="158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10"/>
                    <a:stretch>
                      <a:fillRect/>
                    </a:stretch>
                  </pic:blipFill>
                  <pic:spPr>
                    <a:xfrm>
                      <a:off x="0" y="0"/>
                      <a:ext cx="5727700" cy="81184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26430" cy="8143875"/>
            <wp:effectExtent l="0" t="0" r="7620" b="952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11"/>
                    <a:stretch>
                      <a:fillRect/>
                    </a:stretch>
                  </pic:blipFill>
                  <pic:spPr>
                    <a:xfrm>
                      <a:off x="0" y="0"/>
                      <a:ext cx="5726430" cy="81438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27700" cy="8128000"/>
            <wp:effectExtent l="0" t="0" r="6350" b="6350"/>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112"/>
                    <a:stretch>
                      <a:fillRect/>
                    </a:stretch>
                  </pic:blipFill>
                  <pic:spPr>
                    <a:xfrm>
                      <a:off x="0" y="0"/>
                      <a:ext cx="5727700" cy="8128000"/>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26430" cy="8134350"/>
            <wp:effectExtent l="0" t="0" r="7620" b="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113"/>
                    <a:stretch>
                      <a:fillRect/>
                    </a:stretch>
                  </pic:blipFill>
                  <pic:spPr>
                    <a:xfrm>
                      <a:off x="0" y="0"/>
                      <a:ext cx="5726430" cy="8134350"/>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30875" cy="8063865"/>
            <wp:effectExtent l="0" t="0" r="3175" b="13335"/>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114"/>
                    <a:stretch>
                      <a:fillRect/>
                    </a:stretch>
                  </pic:blipFill>
                  <pic:spPr>
                    <a:xfrm>
                      <a:off x="0" y="0"/>
                      <a:ext cx="5730875" cy="806386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30875" cy="8054975"/>
            <wp:effectExtent l="0" t="0" r="3175" b="317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115"/>
                    <a:stretch>
                      <a:fillRect/>
                    </a:stretch>
                  </pic:blipFill>
                  <pic:spPr>
                    <a:xfrm>
                      <a:off x="0" y="0"/>
                      <a:ext cx="5730875" cy="8054975"/>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30240" cy="8061325"/>
            <wp:effectExtent l="0" t="0" r="3810" b="1587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116"/>
                    <a:stretch>
                      <a:fillRect/>
                    </a:stretch>
                  </pic:blipFill>
                  <pic:spPr>
                    <a:xfrm>
                      <a:off x="0" y="0"/>
                      <a:ext cx="5730240" cy="806132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27700" cy="7979410"/>
            <wp:effectExtent l="0" t="0" r="6350" b="2540"/>
            <wp:docPr id="1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
                    <pic:cNvPicPr>
                      <a:picLocks noChangeAspect="1"/>
                    </pic:cNvPicPr>
                  </pic:nvPicPr>
                  <pic:blipFill>
                    <a:blip r:embed="rId117"/>
                    <a:stretch>
                      <a:fillRect/>
                    </a:stretch>
                  </pic:blipFill>
                  <pic:spPr>
                    <a:xfrm>
                      <a:off x="0" y="0"/>
                      <a:ext cx="5727700" cy="7979410"/>
                    </a:xfrm>
                    <a:prstGeom prst="rect">
                      <a:avLst/>
                    </a:prstGeom>
                    <a:noFill/>
                    <a:ln>
                      <a:noFill/>
                    </a:ln>
                  </pic:spPr>
                </pic:pic>
              </a:graphicData>
            </a:graphic>
          </wp:inline>
        </w:drawing>
      </w:r>
    </w:p>
    <w:p>
      <w:pPr>
        <w:pStyle w:val="49"/>
        <w:spacing w:beforeLines="80" w:after="24"/>
        <w:jc w:val="left"/>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25795" cy="7901940"/>
            <wp:effectExtent l="0" t="0" r="8255" b="3810"/>
            <wp:docPr id="1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
                    <pic:cNvPicPr>
                      <a:picLocks noChangeAspect="1"/>
                    </pic:cNvPicPr>
                  </pic:nvPicPr>
                  <pic:blipFill>
                    <a:blip r:embed="rId118"/>
                    <a:stretch>
                      <a:fillRect/>
                    </a:stretch>
                  </pic:blipFill>
                  <pic:spPr>
                    <a:xfrm>
                      <a:off x="0" y="0"/>
                      <a:ext cx="5725795" cy="7901940"/>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30240" cy="7921625"/>
            <wp:effectExtent l="0" t="0" r="3810" b="3175"/>
            <wp:docPr id="1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
                    <pic:cNvPicPr>
                      <a:picLocks noChangeAspect="1"/>
                    </pic:cNvPicPr>
                  </pic:nvPicPr>
                  <pic:blipFill>
                    <a:blip r:embed="rId119"/>
                    <a:stretch>
                      <a:fillRect/>
                    </a:stretch>
                  </pic:blipFill>
                  <pic:spPr>
                    <a:xfrm>
                      <a:off x="0" y="0"/>
                      <a:ext cx="5730240" cy="7921625"/>
                    </a:xfrm>
                    <a:prstGeom prst="rect">
                      <a:avLst/>
                    </a:prstGeom>
                    <a:noFill/>
                    <a:ln>
                      <a:noFill/>
                    </a:ln>
                  </pic:spPr>
                </pic:pic>
              </a:graphicData>
            </a:graphic>
          </wp:inline>
        </w:drawing>
      </w:r>
    </w:p>
    <w:p>
      <w:pPr>
        <w:pStyle w:val="49"/>
        <w:spacing w:beforeLines="80" w:after="24"/>
        <w:jc w:val="left"/>
        <w:rPr>
          <w:rFonts w:hint="eastAsia"/>
          <w:lang w:val="en-US"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inline distT="0" distB="0" distL="114300" distR="114300">
            <wp:extent cx="5730240" cy="8135620"/>
            <wp:effectExtent l="0" t="0" r="3810" b="17780"/>
            <wp:docPr id="1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1"/>
                    <pic:cNvPicPr>
                      <a:picLocks noChangeAspect="1"/>
                    </pic:cNvPicPr>
                  </pic:nvPicPr>
                  <pic:blipFill>
                    <a:blip r:embed="rId120"/>
                    <a:stretch>
                      <a:fillRect/>
                    </a:stretch>
                  </pic:blipFill>
                  <pic:spPr>
                    <a:xfrm>
                      <a:off x="0" y="0"/>
                      <a:ext cx="5730240" cy="8135620"/>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r>
        <w:rPr>
          <w:rFonts w:hint="eastAsia" w:ascii="Times New Roman" w:hAnsi="Times New Roman" w:cs="Times New Roman"/>
          <w:b/>
          <w:bCs/>
          <w:color w:val="000000"/>
          <w:kern w:val="2"/>
          <w:sz w:val="28"/>
          <w:szCs w:val="28"/>
          <w:lang w:val="en-US" w:eastAsia="zh-CN" w:bidi="ar-SA"/>
        </w:rPr>
        <w:t>附件17 专家意见</w:t>
      </w:r>
    </w:p>
    <w:p>
      <w:pPr>
        <w:pStyle w:val="49"/>
        <w:spacing w:beforeLines="80" w:after="24"/>
        <w:jc w:val="left"/>
        <w:rPr>
          <w:rFonts w:hint="eastAsia" w:ascii="Times New Roman" w:hAnsi="Times New Roman" w:cs="Times New Roman"/>
          <w:b/>
          <w:bCs/>
          <w:color w:val="000000"/>
          <w:kern w:val="2"/>
          <w:sz w:val="28"/>
          <w:szCs w:val="28"/>
          <w:lang w:val="en-US" w:eastAsia="zh-CN" w:bidi="ar-SA"/>
        </w:rPr>
      </w:pPr>
      <w:r>
        <w:drawing>
          <wp:inline distT="0" distB="0" distL="114300" distR="114300">
            <wp:extent cx="5343525" cy="7886700"/>
            <wp:effectExtent l="0" t="0" r="9525" b="0"/>
            <wp:docPr id="22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80"/>
                    <pic:cNvPicPr>
                      <a:picLocks noChangeAspect="1"/>
                    </pic:cNvPicPr>
                  </pic:nvPicPr>
                  <pic:blipFill>
                    <a:blip r:embed="rId121"/>
                    <a:stretch>
                      <a:fillRect/>
                    </a:stretch>
                  </pic:blipFill>
                  <pic:spPr>
                    <a:xfrm>
                      <a:off x="0" y="0"/>
                      <a:ext cx="5343525" cy="7886700"/>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r>
        <w:drawing>
          <wp:inline distT="0" distB="0" distL="114300" distR="114300">
            <wp:extent cx="5353050" cy="7905750"/>
            <wp:effectExtent l="0" t="0" r="0" b="0"/>
            <wp:docPr id="22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81"/>
                    <pic:cNvPicPr>
                      <a:picLocks noChangeAspect="1"/>
                    </pic:cNvPicPr>
                  </pic:nvPicPr>
                  <pic:blipFill>
                    <a:blip r:embed="rId122"/>
                    <a:stretch>
                      <a:fillRect/>
                    </a:stretch>
                  </pic:blipFill>
                  <pic:spPr>
                    <a:xfrm>
                      <a:off x="0" y="0"/>
                      <a:ext cx="5353050" cy="7905750"/>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r>
        <w:drawing>
          <wp:inline distT="0" distB="0" distL="114300" distR="114300">
            <wp:extent cx="5486400" cy="7924800"/>
            <wp:effectExtent l="0" t="0" r="0" b="0"/>
            <wp:docPr id="22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82"/>
                    <pic:cNvPicPr>
                      <a:picLocks noChangeAspect="1"/>
                    </pic:cNvPicPr>
                  </pic:nvPicPr>
                  <pic:blipFill>
                    <a:blip r:embed="rId123"/>
                    <a:stretch>
                      <a:fillRect/>
                    </a:stretch>
                  </pic:blipFill>
                  <pic:spPr>
                    <a:xfrm>
                      <a:off x="0" y="0"/>
                      <a:ext cx="5486400" cy="7924800"/>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r>
        <w:drawing>
          <wp:inline distT="0" distB="0" distL="114300" distR="114300">
            <wp:extent cx="5429250" cy="7991475"/>
            <wp:effectExtent l="0" t="0" r="0" b="9525"/>
            <wp:docPr id="22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83"/>
                    <pic:cNvPicPr>
                      <a:picLocks noChangeAspect="1"/>
                    </pic:cNvPicPr>
                  </pic:nvPicPr>
                  <pic:blipFill>
                    <a:blip r:embed="rId124"/>
                    <a:stretch>
                      <a:fillRect/>
                    </a:stretch>
                  </pic:blipFill>
                  <pic:spPr>
                    <a:xfrm>
                      <a:off x="0" y="0"/>
                      <a:ext cx="5429250" cy="7991475"/>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r>
        <w:drawing>
          <wp:inline distT="0" distB="0" distL="114300" distR="114300">
            <wp:extent cx="5629275" cy="8001000"/>
            <wp:effectExtent l="0" t="0" r="9525" b="0"/>
            <wp:docPr id="22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4"/>
                    <pic:cNvPicPr>
                      <a:picLocks noChangeAspect="1"/>
                    </pic:cNvPicPr>
                  </pic:nvPicPr>
                  <pic:blipFill>
                    <a:blip r:embed="rId125"/>
                    <a:stretch>
                      <a:fillRect/>
                    </a:stretch>
                  </pic:blipFill>
                  <pic:spPr>
                    <a:xfrm>
                      <a:off x="0" y="0"/>
                      <a:ext cx="5629275" cy="8001000"/>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eastAsia" w:ascii="Times New Roman" w:hAnsi="Times New Roman" w:cs="Times New Roman"/>
          <w:b/>
          <w:bCs/>
          <w:color w:val="000000"/>
          <w:kern w:val="2"/>
          <w:sz w:val="28"/>
          <w:szCs w:val="28"/>
          <w:lang w:val="en-US" w:eastAsia="zh-CN" w:bidi="ar-SA"/>
        </w:rPr>
      </w:pPr>
      <w:r>
        <w:drawing>
          <wp:inline distT="0" distB="0" distL="114300" distR="114300">
            <wp:extent cx="5730240" cy="8119745"/>
            <wp:effectExtent l="0" t="0" r="3810" b="14605"/>
            <wp:docPr id="22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9"/>
                    <pic:cNvPicPr>
                      <a:picLocks noChangeAspect="1"/>
                    </pic:cNvPicPr>
                  </pic:nvPicPr>
                  <pic:blipFill>
                    <a:blip r:embed="rId126"/>
                    <a:stretch>
                      <a:fillRect/>
                    </a:stretch>
                  </pic:blipFill>
                  <pic:spPr>
                    <a:xfrm>
                      <a:off x="0" y="0"/>
                      <a:ext cx="5730240" cy="8119745"/>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ascii="Times New Roman" w:hAnsi="Times New Roman" w:cs="Times New Roman"/>
          <w:b/>
          <w:bCs/>
          <w:color w:val="000000"/>
          <w:kern w:val="2"/>
          <w:sz w:val="28"/>
          <w:szCs w:val="28"/>
          <w:lang w:val="en-US" w:eastAsia="zh-CN" w:bidi="ar-SA"/>
        </w:rPr>
        <w:t>附件18 专家签到表</w:t>
      </w:r>
      <w:r>
        <w:drawing>
          <wp:inline distT="0" distB="0" distL="114300" distR="114300">
            <wp:extent cx="5716905" cy="8094345"/>
            <wp:effectExtent l="0" t="0" r="17145" b="1905"/>
            <wp:docPr id="22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8"/>
                    <pic:cNvPicPr>
                      <a:picLocks noChangeAspect="1"/>
                    </pic:cNvPicPr>
                  </pic:nvPicPr>
                  <pic:blipFill>
                    <a:blip r:embed="rId127"/>
                    <a:stretch>
                      <a:fillRect/>
                    </a:stretch>
                  </pic:blipFill>
                  <pic:spPr>
                    <a:xfrm>
                      <a:off x="0" y="0"/>
                      <a:ext cx="5716905" cy="8094345"/>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r>
        <w:rPr>
          <w:rFonts w:hint="eastAsia" w:ascii="Times New Roman" w:hAnsi="Times New Roman" w:cs="Times New Roman"/>
          <w:b/>
          <w:bCs/>
          <w:color w:val="000000"/>
          <w:kern w:val="2"/>
          <w:sz w:val="28"/>
          <w:szCs w:val="28"/>
          <w:lang w:val="en-US" w:eastAsia="zh-CN" w:bidi="ar-SA"/>
        </w:rPr>
        <w:t>附件19 意见回执</w:t>
      </w:r>
      <w:r>
        <w:drawing>
          <wp:inline distT="0" distB="0" distL="114300" distR="114300">
            <wp:extent cx="5726430" cy="8013700"/>
            <wp:effectExtent l="0" t="0" r="7620" b="6350"/>
            <wp:docPr id="22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7"/>
                    <pic:cNvPicPr>
                      <a:picLocks noChangeAspect="1"/>
                    </pic:cNvPicPr>
                  </pic:nvPicPr>
                  <pic:blipFill>
                    <a:blip r:embed="rId128"/>
                    <a:stretch>
                      <a:fillRect/>
                    </a:stretch>
                  </pic:blipFill>
                  <pic:spPr>
                    <a:xfrm>
                      <a:off x="0" y="0"/>
                      <a:ext cx="5726430" cy="8013700"/>
                    </a:xfrm>
                    <a:prstGeom prst="rect">
                      <a:avLst/>
                    </a:prstGeom>
                    <a:noFill/>
                    <a:ln>
                      <a:noFill/>
                    </a:ln>
                  </pic:spPr>
                </pic:pic>
              </a:graphicData>
            </a:graphic>
          </wp:inline>
        </w:drawing>
      </w:r>
    </w:p>
    <w:p>
      <w:pPr>
        <w:pStyle w:val="49"/>
        <w:spacing w:beforeLines="80" w:after="24"/>
        <w:jc w:val="left"/>
        <w:rPr>
          <w:rFonts w:hint="eastAsia" w:ascii="Times New Roman" w:hAnsi="Times New Roman" w:cs="Times New Roman"/>
          <w:b/>
          <w:bCs/>
          <w:color w:val="000000"/>
          <w:kern w:val="2"/>
          <w:sz w:val="28"/>
          <w:szCs w:val="28"/>
          <w:lang w:val="en-US" w:eastAsia="zh-CN" w:bidi="ar-SA"/>
        </w:rPr>
      </w:pPr>
    </w:p>
    <w:p>
      <w:pPr>
        <w:pStyle w:val="49"/>
        <w:spacing w:beforeLines="80" w:after="24"/>
        <w:jc w:val="left"/>
        <w:rPr>
          <w:rFonts w:hint="default" w:ascii="Times New Roman" w:hAnsi="Times New Roman" w:cs="Times New Roman"/>
          <w:b/>
          <w:bCs/>
          <w:color w:val="000000"/>
          <w:kern w:val="2"/>
          <w:sz w:val="28"/>
          <w:szCs w:val="28"/>
          <w:lang w:val="en-US" w:eastAsia="zh-CN" w:bidi="ar-SA"/>
        </w:rPr>
      </w:pPr>
    </w:p>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方正小标宋_GBK">
    <w:altName w:val="微软雅黑"/>
    <w:panose1 w:val="02000000000000000000"/>
    <w:charset w:val="86"/>
    <w:family w:val="script"/>
    <w:pitch w:val="default"/>
    <w:sig w:usb0="00000000" w:usb1="00000000" w:usb2="00082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center" w:pos="4422"/>
        <w:tab w:val="clear" w:pos="4153"/>
      </w:tabs>
    </w:pPr>
    <w:r>
      <w:rPr>
        <w:rFonts w:hint="eastAsia"/>
        <w:lang w:eastAsia="zh-CN"/>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line="14" w:lineRule="auto"/>
      <w:rPr>
        <w:sz w:val="20"/>
      </w:rPr>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m7FqcoBAACb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FtQ5dvKXHc4sTPP3+cfz2eH74T&#10;9KFAfYAa8+4CZqbhvR9wbWY/oDPzHlS0+YuMCMZR3tNFXjkkIvKj1XK1qjAkMDZfEJ89PQ8R0gfp&#10;LclGQyPOr8jKj58gjalzSq7m/K02pszQuL8ciJk9LPc+9pitNOyGidDOtyfk0+PoG+pw0ykxHx0q&#10;m7dkNuJs7GbjEKLed2WNcj0I7w4Jmyi95Qoj7FQYZ1bYTfuVl+LPe8l6+qc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rm7FqcoBAACbAwAADgAAAAAAAAABACAAAAAeAQAAZHJzL2Uyb0Rv&#10;Yy54bWxQSwUGAAAAAAYABgBZAQAAWgUAAAAA&#10;">
              <v:fill on="f" focussize="0,0"/>
              <v:stroke on="f"/>
              <v:imagedata o:title=""/>
              <o:lock v:ext="edit" aspectratio="f"/>
              <v:textbox inset="0mm,0mm,0mm,0mm" style="mso-fit-shape-to-text:t;">
                <w:txbxContent>
                  <w:p>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9878"/>
        <w:tab w:val="clear" w:pos="4153"/>
      </w:tabs>
      <w:ind w:right="360" w:firstLine="360"/>
    </w:pP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- 51 -</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E8fKAXIAQAAnQMAAA4AAAAAAAAAAQAgAAAAHgEAAGRycy9lMm9Eb2Mu&#10;eG1sUEsFBgAAAAAGAAYAWQEAAFgFAAAAAA==&#10;">
              <v:fill on="f" focussize="0,0"/>
              <v:stroke on="f"/>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- 51 -</w:t>
                    </w:r>
                    <w:r>
                      <w:rPr>
                        <w:rFonts w:hint="eastAsia"/>
                      </w:rPr>
                      <w:fldChar w:fldCharType="end"/>
                    </w:r>
                  </w:p>
                </w:txbxContent>
              </v:textbox>
            </v:shape>
          </w:pict>
        </mc:Fallback>
      </mc:AlternateContent>
    </w: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20"/>
                          </w:pPr>
                        </w:p>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IK2krrIAQAAnQMAAA4AAAAAAAAAAQAgAAAAHgEAAGRycy9lMm9Eb2Mu&#10;eG1sUEsFBgAAAAAGAAYAWQEAAFgFAAAAAA==&#10;">
              <v:fill on="f" focussize="0,0"/>
              <v:stroke on="f"/>
              <v:imagedata o:title=""/>
              <o:lock v:ext="edit" aspectratio="f"/>
              <v:textbox inset="0mm,0mm,0mm,0mm" style="mso-fit-shape-to-text:t;">
                <w:txbxContent>
                  <w:p>
                    <w:pPr>
                      <w:pStyle w:val="20"/>
                    </w:pPr>
                  </w:p>
                  <w:p/>
                </w:txbxContent>
              </v:textbox>
            </v:shape>
          </w:pict>
        </mc:Fallback>
      </mc:AlternateContent>
    </w:r>
    <w:r>
      <w:rPr>
        <w:rFonts w:hint="eastAsia"/>
        <w:lang w:eastAsia="zh-CN"/>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br w:type="textWrapp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9878"/>
        <w:tab w:val="clear" w:pos="4153"/>
      </w:tabs>
      <w:ind w:right="360" w:firstLine="360"/>
    </w:pPr>
    <w:r>
      <w:rPr>
        <w:sz w:val="28"/>
      </w:rPr>
      <mc:AlternateContent>
        <mc:Choice Requires="wps">
          <w:drawing>
            <wp:anchor distT="0" distB="0" distL="114300" distR="114300" simplePos="0" relativeHeight="251663360" behindDoc="0" locked="0" layoutInCell="1" allowOverlap="1">
              <wp:simplePos x="0" y="0"/>
              <wp:positionH relativeFrom="margin">
                <wp:posOffset>4240530</wp:posOffset>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33.9pt;margin-top:0pt;height:144pt;width:144pt;mso-position-horizontal-relative:margin;mso-wrap-style:none;z-index:251663360;mso-width-relative:page;mso-height-relative:page;" filled="f" stroked="f" coordsize="21600,21600" o:gfxdata="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TjyMHVAAAACAEAAA8AAAAAAAAAAQAgAAAAIgAAAGRycy9kb3ducmV2LnhtbFBL&#10;AQIUABQAAAAIAIdO4kD1i4dkMgIAAGEEAAAOAAAAAAAAAAEAIAAAACQBAABkcnMvZTJvRG9jLnht&#10;bFBLBQYAAAAABgAGAFkBAADIBQ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62</w:t>
                    </w:r>
                    <w:r>
                      <w:fldChar w:fldCharType="end"/>
                    </w:r>
                  </w:p>
                </w:txbxContent>
              </v:textbox>
            </v:shape>
          </w:pict>
        </mc:Fallback>
      </mc:AlternateContent>
    </w: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20"/>
                          </w:pPr>
                        </w:p>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Up1JE8cBAACdAwAADgAAAAAAAAABACAAAAAeAQAAZHJzL2Uyb0RvYy54&#10;bWxQSwUGAAAAAAYABgBZAQAAVwUAAAAA&#10;">
              <v:fill on="f" focussize="0,0"/>
              <v:stroke on="f"/>
              <v:imagedata o:title=""/>
              <o:lock v:ext="edit" aspectratio="f"/>
              <v:textbox inset="0mm,0mm,0mm,0mm" style="mso-fit-shape-to-text:t;">
                <w:txbxContent>
                  <w:p>
                    <w:pPr>
                      <w:pStyle w:val="20"/>
                    </w:pPr>
                  </w:p>
                  <w:p/>
                </w:txbxContent>
              </v:textbox>
            </v:shape>
          </w:pict>
        </mc:Fallback>
      </mc:AlternateContent>
    </w: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1781120" behindDoc="0" locked="0" layoutInCell="1" allowOverlap="1">
              <wp:simplePos x="0" y="0"/>
              <wp:positionH relativeFrom="margin">
                <wp:align>center</wp:align>
              </wp:positionH>
              <wp:positionV relativeFrom="paragraph">
                <wp:posOffset>0</wp:posOffset>
              </wp:positionV>
              <wp:extent cx="1828800" cy="1828800"/>
              <wp:effectExtent l="0" t="0" r="0" b="0"/>
              <wp:wrapNone/>
              <wp:docPr id="79"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- 13 -</w:t>
                          </w:r>
                          <w:r>
                            <w:rPr>
                              <w:rFonts w:hint="eastAsia"/>
                            </w:rPr>
                            <w:fldChar w:fldCharType="end"/>
                          </w:r>
                        </w:p>
                      </w:txbxContent>
                    </wps:txbx>
                    <wps:bodyPr wrap="none" lIns="0" tIns="0" rIns="0" bIns="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78112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d+Uk+McBAACcAwAADgAAAAAAAAABACAAAAAeAQAAZHJzL2Uyb0RvYy54&#10;bWxQSwUGAAAAAAYABgBZAQAAVwUAAAAA&#10;">
              <v:fill on="f" focussize="0,0"/>
              <v:stroke on="f"/>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- 13 -</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EEDD76"/>
    <w:multiLevelType w:val="singleLevel"/>
    <w:tmpl w:val="CDEEDD76"/>
    <w:lvl w:ilvl="0" w:tentative="0">
      <w:start w:val="4"/>
      <w:numFmt w:val="chineseCounting"/>
      <w:suff w:val="nothing"/>
      <w:lvlText w:val="%1、"/>
      <w:lvlJc w:val="left"/>
      <w:rPr>
        <w:rFonts w:hint="eastAsia"/>
      </w:rPr>
    </w:lvl>
  </w:abstractNum>
  <w:abstractNum w:abstractNumId="1">
    <w:nsid w:val="DEFAF5CD"/>
    <w:multiLevelType w:val="singleLevel"/>
    <w:tmpl w:val="DEFAF5CD"/>
    <w:lvl w:ilvl="0" w:tentative="0">
      <w:start w:val="1"/>
      <w:numFmt w:val="decimal"/>
      <w:pStyle w:val="7"/>
      <w:lvlText w:val="表%1"/>
      <w:lvlJc w:val="left"/>
      <w:pPr>
        <w:tabs>
          <w:tab w:val="left" w:pos="420"/>
        </w:tabs>
        <w:ind w:left="645" w:hanging="425"/>
      </w:pPr>
      <w:rPr>
        <w:rFonts w:hint="default"/>
        <w:b/>
        <w:bCs/>
        <w:sz w:val="24"/>
        <w:szCs w:val="24"/>
      </w:rPr>
    </w:lvl>
  </w:abstractNum>
  <w:abstractNum w:abstractNumId="2">
    <w:nsid w:val="FE664CA5"/>
    <w:multiLevelType w:val="singleLevel"/>
    <w:tmpl w:val="FE664CA5"/>
    <w:lvl w:ilvl="0" w:tentative="0">
      <w:start w:val="1"/>
      <w:numFmt w:val="chineseCounting"/>
      <w:suff w:val="nothing"/>
      <w:lvlText w:val="%1、"/>
      <w:lvlJc w:val="left"/>
      <w:rPr>
        <w:rFonts w:hint="eastAsia"/>
      </w:rPr>
    </w:lvl>
  </w:abstractNum>
  <w:abstractNum w:abstractNumId="3">
    <w:nsid w:val="042454F9"/>
    <w:multiLevelType w:val="singleLevel"/>
    <w:tmpl w:val="042454F9"/>
    <w:lvl w:ilvl="0" w:tentative="0">
      <w:start w:val="1"/>
      <w:numFmt w:val="decimal"/>
      <w:suff w:val="nothing"/>
      <w:lvlText w:val="%1、"/>
      <w:lvlJc w:val="left"/>
    </w:lvl>
  </w:abstractNum>
  <w:abstractNum w:abstractNumId="4">
    <w:nsid w:val="3568CF52"/>
    <w:multiLevelType w:val="singleLevel"/>
    <w:tmpl w:val="3568CF52"/>
    <w:lvl w:ilvl="0" w:tentative="0">
      <w:start w:val="2"/>
      <w:numFmt w:val="decimal"/>
      <w:suff w:val="nothing"/>
      <w:lvlText w:val="（%1）"/>
      <w:lvlJc w:val="left"/>
    </w:lvl>
  </w:abstractNum>
  <w:abstractNum w:abstractNumId="5">
    <w:nsid w:val="41BBC912"/>
    <w:multiLevelType w:val="singleLevel"/>
    <w:tmpl w:val="41BBC912"/>
    <w:lvl w:ilvl="0" w:tentative="0">
      <w:start w:val="1"/>
      <w:numFmt w:val="bullet"/>
      <w:pStyle w:val="17"/>
      <w:lvlText w:val=""/>
      <w:lvlJc w:val="left"/>
      <w:pPr>
        <w:tabs>
          <w:tab w:val="left" w:pos="2040"/>
        </w:tabs>
        <w:ind w:left="2040" w:hanging="360"/>
      </w:pPr>
      <w:rPr>
        <w:rFonts w:hint="default" w:ascii="Wingdings" w:hAnsi="Wingdings"/>
      </w:rPr>
    </w:lvl>
  </w:abstractNum>
  <w:abstractNum w:abstractNumId="6">
    <w:nsid w:val="61694E05"/>
    <w:multiLevelType w:val="multilevel"/>
    <w:tmpl w:val="61694E05"/>
    <w:lvl w:ilvl="0" w:tentative="0">
      <w:start w:val="1"/>
      <w:numFmt w:val="decimal"/>
      <w:pStyle w:val="44"/>
      <w:suff w:val="space"/>
      <w:lvlText w:val="表%1"/>
      <w:lvlJc w:val="center"/>
      <w:pPr>
        <w:tabs>
          <w:tab w:val="left" w:pos="0"/>
        </w:tabs>
        <w:ind w:left="567" w:hanging="565"/>
      </w:pPr>
      <w:rPr>
        <w:rFonts w:hint="default" w:ascii="宋体" w:hAnsi="宋体" w:eastAsia="宋体" w:cs="宋体"/>
        <w:b/>
        <w:bCs/>
        <w:i w:val="0"/>
        <w:iCs w:val="0"/>
        <w:caps w:val="0"/>
        <w:smallCaps w:val="0"/>
        <w:strike w:val="0"/>
        <w:dstrike w:val="0"/>
        <w:spacing w:val="0"/>
        <w:position w:val="0"/>
        <w:sz w:val="24"/>
        <w:szCs w:val="24"/>
        <w:u w:val="none"/>
        <w:vertAlign w:val="baseline"/>
      </w:rPr>
    </w:lvl>
    <w:lvl w:ilvl="1" w:tentative="0">
      <w:start w:val="1"/>
      <w:numFmt w:val="decimal"/>
      <w:lvlText w:val="(%2)"/>
      <w:lvlJc w:val="left"/>
      <w:pPr>
        <w:tabs>
          <w:tab w:val="left" w:pos="1021"/>
        </w:tabs>
        <w:ind w:left="0" w:firstLine="567"/>
      </w:pPr>
      <w:rPr>
        <w:rFonts w:hint="eastAsia" w:ascii="宋体" w:hAnsi="Times New Roman" w:eastAsia="宋体"/>
        <w:b w:val="0"/>
        <w:i w:val="0"/>
        <w:caps w:val="0"/>
        <w:strike w:val="0"/>
        <w:dstrike w:val="0"/>
        <w:sz w:val="24"/>
        <w:szCs w:val="24"/>
        <w:vertAlign w:val="baseline"/>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6C53632E"/>
    <w:multiLevelType w:val="multilevel"/>
    <w:tmpl w:val="6C53632E"/>
    <w:lvl w:ilvl="0" w:tentative="0">
      <w:start w:val="1"/>
      <w:numFmt w:val="decimal"/>
      <w:pStyle w:val="92"/>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5"/>
  </w:num>
  <w:num w:numId="3">
    <w:abstractNumId w:val="6"/>
  </w:num>
  <w:num w:numId="4">
    <w:abstractNumId w:val="7"/>
  </w:num>
  <w:num w:numId="5">
    <w:abstractNumId w:val="4"/>
  </w:num>
  <w:num w:numId="6">
    <w:abstractNumId w:val="0"/>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EzZWUxNDI3Nzc4NzY1ZWQwNGU3NzczZWEwMWVlYjQifQ=="/>
  </w:docVars>
  <w:rsids>
    <w:rsidRoot w:val="00B7186B"/>
    <w:rsid w:val="0014709C"/>
    <w:rsid w:val="00160926"/>
    <w:rsid w:val="002B06D1"/>
    <w:rsid w:val="002F4532"/>
    <w:rsid w:val="0045148C"/>
    <w:rsid w:val="004F6EBA"/>
    <w:rsid w:val="00565284"/>
    <w:rsid w:val="005B2515"/>
    <w:rsid w:val="005B718C"/>
    <w:rsid w:val="006C78D4"/>
    <w:rsid w:val="007200AE"/>
    <w:rsid w:val="007A4CDF"/>
    <w:rsid w:val="007B20DB"/>
    <w:rsid w:val="007C47AB"/>
    <w:rsid w:val="007D6E67"/>
    <w:rsid w:val="008C6C96"/>
    <w:rsid w:val="00983ED0"/>
    <w:rsid w:val="00990957"/>
    <w:rsid w:val="009D2AC8"/>
    <w:rsid w:val="00B10794"/>
    <w:rsid w:val="00B5021A"/>
    <w:rsid w:val="00B627E8"/>
    <w:rsid w:val="00B7186B"/>
    <w:rsid w:val="00D66A9B"/>
    <w:rsid w:val="00E47A84"/>
    <w:rsid w:val="00ED6459"/>
    <w:rsid w:val="00EE42A3"/>
    <w:rsid w:val="00EF4139"/>
    <w:rsid w:val="010D6083"/>
    <w:rsid w:val="01121343"/>
    <w:rsid w:val="011A7574"/>
    <w:rsid w:val="01203AAB"/>
    <w:rsid w:val="01207C5F"/>
    <w:rsid w:val="01267BAC"/>
    <w:rsid w:val="012750F2"/>
    <w:rsid w:val="013B48B1"/>
    <w:rsid w:val="01431A4A"/>
    <w:rsid w:val="01565063"/>
    <w:rsid w:val="0158249B"/>
    <w:rsid w:val="015B7BB3"/>
    <w:rsid w:val="016519C1"/>
    <w:rsid w:val="016664A3"/>
    <w:rsid w:val="017240DE"/>
    <w:rsid w:val="018225FF"/>
    <w:rsid w:val="01A06E9D"/>
    <w:rsid w:val="01B13F71"/>
    <w:rsid w:val="01B27D0E"/>
    <w:rsid w:val="01C02152"/>
    <w:rsid w:val="01D97F0C"/>
    <w:rsid w:val="01E36459"/>
    <w:rsid w:val="0207535D"/>
    <w:rsid w:val="021C17D6"/>
    <w:rsid w:val="025619F5"/>
    <w:rsid w:val="025B7E44"/>
    <w:rsid w:val="026F1063"/>
    <w:rsid w:val="0272221D"/>
    <w:rsid w:val="02753E85"/>
    <w:rsid w:val="02810CB8"/>
    <w:rsid w:val="02AA2805"/>
    <w:rsid w:val="02B01361"/>
    <w:rsid w:val="02C90DA7"/>
    <w:rsid w:val="02F2162B"/>
    <w:rsid w:val="02F96864"/>
    <w:rsid w:val="0326440A"/>
    <w:rsid w:val="032852EF"/>
    <w:rsid w:val="03342D85"/>
    <w:rsid w:val="0337624C"/>
    <w:rsid w:val="03391357"/>
    <w:rsid w:val="034239DE"/>
    <w:rsid w:val="036118B7"/>
    <w:rsid w:val="03651613"/>
    <w:rsid w:val="0385459C"/>
    <w:rsid w:val="038C592B"/>
    <w:rsid w:val="03A0673D"/>
    <w:rsid w:val="03A475F0"/>
    <w:rsid w:val="03BD0FE3"/>
    <w:rsid w:val="03C03826"/>
    <w:rsid w:val="03C96C11"/>
    <w:rsid w:val="03CE5579"/>
    <w:rsid w:val="03D8291E"/>
    <w:rsid w:val="03F5128D"/>
    <w:rsid w:val="04044D42"/>
    <w:rsid w:val="04051239"/>
    <w:rsid w:val="041D2A27"/>
    <w:rsid w:val="04270EB3"/>
    <w:rsid w:val="042F38C5"/>
    <w:rsid w:val="04351303"/>
    <w:rsid w:val="0443091E"/>
    <w:rsid w:val="0460214E"/>
    <w:rsid w:val="04607629"/>
    <w:rsid w:val="048F0717"/>
    <w:rsid w:val="049806A8"/>
    <w:rsid w:val="04CE3A91"/>
    <w:rsid w:val="04F05A6B"/>
    <w:rsid w:val="04FA6940"/>
    <w:rsid w:val="05060040"/>
    <w:rsid w:val="05176D4E"/>
    <w:rsid w:val="052B325D"/>
    <w:rsid w:val="053211A9"/>
    <w:rsid w:val="05323C89"/>
    <w:rsid w:val="05386EE3"/>
    <w:rsid w:val="055D44BE"/>
    <w:rsid w:val="05690402"/>
    <w:rsid w:val="05696C13"/>
    <w:rsid w:val="05704DD8"/>
    <w:rsid w:val="057810E3"/>
    <w:rsid w:val="057A17B3"/>
    <w:rsid w:val="057B5C57"/>
    <w:rsid w:val="058F63E8"/>
    <w:rsid w:val="0594266D"/>
    <w:rsid w:val="05AD32F0"/>
    <w:rsid w:val="05B15303"/>
    <w:rsid w:val="05CD2815"/>
    <w:rsid w:val="05DC2566"/>
    <w:rsid w:val="05E84DEB"/>
    <w:rsid w:val="060F2DCC"/>
    <w:rsid w:val="061960BC"/>
    <w:rsid w:val="061D6D0E"/>
    <w:rsid w:val="06413B3A"/>
    <w:rsid w:val="06667431"/>
    <w:rsid w:val="066E30C6"/>
    <w:rsid w:val="066F5090"/>
    <w:rsid w:val="069950A3"/>
    <w:rsid w:val="069A035E"/>
    <w:rsid w:val="069F6713"/>
    <w:rsid w:val="06C47189"/>
    <w:rsid w:val="06C57D9C"/>
    <w:rsid w:val="06E870D3"/>
    <w:rsid w:val="06E92E40"/>
    <w:rsid w:val="06ED6ECC"/>
    <w:rsid w:val="06F107C0"/>
    <w:rsid w:val="06F15AA5"/>
    <w:rsid w:val="06F50B09"/>
    <w:rsid w:val="07105E8D"/>
    <w:rsid w:val="073079D3"/>
    <w:rsid w:val="07391925"/>
    <w:rsid w:val="074B44E7"/>
    <w:rsid w:val="076170CE"/>
    <w:rsid w:val="07620D8F"/>
    <w:rsid w:val="07681FCB"/>
    <w:rsid w:val="076B4E22"/>
    <w:rsid w:val="077328E7"/>
    <w:rsid w:val="077C1812"/>
    <w:rsid w:val="077C69D1"/>
    <w:rsid w:val="078B18D3"/>
    <w:rsid w:val="079904CC"/>
    <w:rsid w:val="07B64E0E"/>
    <w:rsid w:val="07BD6694"/>
    <w:rsid w:val="07C13358"/>
    <w:rsid w:val="07CB2743"/>
    <w:rsid w:val="07CD419A"/>
    <w:rsid w:val="07D2310B"/>
    <w:rsid w:val="07FD2386"/>
    <w:rsid w:val="08017F69"/>
    <w:rsid w:val="08056D4E"/>
    <w:rsid w:val="080D179C"/>
    <w:rsid w:val="081228EA"/>
    <w:rsid w:val="084B325A"/>
    <w:rsid w:val="084E1557"/>
    <w:rsid w:val="08545F09"/>
    <w:rsid w:val="08634780"/>
    <w:rsid w:val="086B09D9"/>
    <w:rsid w:val="086E43E4"/>
    <w:rsid w:val="0870035F"/>
    <w:rsid w:val="087724DD"/>
    <w:rsid w:val="08863E03"/>
    <w:rsid w:val="088A2314"/>
    <w:rsid w:val="08A34AB5"/>
    <w:rsid w:val="08DC4C5E"/>
    <w:rsid w:val="08DD7DE2"/>
    <w:rsid w:val="08FE3714"/>
    <w:rsid w:val="090E293E"/>
    <w:rsid w:val="09101F6C"/>
    <w:rsid w:val="091A12E3"/>
    <w:rsid w:val="091F7FCE"/>
    <w:rsid w:val="0926412B"/>
    <w:rsid w:val="093E54BC"/>
    <w:rsid w:val="09724F55"/>
    <w:rsid w:val="099C43EE"/>
    <w:rsid w:val="09B3404C"/>
    <w:rsid w:val="09B73E1D"/>
    <w:rsid w:val="09C15C02"/>
    <w:rsid w:val="09CD56F5"/>
    <w:rsid w:val="09D1582A"/>
    <w:rsid w:val="09D21BBD"/>
    <w:rsid w:val="09D724F3"/>
    <w:rsid w:val="09DB116A"/>
    <w:rsid w:val="09E86DB1"/>
    <w:rsid w:val="09F6055E"/>
    <w:rsid w:val="09F63AFE"/>
    <w:rsid w:val="0A03651D"/>
    <w:rsid w:val="0A0848EE"/>
    <w:rsid w:val="0A274F62"/>
    <w:rsid w:val="0A280037"/>
    <w:rsid w:val="0A2D5046"/>
    <w:rsid w:val="0A4A5BF8"/>
    <w:rsid w:val="0A743A18"/>
    <w:rsid w:val="0A780704"/>
    <w:rsid w:val="0A916A09"/>
    <w:rsid w:val="0ABF65E6"/>
    <w:rsid w:val="0AC018B0"/>
    <w:rsid w:val="0AC34CD9"/>
    <w:rsid w:val="0AC808C2"/>
    <w:rsid w:val="0ACA6D38"/>
    <w:rsid w:val="0ACE4879"/>
    <w:rsid w:val="0ADB1C66"/>
    <w:rsid w:val="0AE63387"/>
    <w:rsid w:val="0AE96253"/>
    <w:rsid w:val="0B163D2C"/>
    <w:rsid w:val="0B2E09CF"/>
    <w:rsid w:val="0B38242A"/>
    <w:rsid w:val="0B3E3BBC"/>
    <w:rsid w:val="0B41240E"/>
    <w:rsid w:val="0B4C11D2"/>
    <w:rsid w:val="0B56100C"/>
    <w:rsid w:val="0B5B7FA7"/>
    <w:rsid w:val="0B5D195B"/>
    <w:rsid w:val="0B6063A0"/>
    <w:rsid w:val="0B68187F"/>
    <w:rsid w:val="0B6D2CFE"/>
    <w:rsid w:val="0B7C114D"/>
    <w:rsid w:val="0B937BF3"/>
    <w:rsid w:val="0B971310"/>
    <w:rsid w:val="0BA04A48"/>
    <w:rsid w:val="0BAC345F"/>
    <w:rsid w:val="0BB2633B"/>
    <w:rsid w:val="0BBD52AE"/>
    <w:rsid w:val="0BBE689D"/>
    <w:rsid w:val="0BC80331"/>
    <w:rsid w:val="0BE95C08"/>
    <w:rsid w:val="0C046360"/>
    <w:rsid w:val="0C053B44"/>
    <w:rsid w:val="0C0B61F0"/>
    <w:rsid w:val="0C1840C7"/>
    <w:rsid w:val="0C35268A"/>
    <w:rsid w:val="0C362AF1"/>
    <w:rsid w:val="0C4013D2"/>
    <w:rsid w:val="0C432D61"/>
    <w:rsid w:val="0C4635C6"/>
    <w:rsid w:val="0C49435F"/>
    <w:rsid w:val="0C550884"/>
    <w:rsid w:val="0C577FD0"/>
    <w:rsid w:val="0C85013E"/>
    <w:rsid w:val="0C8D2B20"/>
    <w:rsid w:val="0C8E0CA1"/>
    <w:rsid w:val="0C8E2259"/>
    <w:rsid w:val="0C931AD8"/>
    <w:rsid w:val="0CA35EE1"/>
    <w:rsid w:val="0CA55A1A"/>
    <w:rsid w:val="0CAA69BB"/>
    <w:rsid w:val="0CAE6912"/>
    <w:rsid w:val="0CBB1FC8"/>
    <w:rsid w:val="0CBF2E06"/>
    <w:rsid w:val="0CF06F2A"/>
    <w:rsid w:val="0D00631B"/>
    <w:rsid w:val="0D12337E"/>
    <w:rsid w:val="0D136775"/>
    <w:rsid w:val="0D14625A"/>
    <w:rsid w:val="0D2708B7"/>
    <w:rsid w:val="0D336E17"/>
    <w:rsid w:val="0D4F60C0"/>
    <w:rsid w:val="0D5A584D"/>
    <w:rsid w:val="0D6671EC"/>
    <w:rsid w:val="0D6B54AE"/>
    <w:rsid w:val="0D7747E3"/>
    <w:rsid w:val="0D930ADD"/>
    <w:rsid w:val="0DA0500B"/>
    <w:rsid w:val="0DCE1532"/>
    <w:rsid w:val="0DD410D7"/>
    <w:rsid w:val="0DDE2272"/>
    <w:rsid w:val="0DE313A3"/>
    <w:rsid w:val="0DE35517"/>
    <w:rsid w:val="0DE647C6"/>
    <w:rsid w:val="0DEC4DBD"/>
    <w:rsid w:val="0DED1503"/>
    <w:rsid w:val="0DEE4AE4"/>
    <w:rsid w:val="0DF73A45"/>
    <w:rsid w:val="0E2A1FC8"/>
    <w:rsid w:val="0E462B7A"/>
    <w:rsid w:val="0E4D48AC"/>
    <w:rsid w:val="0E5C239D"/>
    <w:rsid w:val="0E5C2753"/>
    <w:rsid w:val="0E5D33A6"/>
    <w:rsid w:val="0E6D428E"/>
    <w:rsid w:val="0E8A3532"/>
    <w:rsid w:val="0EA437C1"/>
    <w:rsid w:val="0EA464FD"/>
    <w:rsid w:val="0EA54845"/>
    <w:rsid w:val="0EBF2F5D"/>
    <w:rsid w:val="0ECA6962"/>
    <w:rsid w:val="0EF97192"/>
    <w:rsid w:val="0EFB0C82"/>
    <w:rsid w:val="0F040A6B"/>
    <w:rsid w:val="0F0C20F5"/>
    <w:rsid w:val="0F12144F"/>
    <w:rsid w:val="0F341C37"/>
    <w:rsid w:val="0F3550C8"/>
    <w:rsid w:val="0F3B4003"/>
    <w:rsid w:val="0F4339DE"/>
    <w:rsid w:val="0F46589C"/>
    <w:rsid w:val="0F5847DD"/>
    <w:rsid w:val="0F757C71"/>
    <w:rsid w:val="0F7A6F7F"/>
    <w:rsid w:val="0F89285A"/>
    <w:rsid w:val="0F9C5147"/>
    <w:rsid w:val="0FAE4E7B"/>
    <w:rsid w:val="0FAF2D5B"/>
    <w:rsid w:val="0FB51D65"/>
    <w:rsid w:val="0FBC79F2"/>
    <w:rsid w:val="0FDA17CC"/>
    <w:rsid w:val="0FDA5C70"/>
    <w:rsid w:val="0FE95EB3"/>
    <w:rsid w:val="0FEA1995"/>
    <w:rsid w:val="0FF57E1F"/>
    <w:rsid w:val="0FF705D0"/>
    <w:rsid w:val="100131FC"/>
    <w:rsid w:val="10187C66"/>
    <w:rsid w:val="10260E1F"/>
    <w:rsid w:val="10340172"/>
    <w:rsid w:val="103A03EF"/>
    <w:rsid w:val="103D5E34"/>
    <w:rsid w:val="103E1D5B"/>
    <w:rsid w:val="103E7FAD"/>
    <w:rsid w:val="10673610"/>
    <w:rsid w:val="10697FD7"/>
    <w:rsid w:val="107E0270"/>
    <w:rsid w:val="10BC4481"/>
    <w:rsid w:val="10BF465A"/>
    <w:rsid w:val="10DE7334"/>
    <w:rsid w:val="1116365D"/>
    <w:rsid w:val="112E0E09"/>
    <w:rsid w:val="112F66F0"/>
    <w:rsid w:val="11314385"/>
    <w:rsid w:val="113D0264"/>
    <w:rsid w:val="114A62EC"/>
    <w:rsid w:val="114B3293"/>
    <w:rsid w:val="1152561B"/>
    <w:rsid w:val="115B4B8E"/>
    <w:rsid w:val="117A4C13"/>
    <w:rsid w:val="117A5014"/>
    <w:rsid w:val="117B46BC"/>
    <w:rsid w:val="117D68C8"/>
    <w:rsid w:val="117E1E89"/>
    <w:rsid w:val="11DB5D79"/>
    <w:rsid w:val="11E349AA"/>
    <w:rsid w:val="11E63BB9"/>
    <w:rsid w:val="11EC3680"/>
    <w:rsid w:val="120314AE"/>
    <w:rsid w:val="1209283C"/>
    <w:rsid w:val="12092DC7"/>
    <w:rsid w:val="120A07A1"/>
    <w:rsid w:val="121D5B6A"/>
    <w:rsid w:val="121F77FF"/>
    <w:rsid w:val="122B093D"/>
    <w:rsid w:val="123155A5"/>
    <w:rsid w:val="123C65D5"/>
    <w:rsid w:val="123D3153"/>
    <w:rsid w:val="12495E73"/>
    <w:rsid w:val="124A4DF8"/>
    <w:rsid w:val="125A6BF4"/>
    <w:rsid w:val="1297206B"/>
    <w:rsid w:val="129B2519"/>
    <w:rsid w:val="129F59E8"/>
    <w:rsid w:val="12A21BC2"/>
    <w:rsid w:val="12B43317"/>
    <w:rsid w:val="12D746E8"/>
    <w:rsid w:val="12D859BF"/>
    <w:rsid w:val="12DC5D75"/>
    <w:rsid w:val="12E74A54"/>
    <w:rsid w:val="12F33BBB"/>
    <w:rsid w:val="13030B04"/>
    <w:rsid w:val="130C6C9B"/>
    <w:rsid w:val="13116C73"/>
    <w:rsid w:val="13225E9F"/>
    <w:rsid w:val="13272BC5"/>
    <w:rsid w:val="133B6A25"/>
    <w:rsid w:val="133C4CA5"/>
    <w:rsid w:val="134442A6"/>
    <w:rsid w:val="134E3B57"/>
    <w:rsid w:val="135B1AD8"/>
    <w:rsid w:val="135F2634"/>
    <w:rsid w:val="13605532"/>
    <w:rsid w:val="136F10A6"/>
    <w:rsid w:val="13874C4E"/>
    <w:rsid w:val="13924B70"/>
    <w:rsid w:val="13984CC6"/>
    <w:rsid w:val="139B55D1"/>
    <w:rsid w:val="139B7C50"/>
    <w:rsid w:val="139E5A35"/>
    <w:rsid w:val="13A82322"/>
    <w:rsid w:val="13C0517C"/>
    <w:rsid w:val="13D9398B"/>
    <w:rsid w:val="13DC1FB6"/>
    <w:rsid w:val="13F441CD"/>
    <w:rsid w:val="14007620"/>
    <w:rsid w:val="140C561E"/>
    <w:rsid w:val="141860EE"/>
    <w:rsid w:val="14215C1B"/>
    <w:rsid w:val="142604D1"/>
    <w:rsid w:val="14387031"/>
    <w:rsid w:val="143C4803"/>
    <w:rsid w:val="146E2692"/>
    <w:rsid w:val="147541B9"/>
    <w:rsid w:val="14790EAC"/>
    <w:rsid w:val="14A10B0A"/>
    <w:rsid w:val="14B7224E"/>
    <w:rsid w:val="14BE35D4"/>
    <w:rsid w:val="15146C09"/>
    <w:rsid w:val="151D2AA4"/>
    <w:rsid w:val="15284D87"/>
    <w:rsid w:val="152D05F0"/>
    <w:rsid w:val="152E2457"/>
    <w:rsid w:val="15474047"/>
    <w:rsid w:val="154F14A8"/>
    <w:rsid w:val="15515FEC"/>
    <w:rsid w:val="15787ABD"/>
    <w:rsid w:val="15996659"/>
    <w:rsid w:val="159B19FD"/>
    <w:rsid w:val="159E69E1"/>
    <w:rsid w:val="15B22B1C"/>
    <w:rsid w:val="15B64D19"/>
    <w:rsid w:val="15BE749A"/>
    <w:rsid w:val="15C72DBA"/>
    <w:rsid w:val="15E42DE0"/>
    <w:rsid w:val="15EA37B8"/>
    <w:rsid w:val="15F93F0A"/>
    <w:rsid w:val="160B04A2"/>
    <w:rsid w:val="160C68EB"/>
    <w:rsid w:val="16155F88"/>
    <w:rsid w:val="16261210"/>
    <w:rsid w:val="16371EE2"/>
    <w:rsid w:val="163B5269"/>
    <w:rsid w:val="163C2BE1"/>
    <w:rsid w:val="16503BEF"/>
    <w:rsid w:val="16620DFB"/>
    <w:rsid w:val="1665226C"/>
    <w:rsid w:val="166C099D"/>
    <w:rsid w:val="16757273"/>
    <w:rsid w:val="16825EBF"/>
    <w:rsid w:val="168A4E92"/>
    <w:rsid w:val="168D3A3C"/>
    <w:rsid w:val="16AF7D2D"/>
    <w:rsid w:val="16B12AAB"/>
    <w:rsid w:val="16B36741"/>
    <w:rsid w:val="16BA2357"/>
    <w:rsid w:val="16CA0B38"/>
    <w:rsid w:val="16CF5037"/>
    <w:rsid w:val="16D626D4"/>
    <w:rsid w:val="17033CFE"/>
    <w:rsid w:val="17626C76"/>
    <w:rsid w:val="17654601"/>
    <w:rsid w:val="17773DA4"/>
    <w:rsid w:val="177D0B34"/>
    <w:rsid w:val="177D33DA"/>
    <w:rsid w:val="17991875"/>
    <w:rsid w:val="17BE650E"/>
    <w:rsid w:val="17DE4D75"/>
    <w:rsid w:val="17F10A37"/>
    <w:rsid w:val="180335AF"/>
    <w:rsid w:val="18075128"/>
    <w:rsid w:val="181C5A9A"/>
    <w:rsid w:val="183F6248"/>
    <w:rsid w:val="18426022"/>
    <w:rsid w:val="18570069"/>
    <w:rsid w:val="185A794E"/>
    <w:rsid w:val="185C1667"/>
    <w:rsid w:val="18660E93"/>
    <w:rsid w:val="18682D19"/>
    <w:rsid w:val="18764F9D"/>
    <w:rsid w:val="187E54C8"/>
    <w:rsid w:val="188B010B"/>
    <w:rsid w:val="189D7A20"/>
    <w:rsid w:val="18A00F9D"/>
    <w:rsid w:val="18B31981"/>
    <w:rsid w:val="18C63A7B"/>
    <w:rsid w:val="18D616A7"/>
    <w:rsid w:val="18DF6533"/>
    <w:rsid w:val="18EC59C4"/>
    <w:rsid w:val="190B32CF"/>
    <w:rsid w:val="190D3F36"/>
    <w:rsid w:val="191E4E1F"/>
    <w:rsid w:val="193F72C5"/>
    <w:rsid w:val="196C3D38"/>
    <w:rsid w:val="1977113D"/>
    <w:rsid w:val="198C25CA"/>
    <w:rsid w:val="19A928E0"/>
    <w:rsid w:val="19B337B9"/>
    <w:rsid w:val="19C5648A"/>
    <w:rsid w:val="19C70C3C"/>
    <w:rsid w:val="19CE23A1"/>
    <w:rsid w:val="19DE76C7"/>
    <w:rsid w:val="19F4241A"/>
    <w:rsid w:val="19FA6FF3"/>
    <w:rsid w:val="1A156599"/>
    <w:rsid w:val="1A215351"/>
    <w:rsid w:val="1A2F0C50"/>
    <w:rsid w:val="1A481767"/>
    <w:rsid w:val="1A484396"/>
    <w:rsid w:val="1A4D07B2"/>
    <w:rsid w:val="1A55661F"/>
    <w:rsid w:val="1A606AF6"/>
    <w:rsid w:val="1A616C76"/>
    <w:rsid w:val="1A632CB7"/>
    <w:rsid w:val="1A6850A7"/>
    <w:rsid w:val="1A7208D9"/>
    <w:rsid w:val="1A8170E1"/>
    <w:rsid w:val="1A891930"/>
    <w:rsid w:val="1A951111"/>
    <w:rsid w:val="1AA522B1"/>
    <w:rsid w:val="1ACE732C"/>
    <w:rsid w:val="1AD737B6"/>
    <w:rsid w:val="1B063DBD"/>
    <w:rsid w:val="1B065901"/>
    <w:rsid w:val="1B121750"/>
    <w:rsid w:val="1B1F0CAA"/>
    <w:rsid w:val="1B244332"/>
    <w:rsid w:val="1B2740EE"/>
    <w:rsid w:val="1B2849E4"/>
    <w:rsid w:val="1B326692"/>
    <w:rsid w:val="1B3426D8"/>
    <w:rsid w:val="1B3E776C"/>
    <w:rsid w:val="1B544403"/>
    <w:rsid w:val="1B6F4419"/>
    <w:rsid w:val="1B707529"/>
    <w:rsid w:val="1B95294D"/>
    <w:rsid w:val="1BA82036"/>
    <w:rsid w:val="1BB46997"/>
    <w:rsid w:val="1BC30491"/>
    <w:rsid w:val="1BCA50E7"/>
    <w:rsid w:val="1BD47A17"/>
    <w:rsid w:val="1BDC035F"/>
    <w:rsid w:val="1BF604D2"/>
    <w:rsid w:val="1BFC49C1"/>
    <w:rsid w:val="1BFD6F3E"/>
    <w:rsid w:val="1C154B73"/>
    <w:rsid w:val="1C222AC8"/>
    <w:rsid w:val="1C330BE1"/>
    <w:rsid w:val="1C37446B"/>
    <w:rsid w:val="1C543758"/>
    <w:rsid w:val="1C745280"/>
    <w:rsid w:val="1C7A62C7"/>
    <w:rsid w:val="1CA70C88"/>
    <w:rsid w:val="1CAC005B"/>
    <w:rsid w:val="1CC91344"/>
    <w:rsid w:val="1D073520"/>
    <w:rsid w:val="1D2D3883"/>
    <w:rsid w:val="1D2F75FB"/>
    <w:rsid w:val="1D3544E5"/>
    <w:rsid w:val="1D422EB3"/>
    <w:rsid w:val="1D484E43"/>
    <w:rsid w:val="1D4961E3"/>
    <w:rsid w:val="1D557650"/>
    <w:rsid w:val="1D581127"/>
    <w:rsid w:val="1D6369E8"/>
    <w:rsid w:val="1D934DF7"/>
    <w:rsid w:val="1D95481A"/>
    <w:rsid w:val="1D9C27B6"/>
    <w:rsid w:val="1DA71A80"/>
    <w:rsid w:val="1DAA7455"/>
    <w:rsid w:val="1DAD726A"/>
    <w:rsid w:val="1DAE4172"/>
    <w:rsid w:val="1DBD1493"/>
    <w:rsid w:val="1DDC5D8A"/>
    <w:rsid w:val="1DDF7479"/>
    <w:rsid w:val="1DF16EE1"/>
    <w:rsid w:val="1DF20628"/>
    <w:rsid w:val="1E0A2A3F"/>
    <w:rsid w:val="1E147553"/>
    <w:rsid w:val="1E201B9E"/>
    <w:rsid w:val="1E737BB4"/>
    <w:rsid w:val="1E94348E"/>
    <w:rsid w:val="1EA05C30"/>
    <w:rsid w:val="1EA25BAA"/>
    <w:rsid w:val="1EB214DD"/>
    <w:rsid w:val="1EB616F1"/>
    <w:rsid w:val="1EF14C26"/>
    <w:rsid w:val="1F02063F"/>
    <w:rsid w:val="1F061F30"/>
    <w:rsid w:val="1F0C6A6D"/>
    <w:rsid w:val="1F1518E2"/>
    <w:rsid w:val="1F152820"/>
    <w:rsid w:val="1F212F73"/>
    <w:rsid w:val="1F3251AB"/>
    <w:rsid w:val="1F8F5F24"/>
    <w:rsid w:val="1F930BDA"/>
    <w:rsid w:val="1F9A5250"/>
    <w:rsid w:val="1F9E6E81"/>
    <w:rsid w:val="1FAC799E"/>
    <w:rsid w:val="1FBC74D5"/>
    <w:rsid w:val="1FDD44D2"/>
    <w:rsid w:val="202A4011"/>
    <w:rsid w:val="20326564"/>
    <w:rsid w:val="20450EE3"/>
    <w:rsid w:val="204818BF"/>
    <w:rsid w:val="2064029A"/>
    <w:rsid w:val="20682ABA"/>
    <w:rsid w:val="206C06CB"/>
    <w:rsid w:val="206D688D"/>
    <w:rsid w:val="20784D3D"/>
    <w:rsid w:val="20873E45"/>
    <w:rsid w:val="20880DD0"/>
    <w:rsid w:val="208B2AFE"/>
    <w:rsid w:val="208E288A"/>
    <w:rsid w:val="20A27B01"/>
    <w:rsid w:val="20A91472"/>
    <w:rsid w:val="20AB7ECD"/>
    <w:rsid w:val="20B40D3C"/>
    <w:rsid w:val="20EF5FFF"/>
    <w:rsid w:val="213B28FB"/>
    <w:rsid w:val="213E4AFE"/>
    <w:rsid w:val="214C7863"/>
    <w:rsid w:val="214D44F3"/>
    <w:rsid w:val="214F23A0"/>
    <w:rsid w:val="2158109D"/>
    <w:rsid w:val="21586599"/>
    <w:rsid w:val="217867F0"/>
    <w:rsid w:val="21842B78"/>
    <w:rsid w:val="21C03EFE"/>
    <w:rsid w:val="21DC7B7F"/>
    <w:rsid w:val="21DE514B"/>
    <w:rsid w:val="21EB1E39"/>
    <w:rsid w:val="221528A4"/>
    <w:rsid w:val="221F216C"/>
    <w:rsid w:val="223A26A6"/>
    <w:rsid w:val="223E16DB"/>
    <w:rsid w:val="22552F34"/>
    <w:rsid w:val="2255553A"/>
    <w:rsid w:val="22617F37"/>
    <w:rsid w:val="226411B3"/>
    <w:rsid w:val="228A52D3"/>
    <w:rsid w:val="2291647A"/>
    <w:rsid w:val="22917309"/>
    <w:rsid w:val="22B26751"/>
    <w:rsid w:val="22B81E40"/>
    <w:rsid w:val="22C03661"/>
    <w:rsid w:val="22C80B27"/>
    <w:rsid w:val="22D736ED"/>
    <w:rsid w:val="22D82647"/>
    <w:rsid w:val="22FF67F1"/>
    <w:rsid w:val="23037BFD"/>
    <w:rsid w:val="23104268"/>
    <w:rsid w:val="231119F6"/>
    <w:rsid w:val="232B13F0"/>
    <w:rsid w:val="235B04CE"/>
    <w:rsid w:val="23637D4D"/>
    <w:rsid w:val="23812232"/>
    <w:rsid w:val="23A46F99"/>
    <w:rsid w:val="23CE7442"/>
    <w:rsid w:val="23D5791E"/>
    <w:rsid w:val="23DD3661"/>
    <w:rsid w:val="23F1398F"/>
    <w:rsid w:val="23F650D1"/>
    <w:rsid w:val="23FF4CA7"/>
    <w:rsid w:val="241038A8"/>
    <w:rsid w:val="242038C5"/>
    <w:rsid w:val="24207C9D"/>
    <w:rsid w:val="2425434D"/>
    <w:rsid w:val="24520004"/>
    <w:rsid w:val="2471674B"/>
    <w:rsid w:val="247C5BC9"/>
    <w:rsid w:val="248865C2"/>
    <w:rsid w:val="24933AB9"/>
    <w:rsid w:val="24A77F65"/>
    <w:rsid w:val="24D9514F"/>
    <w:rsid w:val="25013EA8"/>
    <w:rsid w:val="25036AAB"/>
    <w:rsid w:val="253400BA"/>
    <w:rsid w:val="253F25BA"/>
    <w:rsid w:val="255B63C8"/>
    <w:rsid w:val="257B52F4"/>
    <w:rsid w:val="25A90795"/>
    <w:rsid w:val="25E2141C"/>
    <w:rsid w:val="25FE1F57"/>
    <w:rsid w:val="25FE400E"/>
    <w:rsid w:val="26205179"/>
    <w:rsid w:val="26275539"/>
    <w:rsid w:val="262C262E"/>
    <w:rsid w:val="26367A9F"/>
    <w:rsid w:val="26527EB6"/>
    <w:rsid w:val="265771B1"/>
    <w:rsid w:val="266D0704"/>
    <w:rsid w:val="266F2816"/>
    <w:rsid w:val="26864004"/>
    <w:rsid w:val="26A32274"/>
    <w:rsid w:val="26CA0CD0"/>
    <w:rsid w:val="26E8507D"/>
    <w:rsid w:val="27027B2E"/>
    <w:rsid w:val="270C62B7"/>
    <w:rsid w:val="270C79B5"/>
    <w:rsid w:val="270E7E69"/>
    <w:rsid w:val="27394565"/>
    <w:rsid w:val="274202B2"/>
    <w:rsid w:val="277B168E"/>
    <w:rsid w:val="27845BE5"/>
    <w:rsid w:val="279402B9"/>
    <w:rsid w:val="27983C75"/>
    <w:rsid w:val="27A0454C"/>
    <w:rsid w:val="27B373ED"/>
    <w:rsid w:val="27BC7E5F"/>
    <w:rsid w:val="27C9130C"/>
    <w:rsid w:val="27CC3C98"/>
    <w:rsid w:val="27CD6E6A"/>
    <w:rsid w:val="27CF5C43"/>
    <w:rsid w:val="27D854D6"/>
    <w:rsid w:val="27E36863"/>
    <w:rsid w:val="28043B56"/>
    <w:rsid w:val="283A44CE"/>
    <w:rsid w:val="283B6DC8"/>
    <w:rsid w:val="284B5C7E"/>
    <w:rsid w:val="285558A8"/>
    <w:rsid w:val="287141A0"/>
    <w:rsid w:val="2881477F"/>
    <w:rsid w:val="288E3541"/>
    <w:rsid w:val="2895706D"/>
    <w:rsid w:val="289C3386"/>
    <w:rsid w:val="28A17393"/>
    <w:rsid w:val="28AD3E28"/>
    <w:rsid w:val="28C13BB6"/>
    <w:rsid w:val="28C72DDD"/>
    <w:rsid w:val="28C85B31"/>
    <w:rsid w:val="290F26F5"/>
    <w:rsid w:val="29192F0D"/>
    <w:rsid w:val="292F44DF"/>
    <w:rsid w:val="29305143"/>
    <w:rsid w:val="293A1B93"/>
    <w:rsid w:val="29466370"/>
    <w:rsid w:val="296D15DA"/>
    <w:rsid w:val="29934A6D"/>
    <w:rsid w:val="299647AA"/>
    <w:rsid w:val="29B14F78"/>
    <w:rsid w:val="29B85E62"/>
    <w:rsid w:val="29CF181E"/>
    <w:rsid w:val="29E4095D"/>
    <w:rsid w:val="29EA1563"/>
    <w:rsid w:val="29FB4E1F"/>
    <w:rsid w:val="29FF3170"/>
    <w:rsid w:val="2A050933"/>
    <w:rsid w:val="2A230C6E"/>
    <w:rsid w:val="2A29070A"/>
    <w:rsid w:val="2A321A45"/>
    <w:rsid w:val="2A426494"/>
    <w:rsid w:val="2A5A1A2F"/>
    <w:rsid w:val="2A711DE1"/>
    <w:rsid w:val="2A7E20D6"/>
    <w:rsid w:val="2A7F33BA"/>
    <w:rsid w:val="2A842608"/>
    <w:rsid w:val="2A864272"/>
    <w:rsid w:val="2A965E28"/>
    <w:rsid w:val="2ABB76B6"/>
    <w:rsid w:val="2AD14E6A"/>
    <w:rsid w:val="2AFA0B1C"/>
    <w:rsid w:val="2B0118DF"/>
    <w:rsid w:val="2B1722A2"/>
    <w:rsid w:val="2B207A38"/>
    <w:rsid w:val="2B240A94"/>
    <w:rsid w:val="2B2C7524"/>
    <w:rsid w:val="2B3E5E22"/>
    <w:rsid w:val="2B466C51"/>
    <w:rsid w:val="2B512E32"/>
    <w:rsid w:val="2B545022"/>
    <w:rsid w:val="2B692166"/>
    <w:rsid w:val="2B7A29B8"/>
    <w:rsid w:val="2B8E714E"/>
    <w:rsid w:val="2B956FBE"/>
    <w:rsid w:val="2BA65CF5"/>
    <w:rsid w:val="2BAC0111"/>
    <w:rsid w:val="2BBB4497"/>
    <w:rsid w:val="2BD650E5"/>
    <w:rsid w:val="2BEB6DE3"/>
    <w:rsid w:val="2C02237E"/>
    <w:rsid w:val="2C1C4018"/>
    <w:rsid w:val="2C221E1E"/>
    <w:rsid w:val="2C48411F"/>
    <w:rsid w:val="2C4F343B"/>
    <w:rsid w:val="2C5724E3"/>
    <w:rsid w:val="2C6225FE"/>
    <w:rsid w:val="2C6438F8"/>
    <w:rsid w:val="2C6D55CB"/>
    <w:rsid w:val="2C6E2FDF"/>
    <w:rsid w:val="2C732934"/>
    <w:rsid w:val="2C7E7C57"/>
    <w:rsid w:val="2CB21B9D"/>
    <w:rsid w:val="2CB35427"/>
    <w:rsid w:val="2CB847EB"/>
    <w:rsid w:val="2CBF201D"/>
    <w:rsid w:val="2CC306E8"/>
    <w:rsid w:val="2CCC678A"/>
    <w:rsid w:val="2CD6590B"/>
    <w:rsid w:val="2CE515BF"/>
    <w:rsid w:val="2CF52546"/>
    <w:rsid w:val="2D1265F1"/>
    <w:rsid w:val="2D1C7470"/>
    <w:rsid w:val="2D1D432F"/>
    <w:rsid w:val="2D265044"/>
    <w:rsid w:val="2D511CF8"/>
    <w:rsid w:val="2D542FFE"/>
    <w:rsid w:val="2D60579D"/>
    <w:rsid w:val="2D854A54"/>
    <w:rsid w:val="2D8802A8"/>
    <w:rsid w:val="2D9663C0"/>
    <w:rsid w:val="2DA15F14"/>
    <w:rsid w:val="2DA67BD4"/>
    <w:rsid w:val="2DB85067"/>
    <w:rsid w:val="2DCE076A"/>
    <w:rsid w:val="2DCE7B02"/>
    <w:rsid w:val="2DD07B82"/>
    <w:rsid w:val="2DE05696"/>
    <w:rsid w:val="2E183793"/>
    <w:rsid w:val="2E1F52DA"/>
    <w:rsid w:val="2E2356E6"/>
    <w:rsid w:val="2E262354"/>
    <w:rsid w:val="2E463520"/>
    <w:rsid w:val="2E534CAD"/>
    <w:rsid w:val="2E5C60F7"/>
    <w:rsid w:val="2E6B650A"/>
    <w:rsid w:val="2E6C5893"/>
    <w:rsid w:val="2E836496"/>
    <w:rsid w:val="2E9F6C97"/>
    <w:rsid w:val="2EAC6A54"/>
    <w:rsid w:val="2EAF03C0"/>
    <w:rsid w:val="2EB6251C"/>
    <w:rsid w:val="2EB67BB3"/>
    <w:rsid w:val="2EB70CB5"/>
    <w:rsid w:val="2EB84F5A"/>
    <w:rsid w:val="2EBF00B3"/>
    <w:rsid w:val="2ED76DE2"/>
    <w:rsid w:val="2EDB71B9"/>
    <w:rsid w:val="2EDE1DC0"/>
    <w:rsid w:val="2F0C331C"/>
    <w:rsid w:val="2F2A13CC"/>
    <w:rsid w:val="2F5729E1"/>
    <w:rsid w:val="2F5A263F"/>
    <w:rsid w:val="2F6161C3"/>
    <w:rsid w:val="2F9D39A3"/>
    <w:rsid w:val="2FBC06DB"/>
    <w:rsid w:val="2FBE3328"/>
    <w:rsid w:val="2FD74348"/>
    <w:rsid w:val="2FDF6C0C"/>
    <w:rsid w:val="2FF107DF"/>
    <w:rsid w:val="2FF760C2"/>
    <w:rsid w:val="300B6A1A"/>
    <w:rsid w:val="302138ED"/>
    <w:rsid w:val="303F4C0D"/>
    <w:rsid w:val="30437D78"/>
    <w:rsid w:val="304C5976"/>
    <w:rsid w:val="304C6A8D"/>
    <w:rsid w:val="3063693E"/>
    <w:rsid w:val="306B037C"/>
    <w:rsid w:val="306B6744"/>
    <w:rsid w:val="307954C2"/>
    <w:rsid w:val="309722C1"/>
    <w:rsid w:val="30C50311"/>
    <w:rsid w:val="30D64795"/>
    <w:rsid w:val="30D75B88"/>
    <w:rsid w:val="30DC3C75"/>
    <w:rsid w:val="30FC114A"/>
    <w:rsid w:val="30FC55EE"/>
    <w:rsid w:val="310721DA"/>
    <w:rsid w:val="31077AEF"/>
    <w:rsid w:val="31163AA7"/>
    <w:rsid w:val="31182D9C"/>
    <w:rsid w:val="311B5E49"/>
    <w:rsid w:val="311D373D"/>
    <w:rsid w:val="312155A9"/>
    <w:rsid w:val="312F6A43"/>
    <w:rsid w:val="314D5E4A"/>
    <w:rsid w:val="3153274D"/>
    <w:rsid w:val="317046EE"/>
    <w:rsid w:val="31746DDF"/>
    <w:rsid w:val="317D1F9D"/>
    <w:rsid w:val="31EF0CAF"/>
    <w:rsid w:val="31F11BA0"/>
    <w:rsid w:val="31FD161E"/>
    <w:rsid w:val="31FD16BD"/>
    <w:rsid w:val="320133EC"/>
    <w:rsid w:val="320D7324"/>
    <w:rsid w:val="323446FA"/>
    <w:rsid w:val="324A2389"/>
    <w:rsid w:val="32697D44"/>
    <w:rsid w:val="32712A65"/>
    <w:rsid w:val="32777CC8"/>
    <w:rsid w:val="32992418"/>
    <w:rsid w:val="32A933D3"/>
    <w:rsid w:val="32CC2CDF"/>
    <w:rsid w:val="32EB76C8"/>
    <w:rsid w:val="330C14D3"/>
    <w:rsid w:val="33121D46"/>
    <w:rsid w:val="331D184C"/>
    <w:rsid w:val="333A0B2D"/>
    <w:rsid w:val="333B1513"/>
    <w:rsid w:val="3344256B"/>
    <w:rsid w:val="33727DEA"/>
    <w:rsid w:val="33734A45"/>
    <w:rsid w:val="338B12B3"/>
    <w:rsid w:val="339313C0"/>
    <w:rsid w:val="33A93AAA"/>
    <w:rsid w:val="33BA709B"/>
    <w:rsid w:val="33C41F87"/>
    <w:rsid w:val="33C643B2"/>
    <w:rsid w:val="33E03F1F"/>
    <w:rsid w:val="33F23FBB"/>
    <w:rsid w:val="340105BC"/>
    <w:rsid w:val="34057E15"/>
    <w:rsid w:val="340C1DA2"/>
    <w:rsid w:val="341113B0"/>
    <w:rsid w:val="341532C3"/>
    <w:rsid w:val="343A3E56"/>
    <w:rsid w:val="344E4352"/>
    <w:rsid w:val="345841E4"/>
    <w:rsid w:val="3460669A"/>
    <w:rsid w:val="34815E4A"/>
    <w:rsid w:val="34870E54"/>
    <w:rsid w:val="349B7EB8"/>
    <w:rsid w:val="34A02734"/>
    <w:rsid w:val="34A3421F"/>
    <w:rsid w:val="34A55F9D"/>
    <w:rsid w:val="34AE3172"/>
    <w:rsid w:val="34BC2B93"/>
    <w:rsid w:val="34C56347"/>
    <w:rsid w:val="34D8459F"/>
    <w:rsid w:val="34DF14AF"/>
    <w:rsid w:val="34E56C09"/>
    <w:rsid w:val="34E95E89"/>
    <w:rsid w:val="34EC2596"/>
    <w:rsid w:val="34F831BF"/>
    <w:rsid w:val="35071DBE"/>
    <w:rsid w:val="351E42D6"/>
    <w:rsid w:val="35287F2F"/>
    <w:rsid w:val="352B0544"/>
    <w:rsid w:val="352B4654"/>
    <w:rsid w:val="354B08F2"/>
    <w:rsid w:val="354B47DC"/>
    <w:rsid w:val="35565D50"/>
    <w:rsid w:val="35582684"/>
    <w:rsid w:val="355C665B"/>
    <w:rsid w:val="355E5766"/>
    <w:rsid w:val="356035F3"/>
    <w:rsid w:val="35645510"/>
    <w:rsid w:val="35746718"/>
    <w:rsid w:val="3589141A"/>
    <w:rsid w:val="35896801"/>
    <w:rsid w:val="358D4A67"/>
    <w:rsid w:val="359C6D47"/>
    <w:rsid w:val="35A44D66"/>
    <w:rsid w:val="35A805BE"/>
    <w:rsid w:val="35BE015D"/>
    <w:rsid w:val="35C673C5"/>
    <w:rsid w:val="35CC1533"/>
    <w:rsid w:val="35DF103A"/>
    <w:rsid w:val="35E8650E"/>
    <w:rsid w:val="35FF6E19"/>
    <w:rsid w:val="360241D0"/>
    <w:rsid w:val="361921E0"/>
    <w:rsid w:val="361F2CBC"/>
    <w:rsid w:val="36270060"/>
    <w:rsid w:val="36282562"/>
    <w:rsid w:val="362D42F0"/>
    <w:rsid w:val="3630520D"/>
    <w:rsid w:val="36343134"/>
    <w:rsid w:val="364F24BB"/>
    <w:rsid w:val="36500CCF"/>
    <w:rsid w:val="36505899"/>
    <w:rsid w:val="36590DED"/>
    <w:rsid w:val="36610A9C"/>
    <w:rsid w:val="36696099"/>
    <w:rsid w:val="368E5BE7"/>
    <w:rsid w:val="36966309"/>
    <w:rsid w:val="36973877"/>
    <w:rsid w:val="36A52284"/>
    <w:rsid w:val="36A621BE"/>
    <w:rsid w:val="36AE703A"/>
    <w:rsid w:val="36BB5A02"/>
    <w:rsid w:val="36D54C76"/>
    <w:rsid w:val="36D801D6"/>
    <w:rsid w:val="36E2757E"/>
    <w:rsid w:val="37177092"/>
    <w:rsid w:val="372E157F"/>
    <w:rsid w:val="373E5F39"/>
    <w:rsid w:val="37482584"/>
    <w:rsid w:val="37532486"/>
    <w:rsid w:val="375F2433"/>
    <w:rsid w:val="375F7C15"/>
    <w:rsid w:val="376F15E2"/>
    <w:rsid w:val="377207C1"/>
    <w:rsid w:val="37837800"/>
    <w:rsid w:val="37865C12"/>
    <w:rsid w:val="37D56B99"/>
    <w:rsid w:val="37E63D82"/>
    <w:rsid w:val="37F0264D"/>
    <w:rsid w:val="37F44CF3"/>
    <w:rsid w:val="37FD7F7E"/>
    <w:rsid w:val="38172DE6"/>
    <w:rsid w:val="382C4411"/>
    <w:rsid w:val="382C7B34"/>
    <w:rsid w:val="384C229E"/>
    <w:rsid w:val="387354C9"/>
    <w:rsid w:val="388D13C1"/>
    <w:rsid w:val="38AA3967"/>
    <w:rsid w:val="38AC782E"/>
    <w:rsid w:val="38D1110E"/>
    <w:rsid w:val="38FB5684"/>
    <w:rsid w:val="38FC7E85"/>
    <w:rsid w:val="38FF1191"/>
    <w:rsid w:val="390E15BE"/>
    <w:rsid w:val="391024FE"/>
    <w:rsid w:val="39127B3F"/>
    <w:rsid w:val="39182F97"/>
    <w:rsid w:val="39344E5A"/>
    <w:rsid w:val="395104A1"/>
    <w:rsid w:val="39586050"/>
    <w:rsid w:val="3979539F"/>
    <w:rsid w:val="397A26D1"/>
    <w:rsid w:val="39814535"/>
    <w:rsid w:val="3992774A"/>
    <w:rsid w:val="39A17F2C"/>
    <w:rsid w:val="39AC123C"/>
    <w:rsid w:val="39B977D5"/>
    <w:rsid w:val="39BD7C47"/>
    <w:rsid w:val="39C63F26"/>
    <w:rsid w:val="39EA2154"/>
    <w:rsid w:val="3A1F2A11"/>
    <w:rsid w:val="3A341FFB"/>
    <w:rsid w:val="3A564C20"/>
    <w:rsid w:val="3A582597"/>
    <w:rsid w:val="3A61033D"/>
    <w:rsid w:val="3A646940"/>
    <w:rsid w:val="3A6A67D9"/>
    <w:rsid w:val="3A726921"/>
    <w:rsid w:val="3A7B32D2"/>
    <w:rsid w:val="3A8F7B71"/>
    <w:rsid w:val="3AAA7E69"/>
    <w:rsid w:val="3AAD4078"/>
    <w:rsid w:val="3AB17449"/>
    <w:rsid w:val="3AC56A51"/>
    <w:rsid w:val="3AC8492B"/>
    <w:rsid w:val="3AD36DAA"/>
    <w:rsid w:val="3ADC400F"/>
    <w:rsid w:val="3AEF3ACE"/>
    <w:rsid w:val="3AF00D92"/>
    <w:rsid w:val="3B102D67"/>
    <w:rsid w:val="3B1B10A5"/>
    <w:rsid w:val="3B2D45F6"/>
    <w:rsid w:val="3B680F3F"/>
    <w:rsid w:val="3B893F22"/>
    <w:rsid w:val="3B8D2D3B"/>
    <w:rsid w:val="3B8E0F23"/>
    <w:rsid w:val="3BBD0E4C"/>
    <w:rsid w:val="3BC21BE2"/>
    <w:rsid w:val="3BC517E3"/>
    <w:rsid w:val="3BCD6245"/>
    <w:rsid w:val="3BDE2894"/>
    <w:rsid w:val="3BE3211A"/>
    <w:rsid w:val="3BF04ADC"/>
    <w:rsid w:val="3BF201A9"/>
    <w:rsid w:val="3BFD59A4"/>
    <w:rsid w:val="3BFE66BE"/>
    <w:rsid w:val="3C046AB8"/>
    <w:rsid w:val="3C057D36"/>
    <w:rsid w:val="3C06188E"/>
    <w:rsid w:val="3C0B005C"/>
    <w:rsid w:val="3C410359"/>
    <w:rsid w:val="3C4807E9"/>
    <w:rsid w:val="3C5A766D"/>
    <w:rsid w:val="3C5C33E5"/>
    <w:rsid w:val="3C7E5D8F"/>
    <w:rsid w:val="3C8B310E"/>
    <w:rsid w:val="3CA54FA7"/>
    <w:rsid w:val="3CA9174A"/>
    <w:rsid w:val="3CAD3C40"/>
    <w:rsid w:val="3CB03869"/>
    <w:rsid w:val="3CB23005"/>
    <w:rsid w:val="3CC01BC6"/>
    <w:rsid w:val="3CC560A1"/>
    <w:rsid w:val="3CDE4A4F"/>
    <w:rsid w:val="3CE60F00"/>
    <w:rsid w:val="3CEA6C43"/>
    <w:rsid w:val="3CEB6517"/>
    <w:rsid w:val="3CEF1D2C"/>
    <w:rsid w:val="3D0A1093"/>
    <w:rsid w:val="3D1A02E5"/>
    <w:rsid w:val="3D1C6E82"/>
    <w:rsid w:val="3D2615ED"/>
    <w:rsid w:val="3D2832C7"/>
    <w:rsid w:val="3D334B9C"/>
    <w:rsid w:val="3D367665"/>
    <w:rsid w:val="3D454E84"/>
    <w:rsid w:val="3D461F6F"/>
    <w:rsid w:val="3D4E5423"/>
    <w:rsid w:val="3D52414F"/>
    <w:rsid w:val="3D593035"/>
    <w:rsid w:val="3D712B8E"/>
    <w:rsid w:val="3D7C34EE"/>
    <w:rsid w:val="3DA51D58"/>
    <w:rsid w:val="3DB07C1D"/>
    <w:rsid w:val="3DB157CF"/>
    <w:rsid w:val="3DC375E2"/>
    <w:rsid w:val="3DC654EF"/>
    <w:rsid w:val="3DC76F84"/>
    <w:rsid w:val="3DCB6200"/>
    <w:rsid w:val="3DCC6ADF"/>
    <w:rsid w:val="3DDE3E9A"/>
    <w:rsid w:val="3DE24C72"/>
    <w:rsid w:val="3E0A1B37"/>
    <w:rsid w:val="3E1334F8"/>
    <w:rsid w:val="3E1A3772"/>
    <w:rsid w:val="3E2241BA"/>
    <w:rsid w:val="3E4876CD"/>
    <w:rsid w:val="3E6477B6"/>
    <w:rsid w:val="3E7F5015"/>
    <w:rsid w:val="3E847876"/>
    <w:rsid w:val="3E9831B9"/>
    <w:rsid w:val="3E9C1729"/>
    <w:rsid w:val="3ECA2888"/>
    <w:rsid w:val="3EE33949"/>
    <w:rsid w:val="3EE33E1A"/>
    <w:rsid w:val="3EF22C3D"/>
    <w:rsid w:val="3F070171"/>
    <w:rsid w:val="3F0E36DA"/>
    <w:rsid w:val="3F2006FA"/>
    <w:rsid w:val="3F291A23"/>
    <w:rsid w:val="3F4A790C"/>
    <w:rsid w:val="3F4B7CE6"/>
    <w:rsid w:val="3F4D3D27"/>
    <w:rsid w:val="3F620D12"/>
    <w:rsid w:val="3F7D463E"/>
    <w:rsid w:val="3F807997"/>
    <w:rsid w:val="3F854A01"/>
    <w:rsid w:val="3F872F71"/>
    <w:rsid w:val="3F87364A"/>
    <w:rsid w:val="3F980BD8"/>
    <w:rsid w:val="3FA458F1"/>
    <w:rsid w:val="3FA70B00"/>
    <w:rsid w:val="3FA92E9B"/>
    <w:rsid w:val="3FB11D9C"/>
    <w:rsid w:val="3FB82246"/>
    <w:rsid w:val="3FC733A8"/>
    <w:rsid w:val="3FC83FD1"/>
    <w:rsid w:val="3FCF3ED9"/>
    <w:rsid w:val="3FF33501"/>
    <w:rsid w:val="3FF5714E"/>
    <w:rsid w:val="3FFF206C"/>
    <w:rsid w:val="400F24B0"/>
    <w:rsid w:val="40185875"/>
    <w:rsid w:val="402B34B3"/>
    <w:rsid w:val="402E5098"/>
    <w:rsid w:val="403056D0"/>
    <w:rsid w:val="40314B39"/>
    <w:rsid w:val="40676455"/>
    <w:rsid w:val="406F01F2"/>
    <w:rsid w:val="40715D92"/>
    <w:rsid w:val="408E5B37"/>
    <w:rsid w:val="408F57DD"/>
    <w:rsid w:val="40BE466E"/>
    <w:rsid w:val="40C12F8D"/>
    <w:rsid w:val="40D300F5"/>
    <w:rsid w:val="40E02AB9"/>
    <w:rsid w:val="40E53202"/>
    <w:rsid w:val="40F651D2"/>
    <w:rsid w:val="41285F8B"/>
    <w:rsid w:val="41287123"/>
    <w:rsid w:val="41287D39"/>
    <w:rsid w:val="412B5440"/>
    <w:rsid w:val="41362456"/>
    <w:rsid w:val="41384420"/>
    <w:rsid w:val="413E130B"/>
    <w:rsid w:val="41407063"/>
    <w:rsid w:val="41502546"/>
    <w:rsid w:val="415132CC"/>
    <w:rsid w:val="41B13E8F"/>
    <w:rsid w:val="41C20185"/>
    <w:rsid w:val="41C31810"/>
    <w:rsid w:val="41DC1A63"/>
    <w:rsid w:val="41DD3D00"/>
    <w:rsid w:val="41E40104"/>
    <w:rsid w:val="41EC08E1"/>
    <w:rsid w:val="41EC73B9"/>
    <w:rsid w:val="41FC2CE3"/>
    <w:rsid w:val="420F046E"/>
    <w:rsid w:val="4212479A"/>
    <w:rsid w:val="421C6835"/>
    <w:rsid w:val="42446AC1"/>
    <w:rsid w:val="424B538C"/>
    <w:rsid w:val="425802D5"/>
    <w:rsid w:val="425A03C6"/>
    <w:rsid w:val="425B4E3C"/>
    <w:rsid w:val="42862388"/>
    <w:rsid w:val="42997141"/>
    <w:rsid w:val="42A70AE7"/>
    <w:rsid w:val="42A97913"/>
    <w:rsid w:val="42AE6842"/>
    <w:rsid w:val="42AF05B5"/>
    <w:rsid w:val="42B26086"/>
    <w:rsid w:val="42F22885"/>
    <w:rsid w:val="42FE6FA4"/>
    <w:rsid w:val="42FF1194"/>
    <w:rsid w:val="43192030"/>
    <w:rsid w:val="43352247"/>
    <w:rsid w:val="43356075"/>
    <w:rsid w:val="433974CC"/>
    <w:rsid w:val="43811983"/>
    <w:rsid w:val="43844CC6"/>
    <w:rsid w:val="43927EED"/>
    <w:rsid w:val="43AA70B0"/>
    <w:rsid w:val="43BE3A6E"/>
    <w:rsid w:val="43C054D8"/>
    <w:rsid w:val="43C86E87"/>
    <w:rsid w:val="43E4694B"/>
    <w:rsid w:val="43F43450"/>
    <w:rsid w:val="44043E2E"/>
    <w:rsid w:val="44165CF3"/>
    <w:rsid w:val="442C263E"/>
    <w:rsid w:val="443B7222"/>
    <w:rsid w:val="443D3AAF"/>
    <w:rsid w:val="443F1622"/>
    <w:rsid w:val="44443463"/>
    <w:rsid w:val="44444D3A"/>
    <w:rsid w:val="44444E8A"/>
    <w:rsid w:val="444E13D2"/>
    <w:rsid w:val="444E53B7"/>
    <w:rsid w:val="445641C0"/>
    <w:rsid w:val="44727299"/>
    <w:rsid w:val="44823C05"/>
    <w:rsid w:val="44982D07"/>
    <w:rsid w:val="44A155FD"/>
    <w:rsid w:val="44A7336E"/>
    <w:rsid w:val="44AB6112"/>
    <w:rsid w:val="44B00772"/>
    <w:rsid w:val="44F20B8A"/>
    <w:rsid w:val="44FA5303"/>
    <w:rsid w:val="450563CD"/>
    <w:rsid w:val="450665B4"/>
    <w:rsid w:val="450F763F"/>
    <w:rsid w:val="45133101"/>
    <w:rsid w:val="45140D01"/>
    <w:rsid w:val="45172298"/>
    <w:rsid w:val="4535141C"/>
    <w:rsid w:val="454C7A7F"/>
    <w:rsid w:val="455959FB"/>
    <w:rsid w:val="4561670A"/>
    <w:rsid w:val="458134D7"/>
    <w:rsid w:val="4590612D"/>
    <w:rsid w:val="45960279"/>
    <w:rsid w:val="45AA51C1"/>
    <w:rsid w:val="45B848A1"/>
    <w:rsid w:val="45BF1545"/>
    <w:rsid w:val="45C1626F"/>
    <w:rsid w:val="45EA75FE"/>
    <w:rsid w:val="45F00162"/>
    <w:rsid w:val="46026DAB"/>
    <w:rsid w:val="46162AF5"/>
    <w:rsid w:val="461A3256"/>
    <w:rsid w:val="465A12E5"/>
    <w:rsid w:val="465E1DE9"/>
    <w:rsid w:val="466D6B97"/>
    <w:rsid w:val="46C71674"/>
    <w:rsid w:val="46DA6E7A"/>
    <w:rsid w:val="46DB30B1"/>
    <w:rsid w:val="46E12527"/>
    <w:rsid w:val="47011E8C"/>
    <w:rsid w:val="4701620A"/>
    <w:rsid w:val="47017016"/>
    <w:rsid w:val="471013D1"/>
    <w:rsid w:val="471C0020"/>
    <w:rsid w:val="472A7BC9"/>
    <w:rsid w:val="472D3DC5"/>
    <w:rsid w:val="473679CF"/>
    <w:rsid w:val="47407842"/>
    <w:rsid w:val="47666BD6"/>
    <w:rsid w:val="476C119E"/>
    <w:rsid w:val="477C2E55"/>
    <w:rsid w:val="477D269F"/>
    <w:rsid w:val="479071B8"/>
    <w:rsid w:val="47975C7E"/>
    <w:rsid w:val="47A76D05"/>
    <w:rsid w:val="47C3362C"/>
    <w:rsid w:val="47CA10D0"/>
    <w:rsid w:val="47FE19A3"/>
    <w:rsid w:val="48117779"/>
    <w:rsid w:val="48295044"/>
    <w:rsid w:val="48317EA4"/>
    <w:rsid w:val="483F42E6"/>
    <w:rsid w:val="484F663C"/>
    <w:rsid w:val="485028D5"/>
    <w:rsid w:val="48524CDD"/>
    <w:rsid w:val="4856518C"/>
    <w:rsid w:val="48697009"/>
    <w:rsid w:val="48750C26"/>
    <w:rsid w:val="487A4589"/>
    <w:rsid w:val="487C407F"/>
    <w:rsid w:val="488110FE"/>
    <w:rsid w:val="4885754D"/>
    <w:rsid w:val="48873598"/>
    <w:rsid w:val="4890058F"/>
    <w:rsid w:val="48934632"/>
    <w:rsid w:val="48952158"/>
    <w:rsid w:val="48B50E37"/>
    <w:rsid w:val="48C04CFB"/>
    <w:rsid w:val="48C255D9"/>
    <w:rsid w:val="48D32A87"/>
    <w:rsid w:val="48DA6428"/>
    <w:rsid w:val="48E27909"/>
    <w:rsid w:val="48EA0288"/>
    <w:rsid w:val="48EC2B79"/>
    <w:rsid w:val="48F03833"/>
    <w:rsid w:val="491442C2"/>
    <w:rsid w:val="49276B29"/>
    <w:rsid w:val="49310712"/>
    <w:rsid w:val="49396F88"/>
    <w:rsid w:val="4960336B"/>
    <w:rsid w:val="496E6356"/>
    <w:rsid w:val="497638A1"/>
    <w:rsid w:val="497E551E"/>
    <w:rsid w:val="499F46CC"/>
    <w:rsid w:val="49A26952"/>
    <w:rsid w:val="49B900A4"/>
    <w:rsid w:val="49C02EB0"/>
    <w:rsid w:val="49CD26FB"/>
    <w:rsid w:val="49D071C0"/>
    <w:rsid w:val="49D34854"/>
    <w:rsid w:val="49D91680"/>
    <w:rsid w:val="49F96717"/>
    <w:rsid w:val="4A104D0E"/>
    <w:rsid w:val="4A1C41B3"/>
    <w:rsid w:val="4A1F7CD0"/>
    <w:rsid w:val="4A735A25"/>
    <w:rsid w:val="4A813AF8"/>
    <w:rsid w:val="4A894D04"/>
    <w:rsid w:val="4A8D6B88"/>
    <w:rsid w:val="4A942327"/>
    <w:rsid w:val="4A9F5E3B"/>
    <w:rsid w:val="4AA046CC"/>
    <w:rsid w:val="4AA74182"/>
    <w:rsid w:val="4AAA5C63"/>
    <w:rsid w:val="4AB80380"/>
    <w:rsid w:val="4ABE1D31"/>
    <w:rsid w:val="4AC662D2"/>
    <w:rsid w:val="4ACF1226"/>
    <w:rsid w:val="4ADC2719"/>
    <w:rsid w:val="4AE44F53"/>
    <w:rsid w:val="4B0709C0"/>
    <w:rsid w:val="4B211352"/>
    <w:rsid w:val="4B2A00A4"/>
    <w:rsid w:val="4B325ACE"/>
    <w:rsid w:val="4B407D93"/>
    <w:rsid w:val="4B6D41C2"/>
    <w:rsid w:val="4B786845"/>
    <w:rsid w:val="4B787044"/>
    <w:rsid w:val="4B7A73E4"/>
    <w:rsid w:val="4B9934BB"/>
    <w:rsid w:val="4BA461B0"/>
    <w:rsid w:val="4BC609A6"/>
    <w:rsid w:val="4BD61BB0"/>
    <w:rsid w:val="4BD8343D"/>
    <w:rsid w:val="4BEE5948"/>
    <w:rsid w:val="4BF52F0E"/>
    <w:rsid w:val="4BF92C89"/>
    <w:rsid w:val="4BFE60BC"/>
    <w:rsid w:val="4C0F2222"/>
    <w:rsid w:val="4C1509E4"/>
    <w:rsid w:val="4C237A7B"/>
    <w:rsid w:val="4C243F37"/>
    <w:rsid w:val="4C270B50"/>
    <w:rsid w:val="4C30384B"/>
    <w:rsid w:val="4C3F58F4"/>
    <w:rsid w:val="4C4D2D4A"/>
    <w:rsid w:val="4C6057BE"/>
    <w:rsid w:val="4C741450"/>
    <w:rsid w:val="4C823D52"/>
    <w:rsid w:val="4C8257EE"/>
    <w:rsid w:val="4C8749CF"/>
    <w:rsid w:val="4C984D1B"/>
    <w:rsid w:val="4CC00D90"/>
    <w:rsid w:val="4CC53416"/>
    <w:rsid w:val="4CD11285"/>
    <w:rsid w:val="4CD552E8"/>
    <w:rsid w:val="4CD63ADF"/>
    <w:rsid w:val="4CEE62DB"/>
    <w:rsid w:val="4CF369FC"/>
    <w:rsid w:val="4CFE3A0A"/>
    <w:rsid w:val="4D001B6A"/>
    <w:rsid w:val="4D186AC1"/>
    <w:rsid w:val="4D1E5E0C"/>
    <w:rsid w:val="4D3C37F6"/>
    <w:rsid w:val="4D5F7D32"/>
    <w:rsid w:val="4D812CAB"/>
    <w:rsid w:val="4D816A61"/>
    <w:rsid w:val="4D8E6B9C"/>
    <w:rsid w:val="4D9C5D37"/>
    <w:rsid w:val="4D9E3970"/>
    <w:rsid w:val="4DAA35A1"/>
    <w:rsid w:val="4DB6499C"/>
    <w:rsid w:val="4DC1579E"/>
    <w:rsid w:val="4DD10D9B"/>
    <w:rsid w:val="4DDA4732"/>
    <w:rsid w:val="4DE61B5C"/>
    <w:rsid w:val="4DED20EF"/>
    <w:rsid w:val="4DFD5F97"/>
    <w:rsid w:val="4E022973"/>
    <w:rsid w:val="4E122376"/>
    <w:rsid w:val="4E180201"/>
    <w:rsid w:val="4E253FC7"/>
    <w:rsid w:val="4E343576"/>
    <w:rsid w:val="4E355844"/>
    <w:rsid w:val="4E375410"/>
    <w:rsid w:val="4E3F0902"/>
    <w:rsid w:val="4E4614E6"/>
    <w:rsid w:val="4E4849AF"/>
    <w:rsid w:val="4E530F8C"/>
    <w:rsid w:val="4E692DB2"/>
    <w:rsid w:val="4E7462D7"/>
    <w:rsid w:val="4E86609F"/>
    <w:rsid w:val="4EA7124F"/>
    <w:rsid w:val="4EFB146B"/>
    <w:rsid w:val="4EFC0B97"/>
    <w:rsid w:val="4F495A4B"/>
    <w:rsid w:val="4F921910"/>
    <w:rsid w:val="4F960564"/>
    <w:rsid w:val="4FA365AE"/>
    <w:rsid w:val="4FA56243"/>
    <w:rsid w:val="4FAD43C9"/>
    <w:rsid w:val="4FAF7A38"/>
    <w:rsid w:val="4FB05B04"/>
    <w:rsid w:val="4FBC5E5D"/>
    <w:rsid w:val="4FC24270"/>
    <w:rsid w:val="4FC25A72"/>
    <w:rsid w:val="4FD97F8A"/>
    <w:rsid w:val="4FDB6E2D"/>
    <w:rsid w:val="4FDC6ABD"/>
    <w:rsid w:val="4FEB08B0"/>
    <w:rsid w:val="4FF711C8"/>
    <w:rsid w:val="501C315F"/>
    <w:rsid w:val="5026782B"/>
    <w:rsid w:val="5032612F"/>
    <w:rsid w:val="506A26C5"/>
    <w:rsid w:val="506F0C27"/>
    <w:rsid w:val="509251CF"/>
    <w:rsid w:val="50AC1F7C"/>
    <w:rsid w:val="50E067AD"/>
    <w:rsid w:val="50EB4BD8"/>
    <w:rsid w:val="50ED2406"/>
    <w:rsid w:val="50F31143"/>
    <w:rsid w:val="51041EDF"/>
    <w:rsid w:val="510B1936"/>
    <w:rsid w:val="51183927"/>
    <w:rsid w:val="511856D5"/>
    <w:rsid w:val="512027DB"/>
    <w:rsid w:val="512B7442"/>
    <w:rsid w:val="514F4BC6"/>
    <w:rsid w:val="515F214A"/>
    <w:rsid w:val="51675353"/>
    <w:rsid w:val="516875FE"/>
    <w:rsid w:val="51762909"/>
    <w:rsid w:val="51787700"/>
    <w:rsid w:val="51890380"/>
    <w:rsid w:val="518B0578"/>
    <w:rsid w:val="51A35386"/>
    <w:rsid w:val="51AC22C1"/>
    <w:rsid w:val="51B573C7"/>
    <w:rsid w:val="51BA5BDE"/>
    <w:rsid w:val="51BB3AEE"/>
    <w:rsid w:val="51BB50CA"/>
    <w:rsid w:val="51D174CE"/>
    <w:rsid w:val="51E90E1F"/>
    <w:rsid w:val="51F53E0A"/>
    <w:rsid w:val="51F60495"/>
    <w:rsid w:val="5203735F"/>
    <w:rsid w:val="520D0FB1"/>
    <w:rsid w:val="520F0CA5"/>
    <w:rsid w:val="523F0AC9"/>
    <w:rsid w:val="524E70A0"/>
    <w:rsid w:val="525938E2"/>
    <w:rsid w:val="52A128C0"/>
    <w:rsid w:val="52A34395"/>
    <w:rsid w:val="52A57BA3"/>
    <w:rsid w:val="52AB4326"/>
    <w:rsid w:val="52AC6F22"/>
    <w:rsid w:val="52B22039"/>
    <w:rsid w:val="52C61160"/>
    <w:rsid w:val="52CD5B3B"/>
    <w:rsid w:val="52DC0041"/>
    <w:rsid w:val="52DE54DD"/>
    <w:rsid w:val="52DE75C9"/>
    <w:rsid w:val="52FA3A2A"/>
    <w:rsid w:val="5305185F"/>
    <w:rsid w:val="530F4D74"/>
    <w:rsid w:val="531972A9"/>
    <w:rsid w:val="53226F6B"/>
    <w:rsid w:val="53310CD0"/>
    <w:rsid w:val="533267F6"/>
    <w:rsid w:val="533E573E"/>
    <w:rsid w:val="534C438D"/>
    <w:rsid w:val="53534049"/>
    <w:rsid w:val="535C124A"/>
    <w:rsid w:val="539D45B7"/>
    <w:rsid w:val="53AB07B8"/>
    <w:rsid w:val="53AE7830"/>
    <w:rsid w:val="53BE6C6A"/>
    <w:rsid w:val="53C2601E"/>
    <w:rsid w:val="53C52A4B"/>
    <w:rsid w:val="53CC27A6"/>
    <w:rsid w:val="53EE4D91"/>
    <w:rsid w:val="53FB1691"/>
    <w:rsid w:val="540701AC"/>
    <w:rsid w:val="540B4280"/>
    <w:rsid w:val="54156268"/>
    <w:rsid w:val="5418059C"/>
    <w:rsid w:val="5435028C"/>
    <w:rsid w:val="544D10B6"/>
    <w:rsid w:val="544F3BE0"/>
    <w:rsid w:val="544F663E"/>
    <w:rsid w:val="54776BB6"/>
    <w:rsid w:val="547846DC"/>
    <w:rsid w:val="54947768"/>
    <w:rsid w:val="549A0AF6"/>
    <w:rsid w:val="549B4E7B"/>
    <w:rsid w:val="54A14694"/>
    <w:rsid w:val="54B51D52"/>
    <w:rsid w:val="54B572AC"/>
    <w:rsid w:val="54B80830"/>
    <w:rsid w:val="54C3004D"/>
    <w:rsid w:val="54CA34D2"/>
    <w:rsid w:val="54D62902"/>
    <w:rsid w:val="54D81206"/>
    <w:rsid w:val="54D852E2"/>
    <w:rsid w:val="54E51212"/>
    <w:rsid w:val="54E81862"/>
    <w:rsid w:val="54EB1B0B"/>
    <w:rsid w:val="54F2623D"/>
    <w:rsid w:val="55217F5A"/>
    <w:rsid w:val="552D6F21"/>
    <w:rsid w:val="55344223"/>
    <w:rsid w:val="55381C3D"/>
    <w:rsid w:val="55562519"/>
    <w:rsid w:val="555B68E0"/>
    <w:rsid w:val="558E301D"/>
    <w:rsid w:val="55A026F2"/>
    <w:rsid w:val="55A1507C"/>
    <w:rsid w:val="55A35789"/>
    <w:rsid w:val="55B6370E"/>
    <w:rsid w:val="55C672DA"/>
    <w:rsid w:val="55CC214F"/>
    <w:rsid w:val="55D80E51"/>
    <w:rsid w:val="55DE1149"/>
    <w:rsid w:val="56004989"/>
    <w:rsid w:val="56130B60"/>
    <w:rsid w:val="56183375"/>
    <w:rsid w:val="56203F03"/>
    <w:rsid w:val="56366070"/>
    <w:rsid w:val="563D33B5"/>
    <w:rsid w:val="564275D8"/>
    <w:rsid w:val="56510FA5"/>
    <w:rsid w:val="565371AF"/>
    <w:rsid w:val="56556957"/>
    <w:rsid w:val="56664A5F"/>
    <w:rsid w:val="56667B7F"/>
    <w:rsid w:val="567D043B"/>
    <w:rsid w:val="56861332"/>
    <w:rsid w:val="568B3B3C"/>
    <w:rsid w:val="56A143BE"/>
    <w:rsid w:val="56A45D9C"/>
    <w:rsid w:val="56C34E99"/>
    <w:rsid w:val="56C7623F"/>
    <w:rsid w:val="56DA12D1"/>
    <w:rsid w:val="56DB2E77"/>
    <w:rsid w:val="56EA6EE3"/>
    <w:rsid w:val="570724FE"/>
    <w:rsid w:val="57162490"/>
    <w:rsid w:val="5718516B"/>
    <w:rsid w:val="57201787"/>
    <w:rsid w:val="573C4609"/>
    <w:rsid w:val="573C5A43"/>
    <w:rsid w:val="57450AF4"/>
    <w:rsid w:val="574C73CE"/>
    <w:rsid w:val="57677FDF"/>
    <w:rsid w:val="577A0ADC"/>
    <w:rsid w:val="579104A4"/>
    <w:rsid w:val="57952FFD"/>
    <w:rsid w:val="57A26CFD"/>
    <w:rsid w:val="57A31556"/>
    <w:rsid w:val="57BA5FE1"/>
    <w:rsid w:val="57C57C38"/>
    <w:rsid w:val="57EE52BF"/>
    <w:rsid w:val="57EE53E1"/>
    <w:rsid w:val="58004F55"/>
    <w:rsid w:val="58137730"/>
    <w:rsid w:val="582C0209"/>
    <w:rsid w:val="58450578"/>
    <w:rsid w:val="58467BC9"/>
    <w:rsid w:val="584C76F0"/>
    <w:rsid w:val="585421DF"/>
    <w:rsid w:val="58550FBC"/>
    <w:rsid w:val="586F5780"/>
    <w:rsid w:val="587005A3"/>
    <w:rsid w:val="58722B28"/>
    <w:rsid w:val="5881560A"/>
    <w:rsid w:val="588A4236"/>
    <w:rsid w:val="588C2135"/>
    <w:rsid w:val="58937264"/>
    <w:rsid w:val="589E40A6"/>
    <w:rsid w:val="58A90161"/>
    <w:rsid w:val="58C1194C"/>
    <w:rsid w:val="58CA3E2F"/>
    <w:rsid w:val="58CE1E1C"/>
    <w:rsid w:val="58D26606"/>
    <w:rsid w:val="58D31A19"/>
    <w:rsid w:val="58DC68C2"/>
    <w:rsid w:val="58EF29F7"/>
    <w:rsid w:val="58F84DB8"/>
    <w:rsid w:val="58FA18E8"/>
    <w:rsid w:val="59047E88"/>
    <w:rsid w:val="5909597B"/>
    <w:rsid w:val="59422E76"/>
    <w:rsid w:val="59545CFA"/>
    <w:rsid w:val="595B4438"/>
    <w:rsid w:val="59660FAE"/>
    <w:rsid w:val="596E15F3"/>
    <w:rsid w:val="5979517E"/>
    <w:rsid w:val="598132AD"/>
    <w:rsid w:val="5984568E"/>
    <w:rsid w:val="59846A39"/>
    <w:rsid w:val="5986281A"/>
    <w:rsid w:val="59875AED"/>
    <w:rsid w:val="59943D66"/>
    <w:rsid w:val="59C02DAD"/>
    <w:rsid w:val="59C06B0F"/>
    <w:rsid w:val="59CD031B"/>
    <w:rsid w:val="59DF2BA5"/>
    <w:rsid w:val="59E07B88"/>
    <w:rsid w:val="59FD0F5C"/>
    <w:rsid w:val="59FF38D6"/>
    <w:rsid w:val="5A0031AA"/>
    <w:rsid w:val="5A1D1FAE"/>
    <w:rsid w:val="5A1D2960"/>
    <w:rsid w:val="5A272CD2"/>
    <w:rsid w:val="5A273174"/>
    <w:rsid w:val="5A3B3165"/>
    <w:rsid w:val="5A4573B8"/>
    <w:rsid w:val="5A4B5223"/>
    <w:rsid w:val="5A4C79BD"/>
    <w:rsid w:val="5A4D0BB5"/>
    <w:rsid w:val="5A586F9B"/>
    <w:rsid w:val="5A606248"/>
    <w:rsid w:val="5A943270"/>
    <w:rsid w:val="5A985AD8"/>
    <w:rsid w:val="5AA33B3E"/>
    <w:rsid w:val="5AAE2C06"/>
    <w:rsid w:val="5AD429F6"/>
    <w:rsid w:val="5AF27435"/>
    <w:rsid w:val="5B0166A4"/>
    <w:rsid w:val="5B2B4936"/>
    <w:rsid w:val="5B2C6CD4"/>
    <w:rsid w:val="5B305D11"/>
    <w:rsid w:val="5B373A6F"/>
    <w:rsid w:val="5B5B4112"/>
    <w:rsid w:val="5B6600F6"/>
    <w:rsid w:val="5B6A3C9F"/>
    <w:rsid w:val="5B7655A5"/>
    <w:rsid w:val="5B83329D"/>
    <w:rsid w:val="5B840B46"/>
    <w:rsid w:val="5B8656B5"/>
    <w:rsid w:val="5B8E213E"/>
    <w:rsid w:val="5B8F0B6E"/>
    <w:rsid w:val="5BB42718"/>
    <w:rsid w:val="5BD063B6"/>
    <w:rsid w:val="5BD16236"/>
    <w:rsid w:val="5BEC60DC"/>
    <w:rsid w:val="5BF02883"/>
    <w:rsid w:val="5C0C3EF4"/>
    <w:rsid w:val="5C1107E2"/>
    <w:rsid w:val="5C133668"/>
    <w:rsid w:val="5C1B305D"/>
    <w:rsid w:val="5C2A51C2"/>
    <w:rsid w:val="5C4F0418"/>
    <w:rsid w:val="5C553C81"/>
    <w:rsid w:val="5C583771"/>
    <w:rsid w:val="5C645C72"/>
    <w:rsid w:val="5C653224"/>
    <w:rsid w:val="5C7A5495"/>
    <w:rsid w:val="5C803F99"/>
    <w:rsid w:val="5C811F3B"/>
    <w:rsid w:val="5C9650CB"/>
    <w:rsid w:val="5C9A4114"/>
    <w:rsid w:val="5CB71B3E"/>
    <w:rsid w:val="5CC65F08"/>
    <w:rsid w:val="5CCF5CCA"/>
    <w:rsid w:val="5D02548B"/>
    <w:rsid w:val="5D1321A4"/>
    <w:rsid w:val="5D1559BC"/>
    <w:rsid w:val="5D195DB1"/>
    <w:rsid w:val="5D1A206A"/>
    <w:rsid w:val="5D2575A6"/>
    <w:rsid w:val="5D281314"/>
    <w:rsid w:val="5D331AE8"/>
    <w:rsid w:val="5D461ACD"/>
    <w:rsid w:val="5D6317AD"/>
    <w:rsid w:val="5DA07569"/>
    <w:rsid w:val="5DA11A7A"/>
    <w:rsid w:val="5DA47EF7"/>
    <w:rsid w:val="5DAD055C"/>
    <w:rsid w:val="5DB6504C"/>
    <w:rsid w:val="5DB83C15"/>
    <w:rsid w:val="5DBB5B32"/>
    <w:rsid w:val="5DC0231D"/>
    <w:rsid w:val="5DD230AF"/>
    <w:rsid w:val="5DE55759"/>
    <w:rsid w:val="5DEE6BF7"/>
    <w:rsid w:val="5DF72B16"/>
    <w:rsid w:val="5E0019CA"/>
    <w:rsid w:val="5E2841CF"/>
    <w:rsid w:val="5E3641C2"/>
    <w:rsid w:val="5E482FBE"/>
    <w:rsid w:val="5E6B7683"/>
    <w:rsid w:val="5E767EDE"/>
    <w:rsid w:val="5E786B80"/>
    <w:rsid w:val="5E8C325E"/>
    <w:rsid w:val="5E935B03"/>
    <w:rsid w:val="5EC934BD"/>
    <w:rsid w:val="5ECE6896"/>
    <w:rsid w:val="5EEA637C"/>
    <w:rsid w:val="5EED4658"/>
    <w:rsid w:val="5F042F68"/>
    <w:rsid w:val="5F146EA6"/>
    <w:rsid w:val="5F263163"/>
    <w:rsid w:val="5F4A2829"/>
    <w:rsid w:val="5F7B2BA2"/>
    <w:rsid w:val="5F816B3B"/>
    <w:rsid w:val="5F876607"/>
    <w:rsid w:val="5F8842D5"/>
    <w:rsid w:val="5F907574"/>
    <w:rsid w:val="5F951DC5"/>
    <w:rsid w:val="5FA42829"/>
    <w:rsid w:val="5FA77E3C"/>
    <w:rsid w:val="5FAC7E54"/>
    <w:rsid w:val="5FAE5456"/>
    <w:rsid w:val="5FB51D0E"/>
    <w:rsid w:val="5FC2513E"/>
    <w:rsid w:val="5FC93C50"/>
    <w:rsid w:val="5FD534B7"/>
    <w:rsid w:val="5FE81E2C"/>
    <w:rsid w:val="5FF6265A"/>
    <w:rsid w:val="5FFE018B"/>
    <w:rsid w:val="600353B4"/>
    <w:rsid w:val="60053887"/>
    <w:rsid w:val="60086637"/>
    <w:rsid w:val="601D6507"/>
    <w:rsid w:val="60274ACB"/>
    <w:rsid w:val="60313BB9"/>
    <w:rsid w:val="603C144B"/>
    <w:rsid w:val="604B0C72"/>
    <w:rsid w:val="605129B1"/>
    <w:rsid w:val="606A5821"/>
    <w:rsid w:val="60A41C39"/>
    <w:rsid w:val="60A47E7D"/>
    <w:rsid w:val="60B765C1"/>
    <w:rsid w:val="60BC2ABB"/>
    <w:rsid w:val="60C3234B"/>
    <w:rsid w:val="60D26D4F"/>
    <w:rsid w:val="60D50B38"/>
    <w:rsid w:val="60E31BC0"/>
    <w:rsid w:val="60E67F48"/>
    <w:rsid w:val="60F8256D"/>
    <w:rsid w:val="60FC747F"/>
    <w:rsid w:val="60FF4B65"/>
    <w:rsid w:val="61073070"/>
    <w:rsid w:val="611212DD"/>
    <w:rsid w:val="61206329"/>
    <w:rsid w:val="6122434D"/>
    <w:rsid w:val="612A7AFC"/>
    <w:rsid w:val="613B3C95"/>
    <w:rsid w:val="618F1090"/>
    <w:rsid w:val="619327F8"/>
    <w:rsid w:val="619565A7"/>
    <w:rsid w:val="619A0388"/>
    <w:rsid w:val="619F3BDB"/>
    <w:rsid w:val="61DC274E"/>
    <w:rsid w:val="61F37874"/>
    <w:rsid w:val="62325E0F"/>
    <w:rsid w:val="6247406C"/>
    <w:rsid w:val="625A4A3D"/>
    <w:rsid w:val="625D4A21"/>
    <w:rsid w:val="6261326D"/>
    <w:rsid w:val="628D5321"/>
    <w:rsid w:val="62A019CE"/>
    <w:rsid w:val="62A80882"/>
    <w:rsid w:val="62C060C3"/>
    <w:rsid w:val="62E61007"/>
    <w:rsid w:val="62EA0E9B"/>
    <w:rsid w:val="62FA7330"/>
    <w:rsid w:val="62FC3808"/>
    <w:rsid w:val="630808C9"/>
    <w:rsid w:val="63097391"/>
    <w:rsid w:val="632A4E57"/>
    <w:rsid w:val="6332195C"/>
    <w:rsid w:val="63335261"/>
    <w:rsid w:val="633B34A5"/>
    <w:rsid w:val="633C758A"/>
    <w:rsid w:val="633D0BD9"/>
    <w:rsid w:val="6356213B"/>
    <w:rsid w:val="638210D3"/>
    <w:rsid w:val="63847E20"/>
    <w:rsid w:val="638C531B"/>
    <w:rsid w:val="63945B54"/>
    <w:rsid w:val="639D625B"/>
    <w:rsid w:val="63A00DA1"/>
    <w:rsid w:val="63B72C60"/>
    <w:rsid w:val="63B85396"/>
    <w:rsid w:val="63CD3CE0"/>
    <w:rsid w:val="63D32A2A"/>
    <w:rsid w:val="63F17048"/>
    <w:rsid w:val="6401024A"/>
    <w:rsid w:val="640721AA"/>
    <w:rsid w:val="641054D3"/>
    <w:rsid w:val="644F48CA"/>
    <w:rsid w:val="64517FD4"/>
    <w:rsid w:val="64560844"/>
    <w:rsid w:val="64577EC7"/>
    <w:rsid w:val="64834550"/>
    <w:rsid w:val="6491007C"/>
    <w:rsid w:val="64BC678F"/>
    <w:rsid w:val="64C3345B"/>
    <w:rsid w:val="64D269A3"/>
    <w:rsid w:val="64D97995"/>
    <w:rsid w:val="64EF1347"/>
    <w:rsid w:val="64FB113D"/>
    <w:rsid w:val="650154E8"/>
    <w:rsid w:val="65067F5E"/>
    <w:rsid w:val="650A5F21"/>
    <w:rsid w:val="650D299E"/>
    <w:rsid w:val="651E4E2C"/>
    <w:rsid w:val="652C7549"/>
    <w:rsid w:val="652E506F"/>
    <w:rsid w:val="653528A1"/>
    <w:rsid w:val="653E7D05"/>
    <w:rsid w:val="65580EF3"/>
    <w:rsid w:val="656E190F"/>
    <w:rsid w:val="6596631F"/>
    <w:rsid w:val="65A76BCF"/>
    <w:rsid w:val="65C6174B"/>
    <w:rsid w:val="65CB447C"/>
    <w:rsid w:val="65D920A6"/>
    <w:rsid w:val="65DA33AA"/>
    <w:rsid w:val="65F71905"/>
    <w:rsid w:val="65F74FD5"/>
    <w:rsid w:val="65FC2233"/>
    <w:rsid w:val="66182743"/>
    <w:rsid w:val="66285F62"/>
    <w:rsid w:val="6630667E"/>
    <w:rsid w:val="664155AC"/>
    <w:rsid w:val="66420FC4"/>
    <w:rsid w:val="66466CF7"/>
    <w:rsid w:val="66612F0E"/>
    <w:rsid w:val="66631110"/>
    <w:rsid w:val="66680A54"/>
    <w:rsid w:val="6672057A"/>
    <w:rsid w:val="66761668"/>
    <w:rsid w:val="66912B48"/>
    <w:rsid w:val="669435F8"/>
    <w:rsid w:val="66A15FFE"/>
    <w:rsid w:val="66A3056E"/>
    <w:rsid w:val="66A93914"/>
    <w:rsid w:val="66D30ED0"/>
    <w:rsid w:val="66D4567E"/>
    <w:rsid w:val="66D47E98"/>
    <w:rsid w:val="66D75240"/>
    <w:rsid w:val="66E520A5"/>
    <w:rsid w:val="66FE5250"/>
    <w:rsid w:val="67112119"/>
    <w:rsid w:val="672E3C89"/>
    <w:rsid w:val="673F3F0D"/>
    <w:rsid w:val="676621AD"/>
    <w:rsid w:val="677D1666"/>
    <w:rsid w:val="679565B3"/>
    <w:rsid w:val="67B64699"/>
    <w:rsid w:val="67BD0A95"/>
    <w:rsid w:val="67C07E43"/>
    <w:rsid w:val="67D35004"/>
    <w:rsid w:val="67E312F3"/>
    <w:rsid w:val="67F10171"/>
    <w:rsid w:val="67F457BC"/>
    <w:rsid w:val="67F75096"/>
    <w:rsid w:val="683651F8"/>
    <w:rsid w:val="683D295A"/>
    <w:rsid w:val="685A013B"/>
    <w:rsid w:val="685E589B"/>
    <w:rsid w:val="68650185"/>
    <w:rsid w:val="686E4FAF"/>
    <w:rsid w:val="68720E83"/>
    <w:rsid w:val="688760CA"/>
    <w:rsid w:val="688B4586"/>
    <w:rsid w:val="688D47A2"/>
    <w:rsid w:val="68934FF2"/>
    <w:rsid w:val="68AE4071"/>
    <w:rsid w:val="68BD6809"/>
    <w:rsid w:val="68BF33D3"/>
    <w:rsid w:val="68C26F73"/>
    <w:rsid w:val="68E97CB4"/>
    <w:rsid w:val="69077505"/>
    <w:rsid w:val="6922177D"/>
    <w:rsid w:val="69310870"/>
    <w:rsid w:val="69594A76"/>
    <w:rsid w:val="695B03FD"/>
    <w:rsid w:val="699F2198"/>
    <w:rsid w:val="69A47FF6"/>
    <w:rsid w:val="69AA12E1"/>
    <w:rsid w:val="69C11C9B"/>
    <w:rsid w:val="69C75A92"/>
    <w:rsid w:val="69D53BAF"/>
    <w:rsid w:val="69DF0989"/>
    <w:rsid w:val="69E44896"/>
    <w:rsid w:val="69FA5D73"/>
    <w:rsid w:val="69FC5FED"/>
    <w:rsid w:val="6A0C1A8F"/>
    <w:rsid w:val="6A0E0C37"/>
    <w:rsid w:val="6A0E546F"/>
    <w:rsid w:val="6A194EEC"/>
    <w:rsid w:val="6A1C346A"/>
    <w:rsid w:val="6A4F42DF"/>
    <w:rsid w:val="6A585D17"/>
    <w:rsid w:val="6A5A34FB"/>
    <w:rsid w:val="6A5B7A7C"/>
    <w:rsid w:val="6A5E700C"/>
    <w:rsid w:val="6A6B4CF6"/>
    <w:rsid w:val="6A8917B4"/>
    <w:rsid w:val="6A8B4438"/>
    <w:rsid w:val="6AA1131A"/>
    <w:rsid w:val="6AB15A99"/>
    <w:rsid w:val="6AD42215"/>
    <w:rsid w:val="6AE76BE9"/>
    <w:rsid w:val="6AEF4186"/>
    <w:rsid w:val="6B122EDA"/>
    <w:rsid w:val="6B1732C2"/>
    <w:rsid w:val="6B1E57C7"/>
    <w:rsid w:val="6B2A606B"/>
    <w:rsid w:val="6B321667"/>
    <w:rsid w:val="6B324B07"/>
    <w:rsid w:val="6B335C5E"/>
    <w:rsid w:val="6B346E29"/>
    <w:rsid w:val="6B454EC0"/>
    <w:rsid w:val="6B477836"/>
    <w:rsid w:val="6B557B0C"/>
    <w:rsid w:val="6B7C67C0"/>
    <w:rsid w:val="6B800DA2"/>
    <w:rsid w:val="6B821F33"/>
    <w:rsid w:val="6B8626C8"/>
    <w:rsid w:val="6B8E4AB9"/>
    <w:rsid w:val="6B9E2823"/>
    <w:rsid w:val="6BAE0FAB"/>
    <w:rsid w:val="6BC2335D"/>
    <w:rsid w:val="6BD10152"/>
    <w:rsid w:val="6BE40700"/>
    <w:rsid w:val="6BE83CEB"/>
    <w:rsid w:val="6C094CBD"/>
    <w:rsid w:val="6C117FC5"/>
    <w:rsid w:val="6C150D37"/>
    <w:rsid w:val="6C4038DA"/>
    <w:rsid w:val="6C4760EF"/>
    <w:rsid w:val="6C557CB1"/>
    <w:rsid w:val="6C765091"/>
    <w:rsid w:val="6C7F4402"/>
    <w:rsid w:val="6C8D490B"/>
    <w:rsid w:val="6CAB5063"/>
    <w:rsid w:val="6CC82AD4"/>
    <w:rsid w:val="6CCB1BC0"/>
    <w:rsid w:val="6CCB7D8E"/>
    <w:rsid w:val="6CD14384"/>
    <w:rsid w:val="6CD52274"/>
    <w:rsid w:val="6CE0725D"/>
    <w:rsid w:val="6CFB58F1"/>
    <w:rsid w:val="6D011D2A"/>
    <w:rsid w:val="6D1014FE"/>
    <w:rsid w:val="6D1D2FF7"/>
    <w:rsid w:val="6D315AA2"/>
    <w:rsid w:val="6D323B6A"/>
    <w:rsid w:val="6D4A4A10"/>
    <w:rsid w:val="6D594C53"/>
    <w:rsid w:val="6D6114A4"/>
    <w:rsid w:val="6D6D2F59"/>
    <w:rsid w:val="6D7623C3"/>
    <w:rsid w:val="6D796BBB"/>
    <w:rsid w:val="6D7F2F51"/>
    <w:rsid w:val="6D955B42"/>
    <w:rsid w:val="6D971EC1"/>
    <w:rsid w:val="6DB87489"/>
    <w:rsid w:val="6DCC37B0"/>
    <w:rsid w:val="6DDC2DC1"/>
    <w:rsid w:val="6DFF1C9E"/>
    <w:rsid w:val="6E02132C"/>
    <w:rsid w:val="6E0357FF"/>
    <w:rsid w:val="6E133838"/>
    <w:rsid w:val="6E2C18C3"/>
    <w:rsid w:val="6E407BC1"/>
    <w:rsid w:val="6E463587"/>
    <w:rsid w:val="6E5D3785"/>
    <w:rsid w:val="6E6A47B2"/>
    <w:rsid w:val="6E9F0D8B"/>
    <w:rsid w:val="6EA41CA9"/>
    <w:rsid w:val="6EA463A2"/>
    <w:rsid w:val="6EB615C6"/>
    <w:rsid w:val="6EBE3991"/>
    <w:rsid w:val="6EC46A44"/>
    <w:rsid w:val="6ECB7D31"/>
    <w:rsid w:val="6ECE4D48"/>
    <w:rsid w:val="6ED421B0"/>
    <w:rsid w:val="6EDC005D"/>
    <w:rsid w:val="6EE15EC1"/>
    <w:rsid w:val="6F0402C7"/>
    <w:rsid w:val="6F2822D8"/>
    <w:rsid w:val="6F2B0871"/>
    <w:rsid w:val="6F410779"/>
    <w:rsid w:val="6F481423"/>
    <w:rsid w:val="6F4A6F49"/>
    <w:rsid w:val="6F4D0566"/>
    <w:rsid w:val="6F751AEC"/>
    <w:rsid w:val="6F8C656E"/>
    <w:rsid w:val="6F8D32DA"/>
    <w:rsid w:val="6F9205FC"/>
    <w:rsid w:val="6F977CB5"/>
    <w:rsid w:val="6F9E7295"/>
    <w:rsid w:val="6FA56AFC"/>
    <w:rsid w:val="6FBF5FAF"/>
    <w:rsid w:val="6FC37662"/>
    <w:rsid w:val="6FD33A24"/>
    <w:rsid w:val="6FDE1E67"/>
    <w:rsid w:val="6FE078AE"/>
    <w:rsid w:val="6FE90F3A"/>
    <w:rsid w:val="700C2451"/>
    <w:rsid w:val="700C3276"/>
    <w:rsid w:val="70115FC5"/>
    <w:rsid w:val="7019548F"/>
    <w:rsid w:val="701F7FAA"/>
    <w:rsid w:val="702E23C7"/>
    <w:rsid w:val="703A32A1"/>
    <w:rsid w:val="705823C9"/>
    <w:rsid w:val="70612611"/>
    <w:rsid w:val="70694667"/>
    <w:rsid w:val="707443AD"/>
    <w:rsid w:val="708D69DB"/>
    <w:rsid w:val="70903DA6"/>
    <w:rsid w:val="709F3565"/>
    <w:rsid w:val="70B623BC"/>
    <w:rsid w:val="70CB774F"/>
    <w:rsid w:val="70CE50A2"/>
    <w:rsid w:val="70DD5F42"/>
    <w:rsid w:val="70ED5640"/>
    <w:rsid w:val="70EE057B"/>
    <w:rsid w:val="71033854"/>
    <w:rsid w:val="71280E21"/>
    <w:rsid w:val="712B19D2"/>
    <w:rsid w:val="71705FC9"/>
    <w:rsid w:val="7177728C"/>
    <w:rsid w:val="717E204B"/>
    <w:rsid w:val="71871F2A"/>
    <w:rsid w:val="718A7AD1"/>
    <w:rsid w:val="71915F81"/>
    <w:rsid w:val="719D233C"/>
    <w:rsid w:val="71B51198"/>
    <w:rsid w:val="71BC0507"/>
    <w:rsid w:val="71BD66AD"/>
    <w:rsid w:val="71BF04AE"/>
    <w:rsid w:val="71C21A29"/>
    <w:rsid w:val="71C32FE3"/>
    <w:rsid w:val="71E17E8B"/>
    <w:rsid w:val="721B5CFE"/>
    <w:rsid w:val="72284AA3"/>
    <w:rsid w:val="722D1047"/>
    <w:rsid w:val="72411564"/>
    <w:rsid w:val="725B4077"/>
    <w:rsid w:val="72620A4E"/>
    <w:rsid w:val="726919BE"/>
    <w:rsid w:val="727B64ED"/>
    <w:rsid w:val="7281114C"/>
    <w:rsid w:val="72A01036"/>
    <w:rsid w:val="72AC2D0A"/>
    <w:rsid w:val="72B25167"/>
    <w:rsid w:val="72B31C71"/>
    <w:rsid w:val="72C70B1F"/>
    <w:rsid w:val="72E04B6D"/>
    <w:rsid w:val="72EA5047"/>
    <w:rsid w:val="72F71196"/>
    <w:rsid w:val="72F946A2"/>
    <w:rsid w:val="730B69EF"/>
    <w:rsid w:val="732E5EC8"/>
    <w:rsid w:val="73532145"/>
    <w:rsid w:val="735D39AD"/>
    <w:rsid w:val="73836ECE"/>
    <w:rsid w:val="73A5485B"/>
    <w:rsid w:val="73BA6252"/>
    <w:rsid w:val="73DF58B0"/>
    <w:rsid w:val="73E62FB9"/>
    <w:rsid w:val="7410502F"/>
    <w:rsid w:val="74167A28"/>
    <w:rsid w:val="744318F3"/>
    <w:rsid w:val="745443C6"/>
    <w:rsid w:val="746540A9"/>
    <w:rsid w:val="7467234B"/>
    <w:rsid w:val="74777690"/>
    <w:rsid w:val="74791AE3"/>
    <w:rsid w:val="74847BFC"/>
    <w:rsid w:val="748A4D34"/>
    <w:rsid w:val="749F1AE5"/>
    <w:rsid w:val="74B24854"/>
    <w:rsid w:val="74B82BA7"/>
    <w:rsid w:val="74D061EE"/>
    <w:rsid w:val="75215851"/>
    <w:rsid w:val="752E73C1"/>
    <w:rsid w:val="75596FA4"/>
    <w:rsid w:val="755A2B0B"/>
    <w:rsid w:val="756248C1"/>
    <w:rsid w:val="7578330B"/>
    <w:rsid w:val="7588239E"/>
    <w:rsid w:val="7592164A"/>
    <w:rsid w:val="75A4312B"/>
    <w:rsid w:val="75AE116D"/>
    <w:rsid w:val="75CC2E8E"/>
    <w:rsid w:val="75D86818"/>
    <w:rsid w:val="75F5530D"/>
    <w:rsid w:val="75FC6AC3"/>
    <w:rsid w:val="760A3992"/>
    <w:rsid w:val="760E0F8F"/>
    <w:rsid w:val="761B2CC9"/>
    <w:rsid w:val="763C3EBD"/>
    <w:rsid w:val="76487F5B"/>
    <w:rsid w:val="76751678"/>
    <w:rsid w:val="7682000D"/>
    <w:rsid w:val="768371E5"/>
    <w:rsid w:val="768A0573"/>
    <w:rsid w:val="768E1E11"/>
    <w:rsid w:val="76966F18"/>
    <w:rsid w:val="76967AE8"/>
    <w:rsid w:val="76A314B3"/>
    <w:rsid w:val="76A95276"/>
    <w:rsid w:val="76AF73D6"/>
    <w:rsid w:val="76B92C06"/>
    <w:rsid w:val="76C5528B"/>
    <w:rsid w:val="76CE3382"/>
    <w:rsid w:val="76D0242A"/>
    <w:rsid w:val="76D23D36"/>
    <w:rsid w:val="76D92C10"/>
    <w:rsid w:val="76F115AC"/>
    <w:rsid w:val="771A18F7"/>
    <w:rsid w:val="771C29C5"/>
    <w:rsid w:val="772D4CF2"/>
    <w:rsid w:val="773B297F"/>
    <w:rsid w:val="773C1FA3"/>
    <w:rsid w:val="77402035"/>
    <w:rsid w:val="777D59E2"/>
    <w:rsid w:val="778B7448"/>
    <w:rsid w:val="77935DDC"/>
    <w:rsid w:val="77955421"/>
    <w:rsid w:val="77A25449"/>
    <w:rsid w:val="77AB2D2C"/>
    <w:rsid w:val="77C5549E"/>
    <w:rsid w:val="77C807C9"/>
    <w:rsid w:val="77E46920"/>
    <w:rsid w:val="77EE4808"/>
    <w:rsid w:val="780470F7"/>
    <w:rsid w:val="781F21F0"/>
    <w:rsid w:val="781F63F3"/>
    <w:rsid w:val="783C3AEF"/>
    <w:rsid w:val="783D331D"/>
    <w:rsid w:val="783F4AA7"/>
    <w:rsid w:val="78450B57"/>
    <w:rsid w:val="78504E72"/>
    <w:rsid w:val="78680A80"/>
    <w:rsid w:val="7878641F"/>
    <w:rsid w:val="788543C8"/>
    <w:rsid w:val="788C16AC"/>
    <w:rsid w:val="789933B2"/>
    <w:rsid w:val="789C633C"/>
    <w:rsid w:val="78A94580"/>
    <w:rsid w:val="78A952CC"/>
    <w:rsid w:val="78B93FE1"/>
    <w:rsid w:val="78C14FDE"/>
    <w:rsid w:val="78C74565"/>
    <w:rsid w:val="78D855C6"/>
    <w:rsid w:val="78F732D8"/>
    <w:rsid w:val="79084EF8"/>
    <w:rsid w:val="791C532F"/>
    <w:rsid w:val="792F75C7"/>
    <w:rsid w:val="79343296"/>
    <w:rsid w:val="794730BC"/>
    <w:rsid w:val="79A407BE"/>
    <w:rsid w:val="79A64B3B"/>
    <w:rsid w:val="79AD0229"/>
    <w:rsid w:val="79BB7454"/>
    <w:rsid w:val="79BF5AFA"/>
    <w:rsid w:val="79FB12E1"/>
    <w:rsid w:val="79FC1788"/>
    <w:rsid w:val="7A0D233D"/>
    <w:rsid w:val="7A1F0FD2"/>
    <w:rsid w:val="7A2A1D0E"/>
    <w:rsid w:val="7A360E4B"/>
    <w:rsid w:val="7A40185E"/>
    <w:rsid w:val="7A43150D"/>
    <w:rsid w:val="7A44089B"/>
    <w:rsid w:val="7A657132"/>
    <w:rsid w:val="7A680BCB"/>
    <w:rsid w:val="7A6A72D0"/>
    <w:rsid w:val="7A6C06BC"/>
    <w:rsid w:val="7A794B87"/>
    <w:rsid w:val="7A835199"/>
    <w:rsid w:val="7A8E53C2"/>
    <w:rsid w:val="7AAC0AB8"/>
    <w:rsid w:val="7ABB0CFB"/>
    <w:rsid w:val="7AC14D8B"/>
    <w:rsid w:val="7AC5601E"/>
    <w:rsid w:val="7AC87D3E"/>
    <w:rsid w:val="7ACC6FED"/>
    <w:rsid w:val="7AED3794"/>
    <w:rsid w:val="7AF020FF"/>
    <w:rsid w:val="7B0051FB"/>
    <w:rsid w:val="7B01187B"/>
    <w:rsid w:val="7B06659B"/>
    <w:rsid w:val="7B1067A2"/>
    <w:rsid w:val="7B166879"/>
    <w:rsid w:val="7B230514"/>
    <w:rsid w:val="7B4A207F"/>
    <w:rsid w:val="7B503E6D"/>
    <w:rsid w:val="7B50777D"/>
    <w:rsid w:val="7B5359ED"/>
    <w:rsid w:val="7B56095E"/>
    <w:rsid w:val="7B6F1AE6"/>
    <w:rsid w:val="7B776E32"/>
    <w:rsid w:val="7B783F48"/>
    <w:rsid w:val="7B86073E"/>
    <w:rsid w:val="7B95154C"/>
    <w:rsid w:val="7BAF7ACC"/>
    <w:rsid w:val="7BB47BC1"/>
    <w:rsid w:val="7BBF5066"/>
    <w:rsid w:val="7BC0508A"/>
    <w:rsid w:val="7BC83FB8"/>
    <w:rsid w:val="7BCF6EA0"/>
    <w:rsid w:val="7BE355C9"/>
    <w:rsid w:val="7C0940AC"/>
    <w:rsid w:val="7C2E19A1"/>
    <w:rsid w:val="7C457EE7"/>
    <w:rsid w:val="7C556F2D"/>
    <w:rsid w:val="7C5C50D2"/>
    <w:rsid w:val="7C663C97"/>
    <w:rsid w:val="7C7074C9"/>
    <w:rsid w:val="7C741AA9"/>
    <w:rsid w:val="7C996BBF"/>
    <w:rsid w:val="7CB1480D"/>
    <w:rsid w:val="7CB749C7"/>
    <w:rsid w:val="7CC44D40"/>
    <w:rsid w:val="7CD1631F"/>
    <w:rsid w:val="7CD42548"/>
    <w:rsid w:val="7CE8782E"/>
    <w:rsid w:val="7CEC7892"/>
    <w:rsid w:val="7D2417D7"/>
    <w:rsid w:val="7D3E7167"/>
    <w:rsid w:val="7D472D1A"/>
    <w:rsid w:val="7D496ECB"/>
    <w:rsid w:val="7D4A6037"/>
    <w:rsid w:val="7D597C73"/>
    <w:rsid w:val="7D6E474B"/>
    <w:rsid w:val="7D7431D7"/>
    <w:rsid w:val="7D7D436F"/>
    <w:rsid w:val="7D8E5264"/>
    <w:rsid w:val="7D946F07"/>
    <w:rsid w:val="7D957801"/>
    <w:rsid w:val="7DB06B11"/>
    <w:rsid w:val="7DC1163E"/>
    <w:rsid w:val="7DCB0BE8"/>
    <w:rsid w:val="7DE40569"/>
    <w:rsid w:val="7DEE7639"/>
    <w:rsid w:val="7E235535"/>
    <w:rsid w:val="7E3D2214"/>
    <w:rsid w:val="7E560C13"/>
    <w:rsid w:val="7E58341D"/>
    <w:rsid w:val="7E5E2F93"/>
    <w:rsid w:val="7E697E19"/>
    <w:rsid w:val="7E6F0726"/>
    <w:rsid w:val="7E77378E"/>
    <w:rsid w:val="7E7A5E41"/>
    <w:rsid w:val="7EA36BEE"/>
    <w:rsid w:val="7EAD3D81"/>
    <w:rsid w:val="7EBB7892"/>
    <w:rsid w:val="7EC0021F"/>
    <w:rsid w:val="7EE2275E"/>
    <w:rsid w:val="7EED1715"/>
    <w:rsid w:val="7EF67E43"/>
    <w:rsid w:val="7EFB192A"/>
    <w:rsid w:val="7F094D96"/>
    <w:rsid w:val="7F0B7EAF"/>
    <w:rsid w:val="7F160BF6"/>
    <w:rsid w:val="7F201FE1"/>
    <w:rsid w:val="7F3258D9"/>
    <w:rsid w:val="7F4A6959"/>
    <w:rsid w:val="7F4F0CD6"/>
    <w:rsid w:val="7F587349"/>
    <w:rsid w:val="7F623382"/>
    <w:rsid w:val="7F6B7448"/>
    <w:rsid w:val="7F703235"/>
    <w:rsid w:val="7F713FBB"/>
    <w:rsid w:val="7F7517F3"/>
    <w:rsid w:val="7F905D17"/>
    <w:rsid w:val="7FB256D4"/>
    <w:rsid w:val="7FBF103A"/>
    <w:rsid w:val="7FDA60D1"/>
    <w:rsid w:val="7FDB7F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99"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uiPriority w:val="0"/>
    <w:pPr>
      <w:keepNext/>
      <w:keepLines/>
      <w:spacing w:before="260" w:after="260" w:line="416" w:lineRule="auto"/>
      <w:outlineLvl w:val="1"/>
    </w:pPr>
    <w:rPr>
      <w:rFonts w:ascii="Cambria" w:hAnsi="Cambria"/>
      <w:b/>
      <w:bCs/>
      <w:sz w:val="32"/>
      <w:szCs w:val="32"/>
    </w:rPr>
  </w:style>
  <w:style w:type="paragraph" w:styleId="5">
    <w:name w:val="heading 3"/>
    <w:basedOn w:val="1"/>
    <w:next w:val="1"/>
    <w:semiHidden/>
    <w:unhideWhenUsed/>
    <w:qFormat/>
    <w:uiPriority w:val="0"/>
    <w:pPr>
      <w:keepNext/>
      <w:keepLines/>
      <w:spacing w:before="260" w:after="260" w:line="416" w:lineRule="auto"/>
      <w:outlineLvl w:val="2"/>
    </w:pPr>
    <w:rPr>
      <w:b/>
      <w:bCs/>
      <w:kern w:val="0"/>
      <w:sz w:val="32"/>
      <w:szCs w:val="32"/>
    </w:rPr>
  </w:style>
  <w:style w:type="paragraph" w:styleId="6">
    <w:name w:val="heading 4"/>
    <w:basedOn w:val="1"/>
    <w:next w:val="7"/>
    <w:semiHidden/>
    <w:unhideWhenUsed/>
    <w:qFormat/>
    <w:uiPriority w:val="0"/>
    <w:pPr>
      <w:keepNext/>
      <w:keepLines/>
      <w:spacing w:before="280" w:after="290" w:line="376" w:lineRule="auto"/>
      <w:outlineLvl w:val="3"/>
    </w:pPr>
    <w:rPr>
      <w:rFonts w:ascii="Cambria" w:hAnsi="Cambria"/>
      <w:b/>
      <w:bCs/>
      <w:sz w:val="28"/>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3">
    <w:name w:val="macro"/>
    <w:basedOn w:val="1"/>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sz w:val="24"/>
      <w:lang w:val="en-US" w:eastAsia="zh-CN" w:bidi="ar-SA"/>
    </w:rPr>
  </w:style>
  <w:style w:type="paragraph" w:styleId="7">
    <w:name w:val="Normal Indent"/>
    <w:basedOn w:val="1"/>
    <w:next w:val="8"/>
    <w:qFormat/>
    <w:uiPriority w:val="0"/>
    <w:pPr>
      <w:numPr>
        <w:ilvl w:val="0"/>
        <w:numId w:val="1"/>
      </w:numPr>
      <w:adjustRightInd w:val="0"/>
      <w:spacing w:line="460" w:lineRule="exact"/>
      <w:ind w:left="645" w:hanging="425" w:firstLineChars="0"/>
    </w:pPr>
    <w:rPr>
      <w:b/>
      <w:kern w:val="0"/>
      <w:sz w:val="24"/>
    </w:rPr>
  </w:style>
  <w:style w:type="paragraph" w:customStyle="1" w:styleId="8">
    <w:name w:val="正文首行缩进2个字 Char"/>
    <w:basedOn w:val="1"/>
    <w:qFormat/>
    <w:uiPriority w:val="0"/>
    <w:pPr>
      <w:ind w:firstLine="480" w:firstLineChars="200"/>
    </w:pPr>
    <w:rPr>
      <w:rFonts w:eastAsia="楷体"/>
      <w:sz w:val="24"/>
      <w:szCs w:val="24"/>
    </w:rPr>
  </w:style>
  <w:style w:type="paragraph" w:styleId="9">
    <w:name w:val="List 3"/>
    <w:basedOn w:val="1"/>
    <w:next w:val="1"/>
    <w:qFormat/>
    <w:uiPriority w:val="0"/>
    <w:pPr>
      <w:adjustRightInd w:val="0"/>
      <w:spacing w:line="312" w:lineRule="atLeast"/>
      <w:ind w:left="100" w:leftChars="400" w:hanging="200" w:hangingChars="200"/>
      <w:textAlignment w:val="baseline"/>
    </w:pPr>
    <w:rPr>
      <w:kern w:val="0"/>
      <w:sz w:val="21"/>
    </w:rPr>
  </w:style>
  <w:style w:type="paragraph" w:styleId="10">
    <w:name w:val="Note Heading"/>
    <w:basedOn w:val="1"/>
    <w:next w:val="1"/>
    <w:qFormat/>
    <w:uiPriority w:val="0"/>
    <w:pPr>
      <w:jc w:val="center"/>
    </w:pPr>
    <w:rPr>
      <w:szCs w:val="20"/>
    </w:rPr>
  </w:style>
  <w:style w:type="paragraph" w:styleId="11">
    <w:name w:val="toa heading"/>
    <w:basedOn w:val="1"/>
    <w:next w:val="1"/>
    <w:qFormat/>
    <w:uiPriority w:val="0"/>
    <w:pPr>
      <w:spacing w:before="120" w:after="120" w:line="360" w:lineRule="auto"/>
      <w:ind w:firstLine="200" w:firstLineChars="200"/>
      <w:jc w:val="left"/>
    </w:pPr>
    <w:rPr>
      <w:sz w:val="24"/>
      <w:u w:val="single"/>
    </w:rPr>
  </w:style>
  <w:style w:type="paragraph" w:styleId="12">
    <w:name w:val="annotation text"/>
    <w:basedOn w:val="1"/>
    <w:link w:val="65"/>
    <w:qFormat/>
    <w:uiPriority w:val="0"/>
    <w:pPr>
      <w:jc w:val="left"/>
    </w:pPr>
    <w:rPr>
      <w:kern w:val="0"/>
      <w:sz w:val="24"/>
      <w:szCs w:val="20"/>
    </w:rPr>
  </w:style>
  <w:style w:type="paragraph" w:styleId="13">
    <w:name w:val="Body Text"/>
    <w:basedOn w:val="1"/>
    <w:next w:val="1"/>
    <w:qFormat/>
    <w:uiPriority w:val="0"/>
    <w:pPr>
      <w:widowControl/>
      <w:snapToGrid w:val="0"/>
      <w:spacing w:before="60" w:after="160" w:line="259" w:lineRule="auto"/>
      <w:ind w:right="113"/>
    </w:pPr>
    <w:rPr>
      <w:kern w:val="0"/>
      <w:sz w:val="18"/>
      <w:szCs w:val="20"/>
    </w:rPr>
  </w:style>
  <w:style w:type="paragraph" w:styleId="14">
    <w:name w:val="Body Text Indent"/>
    <w:basedOn w:val="1"/>
    <w:next w:val="13"/>
    <w:qFormat/>
    <w:uiPriority w:val="0"/>
    <w:pPr>
      <w:spacing w:after="120"/>
      <w:ind w:left="420" w:leftChars="200"/>
    </w:pPr>
    <w:rPr>
      <w:kern w:val="0"/>
      <w:sz w:val="24"/>
      <w:szCs w:val="20"/>
    </w:rPr>
  </w:style>
  <w:style w:type="paragraph" w:styleId="15">
    <w:name w:val="Block Text"/>
    <w:basedOn w:val="1"/>
    <w:next w:val="1"/>
    <w:qFormat/>
    <w:uiPriority w:val="0"/>
    <w:pPr>
      <w:ind w:left="1440" w:leftChars="700" w:right="1440" w:rightChars="700"/>
    </w:pPr>
  </w:style>
  <w:style w:type="paragraph" w:styleId="16">
    <w:name w:val="Plain Text"/>
    <w:basedOn w:val="1"/>
    <w:qFormat/>
    <w:uiPriority w:val="0"/>
    <w:pPr>
      <w:jc w:val="center"/>
      <w:textAlignment w:val="baseline"/>
    </w:pPr>
    <w:rPr>
      <w:rFonts w:ascii="宋体" w:hAnsi="Courier New"/>
      <w:sz w:val="24"/>
    </w:rPr>
  </w:style>
  <w:style w:type="paragraph" w:styleId="17">
    <w:name w:val="List Bullet 5"/>
    <w:basedOn w:val="1"/>
    <w:qFormat/>
    <w:uiPriority w:val="0"/>
    <w:pPr>
      <w:numPr>
        <w:ilvl w:val="0"/>
        <w:numId w:val="2"/>
      </w:numPr>
    </w:pPr>
  </w:style>
  <w:style w:type="paragraph" w:styleId="18">
    <w:name w:val="Body Text Indent 2"/>
    <w:basedOn w:val="1"/>
    <w:qFormat/>
    <w:uiPriority w:val="0"/>
    <w:pPr>
      <w:spacing w:after="120" w:line="480" w:lineRule="auto"/>
      <w:ind w:left="420" w:leftChars="200"/>
    </w:pPr>
  </w:style>
  <w:style w:type="paragraph" w:styleId="19">
    <w:name w:val="Balloon Text"/>
    <w:basedOn w:val="1"/>
    <w:link w:val="67"/>
    <w:qFormat/>
    <w:uiPriority w:val="0"/>
    <w:rPr>
      <w:sz w:val="18"/>
      <w:szCs w:val="18"/>
    </w:rPr>
  </w:style>
  <w:style w:type="paragraph" w:styleId="20">
    <w:name w:val="footer"/>
    <w:basedOn w:val="1"/>
    <w:qFormat/>
    <w:uiPriority w:val="0"/>
    <w:pPr>
      <w:tabs>
        <w:tab w:val="center" w:pos="4153"/>
        <w:tab w:val="right" w:pos="8306"/>
      </w:tabs>
      <w:snapToGrid w:val="0"/>
      <w:jc w:val="left"/>
    </w:pPr>
    <w:rPr>
      <w:kern w:val="0"/>
      <w:sz w:val="18"/>
      <w:szCs w:val="20"/>
    </w:rPr>
  </w:style>
  <w:style w:type="paragraph" w:styleId="2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2">
    <w:name w:val="footnote text"/>
    <w:basedOn w:val="1"/>
    <w:next w:val="13"/>
    <w:qFormat/>
    <w:uiPriority w:val="0"/>
    <w:pPr>
      <w:snapToGrid w:val="0"/>
      <w:jc w:val="left"/>
    </w:pPr>
    <w:rPr>
      <w:rFonts w:eastAsia="等线"/>
      <w:sz w:val="32"/>
    </w:rPr>
  </w:style>
  <w:style w:type="paragraph" w:styleId="23">
    <w:name w:val="toc 2"/>
    <w:basedOn w:val="1"/>
    <w:next w:val="1"/>
    <w:qFormat/>
    <w:uiPriority w:val="0"/>
    <w:pPr>
      <w:ind w:left="100" w:leftChars="100"/>
    </w:pPr>
  </w:style>
  <w:style w:type="paragraph" w:styleId="24">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5">
    <w:name w:val="annotation subject"/>
    <w:basedOn w:val="12"/>
    <w:next w:val="12"/>
    <w:link w:val="66"/>
    <w:qFormat/>
    <w:uiPriority w:val="0"/>
    <w:rPr>
      <w:b/>
      <w:bCs/>
      <w:kern w:val="2"/>
      <w:sz w:val="21"/>
      <w:szCs w:val="24"/>
    </w:rPr>
  </w:style>
  <w:style w:type="paragraph" w:styleId="26">
    <w:name w:val="Body Text First Indent"/>
    <w:basedOn w:val="13"/>
    <w:next w:val="1"/>
    <w:unhideWhenUsed/>
    <w:qFormat/>
    <w:uiPriority w:val="99"/>
    <w:pPr>
      <w:ind w:firstLine="420" w:firstLineChars="100"/>
    </w:pPr>
  </w:style>
  <w:style w:type="paragraph" w:styleId="27">
    <w:name w:val="Body Text First Indent 2"/>
    <w:basedOn w:val="14"/>
    <w:next w:val="1"/>
    <w:qFormat/>
    <w:uiPriority w:val="0"/>
    <w:pPr>
      <w:ind w:firstLine="420" w:firstLineChars="200"/>
    </w:pPr>
    <w:rPr>
      <w:szCs w:val="20"/>
    </w:rPr>
  </w:style>
  <w:style w:type="table" w:styleId="29">
    <w:name w:val="Table Grid"/>
    <w:basedOn w:val="28"/>
    <w:semiHidden/>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1">
    <w:name w:val="Strong"/>
    <w:basedOn w:val="30"/>
    <w:qFormat/>
    <w:uiPriority w:val="0"/>
    <w:rPr>
      <w:b/>
    </w:rPr>
  </w:style>
  <w:style w:type="character" w:styleId="32">
    <w:name w:val="page number"/>
    <w:qFormat/>
    <w:uiPriority w:val="0"/>
  </w:style>
  <w:style w:type="character" w:styleId="33">
    <w:name w:val="FollowedHyperlink"/>
    <w:basedOn w:val="30"/>
    <w:qFormat/>
    <w:uiPriority w:val="0"/>
    <w:rPr>
      <w:color w:val="000000"/>
      <w:u w:val="none"/>
    </w:rPr>
  </w:style>
  <w:style w:type="character" w:styleId="34">
    <w:name w:val="Emphasis"/>
    <w:basedOn w:val="30"/>
    <w:qFormat/>
    <w:uiPriority w:val="0"/>
  </w:style>
  <w:style w:type="character" w:styleId="35">
    <w:name w:val="Hyperlink"/>
    <w:basedOn w:val="30"/>
    <w:qFormat/>
    <w:uiPriority w:val="0"/>
    <w:rPr>
      <w:color w:val="000000"/>
      <w:u w:val="none"/>
    </w:rPr>
  </w:style>
  <w:style w:type="character" w:styleId="36">
    <w:name w:val="annotation reference"/>
    <w:basedOn w:val="30"/>
    <w:qFormat/>
    <w:uiPriority w:val="0"/>
    <w:rPr>
      <w:sz w:val="21"/>
      <w:szCs w:val="21"/>
    </w:rPr>
  </w:style>
  <w:style w:type="paragraph" w:customStyle="1" w:styleId="37">
    <w:name w:val="样式 正文文本缩进 + 行距: 1.5 倍行距"/>
    <w:basedOn w:val="1"/>
    <w:qFormat/>
    <w:uiPriority w:val="0"/>
    <w:pPr>
      <w:spacing w:after="120" w:line="360" w:lineRule="auto"/>
      <w:ind w:left="90" w:leftChars="32" w:firstLine="560" w:firstLineChars="200"/>
    </w:pPr>
    <w:rPr>
      <w:rFonts w:cs="宋体"/>
      <w:sz w:val="24"/>
      <w:szCs w:val="20"/>
    </w:rPr>
  </w:style>
  <w:style w:type="paragraph" w:customStyle="1" w:styleId="38">
    <w:name w:val="Default"/>
    <w:basedOn w:val="39"/>
    <w:next w:val="9"/>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9">
    <w:name w:val="纯文本1"/>
    <w:basedOn w:val="1"/>
    <w:qFormat/>
    <w:uiPriority w:val="0"/>
    <w:pPr>
      <w:adjustRightInd w:val="0"/>
    </w:pPr>
    <w:rPr>
      <w:rFonts w:ascii="宋体" w:hAnsi="Courier New"/>
    </w:rPr>
  </w:style>
  <w:style w:type="paragraph" w:customStyle="1" w:styleId="40">
    <w:name w:val="表内字"/>
    <w:qFormat/>
    <w:uiPriority w:val="0"/>
    <w:pPr>
      <w:spacing w:line="360" w:lineRule="exact"/>
      <w:jc w:val="center"/>
    </w:pPr>
    <w:rPr>
      <w:rFonts w:ascii="Times New Roman" w:hAnsi="Times New Roman" w:eastAsia="宋体" w:cs="Times New Roman"/>
      <w:bCs/>
      <w:kern w:val="2"/>
      <w:sz w:val="21"/>
      <w:szCs w:val="21"/>
      <w:lang w:val="en-US" w:eastAsia="zh-CN" w:bidi="ar-SA"/>
    </w:rPr>
  </w:style>
  <w:style w:type="paragraph" w:customStyle="1" w:styleId="41">
    <w:name w:val="报告正文"/>
    <w:basedOn w:val="1"/>
    <w:link w:val="78"/>
    <w:qFormat/>
    <w:uiPriority w:val="0"/>
    <w:pPr>
      <w:snapToGrid w:val="0"/>
      <w:spacing w:line="360" w:lineRule="auto"/>
      <w:ind w:firstLine="200" w:firstLineChars="200"/>
    </w:pPr>
    <w:rPr>
      <w:rFonts w:ascii="宋体" w:hAnsi="宋体"/>
      <w:sz w:val="28"/>
    </w:rPr>
  </w:style>
  <w:style w:type="paragraph" w:customStyle="1" w:styleId="42">
    <w:name w:val="表头"/>
    <w:basedOn w:val="13"/>
    <w:next w:val="43"/>
    <w:qFormat/>
    <w:uiPriority w:val="0"/>
    <w:pPr>
      <w:adjustRightInd w:val="0"/>
      <w:spacing w:after="0" w:line="400" w:lineRule="exact"/>
      <w:jc w:val="center"/>
    </w:pPr>
    <w:rPr>
      <w:b/>
      <w:sz w:val="24"/>
      <w:szCs w:val="24"/>
    </w:rPr>
  </w:style>
  <w:style w:type="paragraph" w:customStyle="1" w:styleId="43">
    <w:name w:val="表格内容"/>
    <w:basedOn w:val="42"/>
    <w:next w:val="1"/>
    <w:qFormat/>
    <w:uiPriority w:val="0"/>
    <w:rPr>
      <w:rFonts w:cs="Calibri"/>
      <w:sz w:val="21"/>
      <w:szCs w:val="21"/>
    </w:rPr>
  </w:style>
  <w:style w:type="paragraph" w:customStyle="1" w:styleId="44">
    <w:name w:val="塑料表头"/>
    <w:basedOn w:val="45"/>
    <w:qFormat/>
    <w:uiPriority w:val="0"/>
    <w:pPr>
      <w:numPr>
        <w:ilvl w:val="0"/>
        <w:numId w:val="3"/>
      </w:numPr>
      <w:ind w:firstLine="0" w:firstLineChars="0"/>
      <w:jc w:val="center"/>
    </w:pPr>
    <w:rPr>
      <w:rFonts w:eastAsia="宋体"/>
      <w:b/>
      <w:szCs w:val="24"/>
    </w:rPr>
  </w:style>
  <w:style w:type="paragraph" w:customStyle="1" w:styleId="45">
    <w:name w:val="表头字"/>
    <w:basedOn w:val="1"/>
    <w:qFormat/>
    <w:uiPriority w:val="0"/>
    <w:pPr>
      <w:spacing w:line="520" w:lineRule="exact"/>
      <w:ind w:firstLine="400" w:firstLineChars="400"/>
      <w:jc w:val="left"/>
    </w:pPr>
    <w:rPr>
      <w:rFonts w:eastAsia="黑体"/>
      <w:sz w:val="24"/>
      <w:szCs w:val="20"/>
    </w:rPr>
  </w:style>
  <w:style w:type="paragraph" w:customStyle="1" w:styleId="46">
    <w:name w:val="常用正文样式"/>
    <w:basedOn w:val="1"/>
    <w:qFormat/>
    <w:uiPriority w:val="0"/>
    <w:pPr>
      <w:spacing w:line="360" w:lineRule="auto"/>
      <w:ind w:firstLine="480" w:firstLineChars="200"/>
    </w:pPr>
    <w:rPr>
      <w:rFonts w:ascii="宋体" w:hAnsi="宋体"/>
      <w:bCs/>
      <w:kern w:val="28"/>
      <w:szCs w:val="20"/>
    </w:rPr>
  </w:style>
  <w:style w:type="paragraph" w:customStyle="1" w:styleId="47">
    <w:name w:val="1正文"/>
    <w:basedOn w:val="1"/>
    <w:qFormat/>
    <w:uiPriority w:val="0"/>
    <w:pPr>
      <w:spacing w:line="460" w:lineRule="atLeast"/>
      <w:ind w:left="140" w:leftChars="54" w:firstLine="565" w:firstLineChars="211"/>
    </w:pPr>
    <w:rPr>
      <w:rFonts w:ascii="宋体" w:hAnsi="宋体"/>
      <w:spacing w:val="4"/>
      <w:sz w:val="26"/>
    </w:rPr>
  </w:style>
  <w:style w:type="paragraph" w:customStyle="1" w:styleId="48">
    <w:name w:val="表格_正文"/>
    <w:qFormat/>
    <w:uiPriority w:val="99"/>
    <w:pPr>
      <w:snapToGrid w:val="0"/>
    </w:pPr>
    <w:rPr>
      <w:rFonts w:ascii="Times New Roman" w:hAnsi="Times New Roman" w:eastAsia="宋体" w:cs="Times New Roman"/>
      <w:sz w:val="21"/>
      <w:szCs w:val="22"/>
      <w:lang w:val="en-US" w:eastAsia="zh-CN" w:bidi="ar-SA"/>
    </w:rPr>
  </w:style>
  <w:style w:type="paragraph" w:customStyle="1" w:styleId="49">
    <w:name w:val="表格"/>
    <w:basedOn w:val="1"/>
    <w:qFormat/>
    <w:uiPriority w:val="0"/>
    <w:pPr>
      <w:adjustRightInd w:val="0"/>
      <w:snapToGrid w:val="0"/>
      <w:spacing w:beforeLines="10" w:afterLines="10" w:line="259" w:lineRule="auto"/>
      <w:jc w:val="center"/>
    </w:pPr>
    <w:rPr>
      <w:rFonts w:ascii="宋体"/>
      <w:kern w:val="0"/>
      <w:szCs w:val="20"/>
    </w:rPr>
  </w:style>
  <w:style w:type="paragraph" w:customStyle="1" w:styleId="50">
    <w:name w:val="正文小四 1.75"/>
    <w:basedOn w:val="1"/>
    <w:qFormat/>
    <w:uiPriority w:val="0"/>
    <w:pPr>
      <w:spacing w:line="420" w:lineRule="auto"/>
      <w:ind w:firstLine="480" w:firstLineChars="200"/>
    </w:pPr>
    <w:rPr>
      <w:sz w:val="24"/>
    </w:rPr>
  </w:style>
  <w:style w:type="character" w:customStyle="1" w:styleId="51">
    <w:name w:val="lable"/>
    <w:basedOn w:val="30"/>
    <w:qFormat/>
    <w:uiPriority w:val="0"/>
    <w:rPr>
      <w:sz w:val="24"/>
      <w:szCs w:val="24"/>
    </w:rPr>
  </w:style>
  <w:style w:type="character" w:customStyle="1" w:styleId="52">
    <w:name w:val="cur1"/>
    <w:basedOn w:val="30"/>
    <w:qFormat/>
    <w:uiPriority w:val="0"/>
    <w:rPr>
      <w:color w:val="FFFFFF"/>
      <w:shd w:val="clear" w:color="auto" w:fill="2F6B98"/>
    </w:rPr>
  </w:style>
  <w:style w:type="character" w:customStyle="1" w:styleId="53">
    <w:name w:val="lishishuju"/>
    <w:basedOn w:val="30"/>
    <w:qFormat/>
    <w:uiPriority w:val="0"/>
    <w:rPr>
      <w:b/>
      <w:bCs/>
      <w:color w:val="000052"/>
      <w:sz w:val="24"/>
      <w:szCs w:val="24"/>
      <w:bdr w:val="single" w:color="E3E3E3" w:sz="6" w:space="0"/>
    </w:rPr>
  </w:style>
  <w:style w:type="character" w:customStyle="1" w:styleId="54">
    <w:name w:val="radio-btn"/>
    <w:basedOn w:val="30"/>
    <w:qFormat/>
    <w:uiPriority w:val="0"/>
    <w:rPr>
      <w:sz w:val="21"/>
      <w:szCs w:val="21"/>
    </w:rPr>
  </w:style>
  <w:style w:type="character" w:customStyle="1" w:styleId="55">
    <w:name w:val="radio-btn1"/>
    <w:basedOn w:val="30"/>
    <w:qFormat/>
    <w:uiPriority w:val="0"/>
    <w:rPr>
      <w:sz w:val="24"/>
      <w:szCs w:val="24"/>
    </w:rPr>
  </w:style>
  <w:style w:type="character" w:customStyle="1" w:styleId="56">
    <w:name w:val="radio-btn2"/>
    <w:basedOn w:val="30"/>
    <w:qFormat/>
    <w:uiPriority w:val="0"/>
    <w:rPr>
      <w:sz w:val="24"/>
      <w:szCs w:val="24"/>
    </w:rPr>
  </w:style>
  <w:style w:type="character" w:customStyle="1" w:styleId="57">
    <w:name w:val="znspantitle"/>
    <w:basedOn w:val="30"/>
    <w:qFormat/>
    <w:uiPriority w:val="0"/>
    <w:rPr>
      <w:b/>
      <w:bCs/>
      <w:color w:val="333333"/>
    </w:rPr>
  </w:style>
  <w:style w:type="paragraph" w:customStyle="1" w:styleId="58">
    <w:name w:val="表内 定"/>
    <w:basedOn w:val="1"/>
    <w:qFormat/>
    <w:uiPriority w:val="0"/>
    <w:rPr>
      <w:color w:val="000000" w:themeColor="text1"/>
      <w14:textFill>
        <w14:solidFill>
          <w14:schemeClr w14:val="tx1"/>
        </w14:solidFill>
      </w14:textFill>
    </w:rPr>
  </w:style>
  <w:style w:type="paragraph" w:customStyle="1" w:styleId="59">
    <w:name w:val="Char Char Char1 Char Char Char Char"/>
    <w:basedOn w:val="1"/>
    <w:qFormat/>
    <w:uiPriority w:val="0"/>
  </w:style>
  <w:style w:type="paragraph" w:customStyle="1" w:styleId="60">
    <w:name w:val="刘正文"/>
    <w:basedOn w:val="1"/>
    <w:qFormat/>
    <w:uiPriority w:val="0"/>
    <w:pPr>
      <w:spacing w:line="460" w:lineRule="exact"/>
      <w:ind w:firstLine="480" w:firstLineChars="200"/>
      <w:jc w:val="left"/>
    </w:pPr>
    <w:rPr>
      <w:color w:val="000000"/>
      <w:sz w:val="24"/>
    </w:rPr>
  </w:style>
  <w:style w:type="paragraph" w:customStyle="1" w:styleId="61">
    <w:name w:val="刘表格居中"/>
    <w:basedOn w:val="1"/>
    <w:qFormat/>
    <w:uiPriority w:val="0"/>
    <w:pPr>
      <w:jc w:val="center"/>
    </w:pPr>
    <w:rPr>
      <w:color w:val="000000"/>
      <w:szCs w:val="21"/>
    </w:rPr>
  </w:style>
  <w:style w:type="paragraph" w:customStyle="1" w:styleId="62">
    <w:name w:val="正文  001"/>
    <w:basedOn w:val="1"/>
    <w:qFormat/>
    <w:uiPriority w:val="0"/>
    <w:pPr>
      <w:spacing w:line="360" w:lineRule="exact"/>
      <w:ind w:firstLine="200" w:firstLineChars="200"/>
    </w:pPr>
  </w:style>
  <w:style w:type="paragraph" w:customStyle="1" w:styleId="63">
    <w:name w:val="Body text|1"/>
    <w:basedOn w:val="1"/>
    <w:qFormat/>
    <w:uiPriority w:val="0"/>
    <w:pPr>
      <w:spacing w:line="420" w:lineRule="auto"/>
      <w:ind w:firstLine="400"/>
    </w:pPr>
    <w:rPr>
      <w:sz w:val="30"/>
      <w:szCs w:val="30"/>
      <w:lang w:val="zh-TW" w:eastAsia="zh-TW" w:bidi="zh-TW"/>
    </w:rPr>
  </w:style>
  <w:style w:type="paragraph" w:customStyle="1" w:styleId="64">
    <w:name w:val="报告表正文"/>
    <w:basedOn w:val="1"/>
    <w:qFormat/>
    <w:uiPriority w:val="0"/>
    <w:pPr>
      <w:adjustRightInd w:val="0"/>
      <w:spacing w:line="312" w:lineRule="auto"/>
      <w:ind w:left="113" w:right="113" w:firstLine="482"/>
      <w:jc w:val="left"/>
      <w:textAlignment w:val="baseline"/>
    </w:pPr>
    <w:rPr>
      <w:rFonts w:ascii="Calibri" w:hAnsi="Calibri"/>
      <w:kern w:val="0"/>
      <w:sz w:val="24"/>
    </w:rPr>
  </w:style>
  <w:style w:type="character" w:customStyle="1" w:styleId="65">
    <w:name w:val="批注文字 Char"/>
    <w:basedOn w:val="30"/>
    <w:link w:val="12"/>
    <w:semiHidden/>
    <w:qFormat/>
    <w:uiPriority w:val="0"/>
    <w:rPr>
      <w:sz w:val="24"/>
    </w:rPr>
  </w:style>
  <w:style w:type="character" w:customStyle="1" w:styleId="66">
    <w:name w:val="批注主题 Char"/>
    <w:basedOn w:val="65"/>
    <w:link w:val="25"/>
    <w:qFormat/>
    <w:uiPriority w:val="0"/>
    <w:rPr>
      <w:b/>
      <w:bCs/>
      <w:kern w:val="2"/>
      <w:sz w:val="21"/>
      <w:szCs w:val="24"/>
    </w:rPr>
  </w:style>
  <w:style w:type="character" w:customStyle="1" w:styleId="67">
    <w:name w:val="批注框文本 Char"/>
    <w:basedOn w:val="30"/>
    <w:link w:val="19"/>
    <w:qFormat/>
    <w:uiPriority w:val="0"/>
    <w:rPr>
      <w:kern w:val="2"/>
      <w:sz w:val="18"/>
      <w:szCs w:val="18"/>
    </w:rPr>
  </w:style>
  <w:style w:type="character" w:customStyle="1" w:styleId="68">
    <w:name w:val="unnamed1"/>
    <w:qFormat/>
    <w:uiPriority w:val="0"/>
  </w:style>
  <w:style w:type="paragraph" w:customStyle="1" w:styleId="69">
    <w:name w:val="4表格内3级标题"/>
    <w:basedOn w:val="70"/>
    <w:next w:val="70"/>
    <w:qFormat/>
    <w:uiPriority w:val="0"/>
    <w:pPr>
      <w:ind w:firstLine="0" w:firstLineChars="0"/>
      <w:jc w:val="left"/>
    </w:pPr>
    <w:rPr>
      <w:b/>
    </w:rPr>
  </w:style>
  <w:style w:type="paragraph" w:customStyle="1" w:styleId="70">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71">
    <w:name w:val="7表格内容"/>
    <w:qFormat/>
    <w:uiPriority w:val="0"/>
    <w:pPr>
      <w:widowControl w:val="0"/>
      <w:spacing w:line="400" w:lineRule="exact"/>
      <w:jc w:val="center"/>
    </w:pPr>
    <w:rPr>
      <w:rFonts w:ascii="Times New Roman" w:hAnsi="Times New Roman" w:eastAsia="宋体" w:cs="Times New Roman"/>
      <w:kern w:val="2"/>
      <w:sz w:val="21"/>
      <w:szCs w:val="24"/>
      <w:lang w:val="en-US" w:eastAsia="zh-CN" w:bidi="ar-SA"/>
    </w:rPr>
  </w:style>
  <w:style w:type="paragraph" w:customStyle="1" w:styleId="72">
    <w:name w:val="报告表  段"/>
    <w:basedOn w:val="1"/>
    <w:qFormat/>
    <w:uiPriority w:val="0"/>
    <w:pPr>
      <w:adjustRightInd w:val="0"/>
      <w:spacing w:line="360" w:lineRule="auto"/>
      <w:ind w:firstLine="505"/>
      <w:textAlignment w:val="baseline"/>
    </w:pPr>
    <w:rPr>
      <w:rFonts w:ascii="宋体"/>
      <w:sz w:val="24"/>
    </w:rPr>
  </w:style>
  <w:style w:type="paragraph" w:customStyle="1" w:styleId="73">
    <w:name w:val="报告书表格"/>
    <w:basedOn w:val="1"/>
    <w:qFormat/>
    <w:uiPriority w:val="0"/>
    <w:pPr>
      <w:adjustRightInd w:val="0"/>
      <w:spacing w:before="60" w:after="60" w:line="240" w:lineRule="atLeast"/>
      <w:jc w:val="center"/>
      <w:textAlignment w:val="baseline"/>
    </w:pPr>
    <w:rPr>
      <w:kern w:val="0"/>
    </w:rPr>
  </w:style>
  <w:style w:type="paragraph" w:customStyle="1" w:styleId="74">
    <w:name w:val="列出段落1"/>
    <w:basedOn w:val="1"/>
    <w:qFormat/>
    <w:uiPriority w:val="0"/>
    <w:pPr>
      <w:ind w:firstLine="420" w:firstLineChars="200"/>
    </w:pPr>
    <w:rPr>
      <w:rFonts w:ascii="Calibri" w:hAnsi="Calibri"/>
      <w:szCs w:val="22"/>
    </w:rPr>
  </w:style>
  <w:style w:type="paragraph" w:customStyle="1" w:styleId="75">
    <w:name w:val="列出段落2"/>
    <w:basedOn w:val="1"/>
    <w:qFormat/>
    <w:uiPriority w:val="0"/>
    <w:pPr>
      <w:ind w:firstLine="420" w:firstLineChars="200"/>
    </w:pPr>
    <w:rPr>
      <w:rFonts w:ascii="Calibri" w:hAnsi="Calibri"/>
      <w:szCs w:val="22"/>
    </w:rPr>
  </w:style>
  <w:style w:type="paragraph" w:customStyle="1" w:styleId="76">
    <w:name w:val="报告书正文"/>
    <w:basedOn w:val="1"/>
    <w:qFormat/>
    <w:uiPriority w:val="0"/>
    <w:pPr>
      <w:autoSpaceDE w:val="0"/>
      <w:autoSpaceDN w:val="0"/>
      <w:spacing w:line="520" w:lineRule="exact"/>
      <w:ind w:firstLine="200" w:firstLineChars="200"/>
    </w:pPr>
    <w:rPr>
      <w:rFonts w:eastAsia="宋体"/>
      <w:kern w:val="2"/>
      <w:sz w:val="28"/>
      <w:szCs w:val="28"/>
      <w:lang w:val="en-US" w:eastAsia="zh-CN" w:bidi="ar-SA"/>
    </w:rPr>
  </w:style>
  <w:style w:type="paragraph" w:customStyle="1" w:styleId="77">
    <w:name w:val="正文文本缩进1"/>
    <w:basedOn w:val="1"/>
    <w:qFormat/>
    <w:uiPriority w:val="0"/>
    <w:pPr>
      <w:ind w:firstLine="560"/>
    </w:pPr>
    <w:rPr>
      <w:rFonts w:ascii="宋体"/>
      <w:kern w:val="0"/>
      <w:sz w:val="24"/>
    </w:rPr>
  </w:style>
  <w:style w:type="character" w:customStyle="1" w:styleId="78">
    <w:name w:val="报告正文 Char"/>
    <w:link w:val="41"/>
    <w:qFormat/>
    <w:uiPriority w:val="0"/>
    <w:rPr>
      <w:rFonts w:ascii="宋体" w:hAnsi="宋体"/>
      <w:sz w:val="28"/>
    </w:rPr>
  </w:style>
  <w:style w:type="paragraph" w:customStyle="1" w:styleId="79">
    <w:name w:val="刘图标题"/>
    <w:basedOn w:val="1"/>
    <w:next w:val="60"/>
    <w:qFormat/>
    <w:uiPriority w:val="0"/>
    <w:pPr>
      <w:autoSpaceDE w:val="0"/>
      <w:autoSpaceDN w:val="0"/>
      <w:adjustRightInd w:val="0"/>
      <w:snapToGrid w:val="0"/>
      <w:spacing w:line="460" w:lineRule="exact"/>
      <w:ind w:firstLine="0" w:firstLineChars="0"/>
      <w:jc w:val="center"/>
    </w:pPr>
    <w:rPr>
      <w:rFonts w:ascii="Times New Roman" w:hAnsi="Times New Roman" w:eastAsia="宋体"/>
      <w:b/>
      <w:sz w:val="24"/>
    </w:rPr>
  </w:style>
  <w:style w:type="paragraph" w:customStyle="1" w:styleId="80">
    <w:name w:val="表格1"/>
    <w:basedOn w:val="1"/>
    <w:qFormat/>
    <w:uiPriority w:val="0"/>
    <w:pPr>
      <w:adjustRightInd w:val="0"/>
      <w:snapToGrid w:val="0"/>
      <w:spacing w:line="240" w:lineRule="exact"/>
      <w:jc w:val="center"/>
    </w:pPr>
    <w:rPr>
      <w:kern w:val="0"/>
    </w:rPr>
  </w:style>
  <w:style w:type="paragraph" w:customStyle="1" w:styleId="81">
    <w:name w:val="表格文字"/>
    <w:basedOn w:val="82"/>
    <w:next w:val="1"/>
    <w:qFormat/>
    <w:uiPriority w:val="99"/>
    <w:pPr>
      <w:spacing w:line="240" w:lineRule="auto"/>
      <w:ind w:firstLine="0" w:firstLineChars="0"/>
    </w:pPr>
    <w:rPr>
      <w:sz w:val="21"/>
      <w:szCs w:val="21"/>
    </w:rPr>
  </w:style>
  <w:style w:type="paragraph" w:customStyle="1" w:styleId="82">
    <w:name w:val="正文东铝"/>
    <w:basedOn w:val="1"/>
    <w:qFormat/>
    <w:uiPriority w:val="0"/>
    <w:pPr>
      <w:spacing w:line="520" w:lineRule="exact"/>
      <w:ind w:firstLine="200" w:firstLineChars="200"/>
      <w:jc w:val="left"/>
    </w:pPr>
    <w:rPr>
      <w:color w:val="000000"/>
      <w:sz w:val="24"/>
      <w:szCs w:val="22"/>
    </w:rPr>
  </w:style>
  <w:style w:type="paragraph" w:customStyle="1" w:styleId="83">
    <w:name w:val="6表头"/>
    <w:next w:val="70"/>
    <w:qFormat/>
    <w:uiPriority w:val="0"/>
    <w:pPr>
      <w:pageBreakBefore/>
      <w:spacing w:line="520" w:lineRule="exact"/>
      <w:ind w:firstLine="200" w:firstLineChars="200"/>
    </w:pPr>
    <w:rPr>
      <w:rFonts w:ascii="Times New Roman" w:hAnsi="Times New Roman" w:eastAsia="黑体" w:cs="Times New Roman"/>
      <w:kern w:val="2"/>
      <w:sz w:val="24"/>
      <w:szCs w:val="24"/>
      <w:lang w:val="en-US" w:eastAsia="zh-CN" w:bidi="ar-SA"/>
    </w:rPr>
  </w:style>
  <w:style w:type="paragraph" w:customStyle="1" w:styleId="84">
    <w:name w:val="中文报告书样式"/>
    <w:basedOn w:val="1"/>
    <w:qFormat/>
    <w:uiPriority w:val="0"/>
    <w:pPr>
      <w:adjustRightInd w:val="0"/>
      <w:snapToGrid w:val="0"/>
      <w:spacing w:line="360" w:lineRule="auto"/>
      <w:ind w:firstLine="480" w:firstLineChars="200"/>
      <w:textAlignment w:val="baseline"/>
    </w:pPr>
    <w:rPr>
      <w:rFonts w:ascii="Calibri" w:hAnsi="Calibri"/>
      <w:kern w:val="24"/>
      <w:sz w:val="24"/>
    </w:rPr>
  </w:style>
  <w:style w:type="paragraph" w:customStyle="1" w:styleId="85">
    <w:name w:val="表头文字"/>
    <w:qFormat/>
    <w:uiPriority w:val="0"/>
    <w:pPr>
      <w:widowControl w:val="0"/>
      <w:adjustRightInd w:val="0"/>
      <w:snapToGrid w:val="0"/>
      <w:jc w:val="center"/>
    </w:pPr>
    <w:rPr>
      <w:rFonts w:ascii="Times New Roman" w:hAnsi="Times New Roman" w:eastAsia="黑体" w:cs="Times New Roman"/>
      <w:bCs/>
      <w:sz w:val="21"/>
      <w:szCs w:val="24"/>
      <w:lang w:val="en-US" w:eastAsia="zh-CN" w:bidi="ar-SA"/>
    </w:rPr>
  </w:style>
  <w:style w:type="table" w:customStyle="1" w:styleId="86">
    <w:name w:val="Table Normal"/>
    <w:semiHidden/>
    <w:unhideWhenUsed/>
    <w:qFormat/>
    <w:uiPriority w:val="0"/>
    <w:tblPr>
      <w:tblCellMar>
        <w:top w:w="0" w:type="dxa"/>
        <w:left w:w="0" w:type="dxa"/>
        <w:bottom w:w="0" w:type="dxa"/>
        <w:right w:w="0" w:type="dxa"/>
      </w:tblCellMar>
    </w:tblPr>
  </w:style>
  <w:style w:type="paragraph" w:customStyle="1" w:styleId="87">
    <w:name w:val="07表格内容"/>
    <w:qFormat/>
    <w:uiPriority w:val="0"/>
    <w:pPr>
      <w:widowControl w:val="0"/>
      <w:spacing w:line="360" w:lineRule="exact"/>
      <w:jc w:val="center"/>
    </w:pPr>
    <w:rPr>
      <w:rFonts w:ascii="Times New Roman" w:hAnsi="Times New Roman" w:eastAsia="宋体" w:cs="Times New Roman"/>
      <w:szCs w:val="24"/>
      <w:lang w:val="en-US" w:eastAsia="zh-CN" w:bidi="ar-SA"/>
    </w:rPr>
  </w:style>
  <w:style w:type="paragraph" w:customStyle="1" w:styleId="88">
    <w:name w:val="表格内容5号"/>
    <w:qFormat/>
    <w:uiPriority w:val="0"/>
    <w:pPr>
      <w:widowControl w:val="0"/>
      <w:snapToGrid w:val="0"/>
      <w:spacing w:line="320" w:lineRule="atLeast"/>
      <w:jc w:val="center"/>
    </w:pPr>
    <w:rPr>
      <w:rFonts w:ascii="Times New Roman" w:hAnsi="Times New Roman" w:eastAsia="宋体" w:cs="Times New Roman"/>
      <w:kern w:val="2"/>
      <w:sz w:val="21"/>
      <w:szCs w:val="24"/>
      <w:lang w:val="en-US" w:eastAsia="zh-CN" w:bidi="ar-SA"/>
    </w:rPr>
  </w:style>
  <w:style w:type="paragraph" w:customStyle="1" w:styleId="89">
    <w:name w:val="05正文"/>
    <w:basedOn w:val="1"/>
    <w:qFormat/>
    <w:uiPriority w:val="0"/>
    <w:pPr>
      <w:spacing w:line="500" w:lineRule="exact"/>
      <w:ind w:firstLine="200" w:firstLineChars="200"/>
    </w:pPr>
    <w:rPr>
      <w:sz w:val="24"/>
    </w:rPr>
  </w:style>
  <w:style w:type="character" w:customStyle="1" w:styleId="90">
    <w:name w:val="font11"/>
    <w:basedOn w:val="30"/>
    <w:qFormat/>
    <w:uiPriority w:val="0"/>
    <w:rPr>
      <w:rFonts w:hint="default" w:ascii="Times New Roman" w:hAnsi="Times New Roman" w:cs="Times New Roman"/>
      <w:color w:val="000000"/>
      <w:sz w:val="21"/>
      <w:szCs w:val="21"/>
      <w:u w:val="none"/>
    </w:rPr>
  </w:style>
  <w:style w:type="paragraph" w:customStyle="1" w:styleId="91">
    <w:name w:val="标题1"/>
    <w:basedOn w:val="2"/>
    <w:next w:val="4"/>
    <w:qFormat/>
    <w:uiPriority w:val="0"/>
    <w:pPr>
      <w:keepNext w:val="0"/>
      <w:keepLines w:val="0"/>
      <w:tabs>
        <w:tab w:val="left" w:pos="432"/>
      </w:tabs>
      <w:spacing w:before="200" w:after="200" w:line="520" w:lineRule="exact"/>
    </w:pPr>
    <w:rPr>
      <w:rFonts w:eastAsia="黑体"/>
      <w:b w:val="0"/>
      <w:kern w:val="28"/>
      <w:sz w:val="28"/>
      <w:szCs w:val="44"/>
    </w:rPr>
  </w:style>
  <w:style w:type="paragraph" w:customStyle="1" w:styleId="92">
    <w:name w:val="表格标题"/>
    <w:basedOn w:val="16"/>
    <w:qFormat/>
    <w:uiPriority w:val="0"/>
    <w:pPr>
      <w:numPr>
        <w:ilvl w:val="0"/>
        <w:numId w:val="4"/>
      </w:numPr>
      <w:ind w:left="0" w:firstLine="0"/>
      <w:jc w:val="center"/>
    </w:pPr>
    <w:rPr>
      <w:rFonts w:ascii="Times New Roman" w:hAnsi="Times New Roman" w:eastAsia="黑体" w:cs="Times New Roman"/>
      <w:szCs w:val="24"/>
    </w:rPr>
  </w:style>
  <w:style w:type="paragraph" w:customStyle="1" w:styleId="93">
    <w:name w:val="book"/>
    <w:basedOn w:val="1"/>
    <w:qFormat/>
    <w:uiPriority w:val="0"/>
    <w:pPr>
      <w:spacing w:line="360" w:lineRule="exact"/>
      <w:jc w:val="center"/>
    </w:pPr>
  </w:style>
  <w:style w:type="paragraph" w:styleId="94">
    <w:name w:val="List Paragraph"/>
    <w:basedOn w:val="1"/>
    <w:qFormat/>
    <w:uiPriority w:val="0"/>
    <w:pPr>
      <w:spacing w:line="360" w:lineRule="exact"/>
      <w:jc w:val="center"/>
    </w:pPr>
    <w:rPr>
      <w:szCs w:val="24"/>
    </w:rPr>
  </w:style>
  <w:style w:type="paragraph" w:customStyle="1" w:styleId="95">
    <w:name w:val="00"/>
    <w:basedOn w:val="1"/>
    <w:next w:val="3"/>
    <w:qFormat/>
    <w:uiPriority w:val="0"/>
    <w:pPr>
      <w:spacing w:line="520" w:lineRule="exact"/>
      <w:ind w:firstLine="200" w:firstLineChars="200"/>
    </w:pPr>
    <w:rPr>
      <w:rFonts w:ascii="宋体" w:hAnsi="宋体" w:cs="宋体"/>
      <w:sz w:val="24"/>
    </w:rPr>
  </w:style>
  <w:style w:type="paragraph" w:customStyle="1" w:styleId="96">
    <w:name w:val="p0"/>
    <w:basedOn w:val="1"/>
    <w:qFormat/>
    <w:uiPriority w:val="0"/>
    <w:pPr>
      <w:widowControl/>
    </w:pPr>
    <w:rPr>
      <w:kern w:val="0"/>
      <w:szCs w:val="21"/>
    </w:rPr>
  </w:style>
  <w:style w:type="character" w:customStyle="1" w:styleId="97">
    <w:name w:val="headline-content2"/>
    <w:basedOn w:val="30"/>
    <w:qFormat/>
    <w:uiPriority w:val="0"/>
  </w:style>
  <w:style w:type="paragraph" w:customStyle="1" w:styleId="98">
    <w:name w:val="000"/>
    <w:basedOn w:val="95"/>
    <w:qFormat/>
    <w:uiPriority w:val="0"/>
    <w:rPr>
      <w:szCs w:val="24"/>
    </w:rPr>
  </w:style>
  <w:style w:type="paragraph" w:customStyle="1" w:styleId="99">
    <w:name w:val="Table Paragraph"/>
    <w:basedOn w:val="1"/>
    <w:qFormat/>
    <w:uiPriority w:val="1"/>
    <w:rPr>
      <w:spacing w:val="-4"/>
      <w:sz w:val="24"/>
    </w:rPr>
  </w:style>
  <w:style w:type="paragraph" w:customStyle="1" w:styleId="100">
    <w:name w:val="表内标题"/>
    <w:basedOn w:val="41"/>
    <w:qFormat/>
    <w:uiPriority w:val="0"/>
    <w:pPr>
      <w:spacing w:before="50" w:beforeLines="50" w:after="50" w:afterLines="50" w:line="240" w:lineRule="exact"/>
      <w:ind w:firstLine="0" w:firstLineChars="0"/>
    </w:pPr>
    <w:rPr>
      <w:rFonts w:eastAsia="黑体"/>
    </w:rPr>
  </w:style>
  <w:style w:type="character" w:customStyle="1" w:styleId="101">
    <w:name w:val="报告正文 Char Char"/>
    <w:qFormat/>
    <w:uiPriority w:val="0"/>
    <w:rPr>
      <w:rFonts w:eastAsia="宋体"/>
      <w:color w:val="000000"/>
      <w:kern w:val="2"/>
      <w:sz w:val="24"/>
      <w:szCs w:val="24"/>
    </w:rPr>
  </w:style>
  <w:style w:type="table" w:customStyle="1" w:styleId="102">
    <w:name w:val="表格样式2"/>
    <w:basedOn w:val="28"/>
    <w:qFormat/>
    <w:uiPriority w:val="0"/>
    <w:rPr>
      <w:rFonts w:ascii="Times New Roman" w:hAnsi="Times New Roman" w:eastAsia="仿宋_GB2312" w:cs="Times New Roman"/>
    </w:rPr>
    <w:tblPr>
      <w:tblBorders>
        <w:top w:val="single" w:color="auto" w:sz="12" w:space="0"/>
        <w:bottom w:val="single" w:color="auto" w:sz="12" w:space="0"/>
        <w:insideH w:val="single" w:color="auto" w:sz="4" w:space="0"/>
        <w:insideV w:val="single" w:color="auto" w:sz="4" w:space="0"/>
      </w:tblBorders>
    </w:tblPr>
  </w:style>
  <w:style w:type="paragraph" w:customStyle="1" w:styleId="103">
    <w:name w:val="正文_4"/>
    <w:qFormat/>
    <w:uiPriority w:val="0"/>
    <w:pPr>
      <w:widowControl w:val="0"/>
      <w:jc w:val="both"/>
    </w:pPr>
    <w:rPr>
      <w:rFonts w:ascii="Calibri" w:hAnsi="Calibri" w:eastAsia="宋体" w:cs="Times New Roman"/>
      <w:kern w:val="2"/>
      <w:sz w:val="21"/>
      <w:lang w:val="en-US" w:eastAsia="zh-CN" w:bidi="ar-SA"/>
    </w:rPr>
  </w:style>
  <w:style w:type="character" w:customStyle="1" w:styleId="104">
    <w:name w:val="font01"/>
    <w:basedOn w:val="30"/>
    <w:qFormat/>
    <w:uiPriority w:val="0"/>
    <w:rPr>
      <w:rFonts w:hint="eastAsia" w:ascii="宋体" w:hAnsi="宋体" w:eastAsia="宋体" w:cs="宋体"/>
      <w:color w:val="000000"/>
      <w:sz w:val="22"/>
      <w:szCs w:val="22"/>
      <w:u w:val="none"/>
    </w:rPr>
  </w:style>
  <w:style w:type="character" w:customStyle="1" w:styleId="105">
    <w:name w:val="font41"/>
    <w:basedOn w:val="30"/>
    <w:qFormat/>
    <w:uiPriority w:val="0"/>
    <w:rPr>
      <w:rFonts w:ascii="Arial Unicode MS" w:hAnsi="Arial Unicode MS" w:eastAsia="Arial Unicode MS" w:cs="Arial Unicode MS"/>
      <w:color w:val="000000"/>
      <w:sz w:val="22"/>
      <w:szCs w:val="22"/>
      <w:u w:val="none"/>
    </w:rPr>
  </w:style>
  <w:style w:type="paragraph" w:customStyle="1" w:styleId="106">
    <w:name w:val="zl标题3"/>
    <w:basedOn w:val="5"/>
    <w:qFormat/>
    <w:uiPriority w:val="0"/>
    <w:pPr>
      <w:spacing w:before="0" w:after="0" w:line="520" w:lineRule="exact"/>
    </w:pPr>
    <w:rPr>
      <w:rFonts w:ascii="Times New Roman" w:hAnsi="Times New Roman"/>
      <w:sz w:val="30"/>
      <w:szCs w:val="20"/>
    </w:rPr>
  </w:style>
  <w:style w:type="paragraph" w:customStyle="1" w:styleId="107">
    <w:name w:val="zl正文"/>
    <w:basedOn w:val="1"/>
    <w:qFormat/>
    <w:uiPriority w:val="0"/>
    <w:pPr>
      <w:spacing w:line="360" w:lineRule="auto"/>
      <w:ind w:firstLine="480" w:firstLineChars="200"/>
    </w:pPr>
    <w:rPr>
      <w:kern w:val="0"/>
      <w:sz w:val="24"/>
    </w:rPr>
  </w:style>
  <w:style w:type="paragraph" w:customStyle="1" w:styleId="108">
    <w:name w:val="0表格格式"/>
    <w:basedOn w:val="1"/>
    <w:qFormat/>
    <w:uiPriority w:val="0"/>
    <w:pPr>
      <w:widowControl/>
      <w:jc w:val="center"/>
    </w:pPr>
    <w:rPr>
      <w:kern w:val="0"/>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png"/><Relationship Id="rId94" Type="http://schemas.openxmlformats.org/officeDocument/2006/relationships/image" Target="media/image78.png"/><Relationship Id="rId93" Type="http://schemas.openxmlformats.org/officeDocument/2006/relationships/image" Target="media/image77.png"/><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png"/><Relationship Id="rId9" Type="http://schemas.openxmlformats.org/officeDocument/2006/relationships/footer" Target="footer7.xml"/><Relationship Id="rId89" Type="http://schemas.openxmlformats.org/officeDocument/2006/relationships/image" Target="media/image73.pn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footer" Target="footer6.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5.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4.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jpe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jpe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13.xml"/><Relationship Id="rId14" Type="http://schemas.openxmlformats.org/officeDocument/2006/relationships/footer" Target="footer12.xml"/><Relationship Id="rId131" Type="http://schemas.openxmlformats.org/officeDocument/2006/relationships/fontTable" Target="fontTable.xml"/><Relationship Id="rId130" Type="http://schemas.openxmlformats.org/officeDocument/2006/relationships/numbering" Target="numbering.xml"/><Relationship Id="rId13" Type="http://schemas.openxmlformats.org/officeDocument/2006/relationships/footer" Target="footer11.xml"/><Relationship Id="rId129" Type="http://schemas.openxmlformats.org/officeDocument/2006/relationships/customXml" Target="../customXml/item1.xml"/><Relationship Id="rId128" Type="http://schemas.openxmlformats.org/officeDocument/2006/relationships/image" Target="media/image112.png"/><Relationship Id="rId127" Type="http://schemas.openxmlformats.org/officeDocument/2006/relationships/image" Target="media/image111.pn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footer" Target="footer10.xml"/><Relationship Id="rId119" Type="http://schemas.openxmlformats.org/officeDocument/2006/relationships/image" Target="media/image103.png"/><Relationship Id="rId118" Type="http://schemas.openxmlformats.org/officeDocument/2006/relationships/image" Target="media/image102.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footer" Target="footer9.xml"/><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DoubleOX</Company>
  <Pages>160</Pages>
  <Words>43120</Words>
  <Characters>49148</Characters>
  <Lines>3</Lines>
  <Paragraphs>1</Paragraphs>
  <TotalTime>4</TotalTime>
  <ScaleCrop>false</ScaleCrop>
  <LinksUpToDate>false</LinksUpToDate>
  <CharactersWithSpaces>49979</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2021-05-11T07:02:00Z</dcterms:created>
  <dc:creator>Schnappi</dc:creator>
  <cp:lastModifiedBy>怨源缘</cp:lastModifiedBy>
  <cp:lastPrinted>2023-11-30T08:39:00Z</cp:lastPrinted>
  <dcterms:modified xsi:type="dcterms:W3CDTF">2023-12-20T03:57:21Z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271B8C5166AC449799D4062983C3F344_13</vt:lpwstr>
  </property>
  <property fmtid="{D5CDD505-2E9C-101B-9397-08002B2CF9AE}" pid="4" name="commondata">
    <vt:lpwstr>eyJoZGlkIjoiYjAxZWIzZTM4ZDNiZjA1OTc4ZTViY2I5NDQ1ZGU0ZDEifQ==</vt:lpwstr>
  </property>
</Properties>
</file>