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黑体" w:cs="Times New Roman"/>
          <w:b/>
          <w:sz w:val="30"/>
          <w:szCs w:val="30"/>
        </w:rPr>
      </w:pPr>
      <w:r>
        <w:rPr>
          <w:rFonts w:eastAsia="黑体" w:cs="Times New Roman"/>
          <w:b/>
          <w:sz w:val="30"/>
          <w:szCs w:val="30"/>
        </w:rPr>
        <w:t>建设项目基本情况</w:t>
      </w:r>
    </w:p>
    <w:tbl>
      <w:tblPr>
        <w:tblStyle w:val="21"/>
        <w:tblW w:w="1031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1022"/>
        <w:gridCol w:w="3499"/>
        <w:gridCol w:w="1985"/>
        <w:gridCol w:w="380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建设项目名称</w:t>
            </w:r>
          </w:p>
        </w:tc>
        <w:tc>
          <w:tcPr>
            <w:tcW w:w="9290" w:type="dxa"/>
            <w:gridSpan w:val="3"/>
            <w:tcBorders>
              <w:tl2br w:val="nil"/>
              <w:tr2bl w:val="nil"/>
            </w:tcBorders>
            <w:vAlign w:val="center"/>
          </w:tcPr>
          <w:p>
            <w:pPr>
              <w:spacing w:line="320" w:lineRule="exact"/>
              <w:ind w:firstLine="0" w:firstLineChars="0"/>
              <w:jc w:val="center"/>
            </w:pPr>
            <w:r>
              <w:rPr>
                <w:rFonts w:hint="eastAsia"/>
                <w:color w:val="000000"/>
                <w:lang w:val="en-US" w:eastAsia="zh-CN"/>
              </w:rPr>
              <w:t>河南省佼佼者食品有限公司扶贫车间建设项目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项目代码</w:t>
            </w:r>
          </w:p>
        </w:tc>
        <w:tc>
          <w:tcPr>
            <w:tcW w:w="9290" w:type="dxa"/>
            <w:gridSpan w:val="3"/>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color w:val="000000"/>
                <w:lang w:val="en-US" w:eastAsia="zh-CN"/>
              </w:rPr>
              <w:t>2306</w:t>
            </w:r>
            <w:r>
              <w:rPr>
                <w:color w:val="000000"/>
              </w:rPr>
              <w:t>-410423-04-01-</w:t>
            </w:r>
            <w:r>
              <w:rPr>
                <w:rFonts w:hint="eastAsia"/>
                <w:color w:val="000000"/>
                <w:lang w:val="en-US" w:eastAsia="zh-CN"/>
              </w:rPr>
              <w:t>894689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建设单位联系人</w:t>
            </w:r>
          </w:p>
        </w:tc>
        <w:tc>
          <w:tcPr>
            <w:tcW w:w="3499" w:type="dxa"/>
            <w:tcBorders>
              <w:tl2br w:val="nil"/>
              <w:tr2bl w:val="nil"/>
            </w:tcBorders>
            <w:vAlign w:val="center"/>
          </w:tcPr>
          <w:p>
            <w:pPr>
              <w:spacing w:line="320" w:lineRule="exact"/>
              <w:ind w:firstLine="0" w:firstLineChars="0"/>
              <w:jc w:val="center"/>
            </w:pPr>
            <w:r>
              <w:rPr>
                <w:rFonts w:hint="eastAsia"/>
                <w:spacing w:val="3"/>
                <w:lang w:eastAsia="zh-CN"/>
              </w:rPr>
              <w:t>李建生</w:t>
            </w:r>
          </w:p>
        </w:tc>
        <w:tc>
          <w:tcPr>
            <w:tcW w:w="1985" w:type="dxa"/>
            <w:tcBorders>
              <w:tl2br w:val="nil"/>
              <w:tr2bl w:val="nil"/>
            </w:tcBorders>
            <w:vAlign w:val="center"/>
          </w:tcPr>
          <w:p>
            <w:pPr>
              <w:spacing w:line="320" w:lineRule="exact"/>
              <w:ind w:firstLine="0" w:firstLineChars="0"/>
              <w:jc w:val="center"/>
            </w:pPr>
            <w:r>
              <w:t>联系方式</w:t>
            </w:r>
          </w:p>
        </w:tc>
        <w:tc>
          <w:tcPr>
            <w:tcW w:w="3806" w:type="dxa"/>
            <w:tcBorders>
              <w:tl2br w:val="nil"/>
              <w:tr2bl w:val="nil"/>
            </w:tcBorders>
            <w:vAlign w:val="center"/>
          </w:tcPr>
          <w:p>
            <w:pPr>
              <w:spacing w:line="320" w:lineRule="exact"/>
              <w:ind w:firstLine="0" w:firstLineChars="0"/>
              <w:jc w:val="center"/>
            </w:pPr>
            <w:r>
              <w:rPr>
                <w:rFonts w:hint="eastAsia"/>
                <w:lang w:val="en-US" w:eastAsia="zh-CN"/>
              </w:rPr>
              <w:t>13837121388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建设地点</w:t>
            </w:r>
          </w:p>
        </w:tc>
        <w:tc>
          <w:tcPr>
            <w:tcW w:w="9290" w:type="dxa"/>
            <w:gridSpan w:val="3"/>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color w:val="000000"/>
              </w:rPr>
              <w:t>平顶山市鲁山县</w:t>
            </w:r>
            <w:r>
              <w:rPr>
                <w:rFonts w:hint="eastAsia"/>
                <w:color w:val="000000"/>
                <w:lang w:val="en-US" w:eastAsia="zh-CN"/>
              </w:rPr>
              <w:t>张良镇福林村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地理坐标</w:t>
            </w:r>
          </w:p>
        </w:tc>
        <w:tc>
          <w:tcPr>
            <w:tcW w:w="9290" w:type="dxa"/>
            <w:gridSpan w:val="3"/>
            <w:tcBorders>
              <w:tl2br w:val="nil"/>
              <w:tr2bl w:val="nil"/>
            </w:tcBorders>
            <w:vAlign w:val="center"/>
          </w:tcPr>
          <w:p>
            <w:pPr>
              <w:spacing w:line="320" w:lineRule="exact"/>
              <w:ind w:firstLine="0" w:firstLineChars="0"/>
              <w:jc w:val="center"/>
            </w:pPr>
            <w:r>
              <w:rPr>
                <w:u w:val="single"/>
              </w:rPr>
              <w:t>11</w:t>
            </w:r>
            <w:r>
              <w:rPr>
                <w:rFonts w:hint="eastAsia"/>
                <w:u w:val="single"/>
                <w:lang w:val="en-US" w:eastAsia="zh-CN"/>
              </w:rPr>
              <w:t>3</w:t>
            </w:r>
            <w:r>
              <w:t>度</w:t>
            </w:r>
            <w:r>
              <w:rPr>
                <w:rFonts w:hint="eastAsia"/>
                <w:u w:val="single"/>
                <w:lang w:val="en-US" w:eastAsia="zh-CN"/>
              </w:rPr>
              <w:t>01</w:t>
            </w:r>
            <w:r>
              <w:t>分</w:t>
            </w:r>
            <w:r>
              <w:rPr>
                <w:rFonts w:hint="eastAsia"/>
                <w:u w:val="single"/>
                <w:lang w:val="en-US" w:eastAsia="zh-CN"/>
              </w:rPr>
              <w:t>48.788</w:t>
            </w:r>
            <w:r>
              <w:t>秒，</w:t>
            </w:r>
            <w:r>
              <w:rPr>
                <w:u w:val="single"/>
              </w:rPr>
              <w:t>33</w:t>
            </w:r>
            <w:r>
              <w:t>度</w:t>
            </w:r>
            <w:r>
              <w:rPr>
                <w:rFonts w:hint="eastAsia"/>
                <w:u w:val="single"/>
                <w:lang w:val="en-US" w:eastAsia="zh-CN"/>
              </w:rPr>
              <w:t>40</w:t>
            </w:r>
            <w:r>
              <w:t>分</w:t>
            </w:r>
            <w:r>
              <w:rPr>
                <w:rFonts w:hint="eastAsia"/>
                <w:u w:val="single"/>
                <w:lang w:val="en-US" w:eastAsia="zh-CN"/>
              </w:rPr>
              <w:t>41.375</w:t>
            </w:r>
            <w:r>
              <w:t>秒</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1"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国民经济</w:t>
            </w:r>
          </w:p>
          <w:p>
            <w:pPr>
              <w:spacing w:line="320" w:lineRule="exact"/>
              <w:ind w:firstLine="0" w:firstLineChars="0"/>
              <w:jc w:val="center"/>
            </w:pPr>
            <w:r>
              <w:t>行业类别</w:t>
            </w:r>
          </w:p>
        </w:tc>
        <w:tc>
          <w:tcPr>
            <w:tcW w:w="3499" w:type="dxa"/>
            <w:tcBorders>
              <w:tl2br w:val="nil"/>
              <w:tr2bl w:val="nil"/>
            </w:tcBorders>
            <w:vAlign w:val="center"/>
          </w:tcPr>
          <w:p>
            <w:pPr>
              <w:spacing w:line="320" w:lineRule="exact"/>
              <w:ind w:firstLine="0" w:firstLineChars="0"/>
              <w:jc w:val="center"/>
            </w:pPr>
            <w:r>
              <w:rPr>
                <w:color w:val="000000"/>
              </w:rPr>
              <w:t>C14</w:t>
            </w:r>
            <w:r>
              <w:rPr>
                <w:rFonts w:hint="eastAsia"/>
                <w:color w:val="000000"/>
                <w:lang w:val="en-US" w:eastAsia="zh-CN"/>
              </w:rPr>
              <w:t>6</w:t>
            </w:r>
            <w:r>
              <w:rPr>
                <w:rFonts w:hint="eastAsia"/>
                <w:lang w:val="en-US" w:eastAsia="zh-CN"/>
              </w:rPr>
              <w:t>9</w:t>
            </w:r>
            <w:r>
              <w:rPr>
                <w:rFonts w:hint="default"/>
              </w:rPr>
              <w:t>其他调味品、发酵制品制造</w:t>
            </w:r>
          </w:p>
        </w:tc>
        <w:tc>
          <w:tcPr>
            <w:tcW w:w="1985" w:type="dxa"/>
            <w:tcBorders>
              <w:tl2br w:val="nil"/>
              <w:tr2bl w:val="nil"/>
            </w:tcBorders>
            <w:vAlign w:val="center"/>
          </w:tcPr>
          <w:p>
            <w:pPr>
              <w:spacing w:line="320" w:lineRule="exact"/>
              <w:ind w:firstLine="0" w:firstLineChars="0"/>
              <w:jc w:val="center"/>
            </w:pPr>
            <w:bookmarkStart w:id="0" w:name="_Hlk49843745"/>
            <w:r>
              <w:t>建设项目</w:t>
            </w:r>
          </w:p>
          <w:p>
            <w:pPr>
              <w:spacing w:line="320" w:lineRule="exact"/>
              <w:ind w:firstLine="0" w:firstLineChars="0"/>
              <w:jc w:val="center"/>
            </w:pPr>
            <w:r>
              <w:t>行业类别</w:t>
            </w:r>
            <w:bookmarkEnd w:id="0"/>
          </w:p>
        </w:tc>
        <w:tc>
          <w:tcPr>
            <w:tcW w:w="3806" w:type="dxa"/>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rPr>
              <w:t>十一、食品制造业</w:t>
            </w:r>
            <w:r>
              <w:t>14</w:t>
            </w:r>
            <w:r>
              <w:rPr>
                <w:rFonts w:hint="eastAsia"/>
                <w:lang w:eastAsia="zh-CN"/>
              </w:rPr>
              <w:t>，</w:t>
            </w:r>
            <w:r>
              <w:rPr>
                <w:rFonts w:hint="eastAsia"/>
                <w:lang w:val="en-US" w:eastAsia="zh-CN"/>
              </w:rPr>
              <w:t>23调味品、发酵制品制造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219"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建设性质</w:t>
            </w:r>
          </w:p>
        </w:tc>
        <w:tc>
          <w:tcPr>
            <w:tcW w:w="3499" w:type="dxa"/>
            <w:tcBorders>
              <w:tl2br w:val="nil"/>
              <w:tr2bl w:val="nil"/>
            </w:tcBorders>
            <w:vAlign w:val="center"/>
          </w:tcPr>
          <w:p>
            <w:pPr>
              <w:spacing w:line="320" w:lineRule="exact"/>
              <w:ind w:firstLine="0" w:firstLineChars="0"/>
            </w:pPr>
            <w:r>
              <w:rPr>
                <w:rFonts w:ascii="Wingdings 2" w:hAnsi="Wingdings 2"/>
              </w:rPr>
              <w:t></w:t>
            </w:r>
            <w:r>
              <w:t>新建（迁建）</w:t>
            </w:r>
          </w:p>
          <w:p>
            <w:pPr>
              <w:spacing w:line="320" w:lineRule="exact"/>
              <w:ind w:firstLine="0" w:firstLineChars="0"/>
            </w:pPr>
            <w:r>
              <w:rPr/>
              <w:sym w:font="Wingdings 2" w:char="F0A3"/>
            </w:r>
            <w:r>
              <w:t>改建</w:t>
            </w:r>
          </w:p>
          <w:p>
            <w:pPr>
              <w:spacing w:line="320" w:lineRule="exact"/>
              <w:ind w:firstLine="0" w:firstLineChars="0"/>
            </w:pPr>
            <w:r>
              <w:rPr>
                <w:rFonts w:ascii="Wingdings 2" w:hAnsi="Wingdings 2"/>
              </w:rPr>
              <w:sym w:font="Wingdings 2" w:char="F0A3"/>
            </w:r>
            <w:r>
              <w:t>扩建</w:t>
            </w:r>
          </w:p>
          <w:p>
            <w:pPr>
              <w:spacing w:line="320" w:lineRule="exact"/>
              <w:ind w:firstLine="0" w:firstLineChars="0"/>
            </w:pPr>
            <w:r>
              <w:rPr/>
              <w:sym w:font="Wingdings 2" w:char="F0A3"/>
            </w:r>
            <w:r>
              <w:t>技术改造</w:t>
            </w:r>
          </w:p>
        </w:tc>
        <w:tc>
          <w:tcPr>
            <w:tcW w:w="1985" w:type="dxa"/>
            <w:tcBorders>
              <w:tl2br w:val="nil"/>
              <w:tr2bl w:val="nil"/>
            </w:tcBorders>
            <w:vAlign w:val="center"/>
          </w:tcPr>
          <w:p>
            <w:pPr>
              <w:spacing w:line="320" w:lineRule="exact"/>
              <w:ind w:firstLine="0" w:firstLineChars="0"/>
              <w:jc w:val="center"/>
            </w:pPr>
            <w:r>
              <w:t>建设项目</w:t>
            </w:r>
          </w:p>
          <w:p>
            <w:pPr>
              <w:spacing w:line="320" w:lineRule="exact"/>
              <w:ind w:firstLine="0" w:firstLineChars="0"/>
              <w:jc w:val="center"/>
            </w:pPr>
            <w:r>
              <w:t>申报情形</w:t>
            </w:r>
          </w:p>
        </w:tc>
        <w:tc>
          <w:tcPr>
            <w:tcW w:w="3806" w:type="dxa"/>
            <w:tcBorders>
              <w:tl2br w:val="nil"/>
              <w:tr2bl w:val="nil"/>
            </w:tcBorders>
            <w:vAlign w:val="center"/>
          </w:tcPr>
          <w:p>
            <w:pPr>
              <w:spacing w:line="320" w:lineRule="exact"/>
              <w:ind w:firstLine="0" w:firstLineChars="0"/>
            </w:pPr>
            <w:r>
              <w:rPr>
                <w:rFonts w:ascii="Wingdings 2" w:hAnsi="Wingdings 2"/>
              </w:rPr>
              <w:t></w:t>
            </w:r>
            <w:r>
              <w:t>首次申报项目</w:t>
            </w:r>
          </w:p>
          <w:p>
            <w:pPr>
              <w:spacing w:line="320" w:lineRule="exact"/>
              <w:ind w:firstLine="0" w:firstLineChars="0"/>
            </w:pPr>
            <w:r>
              <w:rPr/>
              <w:sym w:font="Wingdings 2" w:char="F0A3"/>
            </w:r>
            <w:r>
              <w:t>不予批准后再次申报目</w:t>
            </w:r>
          </w:p>
          <w:p>
            <w:pPr>
              <w:spacing w:line="320" w:lineRule="exact"/>
              <w:ind w:firstLine="0" w:firstLineChars="0"/>
            </w:pPr>
            <w:r>
              <w:rPr/>
              <w:sym w:font="Wingdings 2" w:char="F0A3"/>
            </w:r>
            <w:r>
              <w:t>超五年重新审核项目</w:t>
            </w:r>
          </w:p>
          <w:p>
            <w:pPr>
              <w:spacing w:line="320" w:lineRule="exact"/>
              <w:ind w:firstLine="0" w:firstLineChars="0"/>
            </w:pPr>
            <w:r>
              <w:rPr/>
              <w:sym w:font="Wingdings 2" w:char="F0A3"/>
            </w:r>
            <w:r>
              <w:t>重大变动重新报批项目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140"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项目备案部门</w:t>
            </w:r>
          </w:p>
          <w:p>
            <w:pPr>
              <w:spacing w:line="320" w:lineRule="exact"/>
              <w:ind w:firstLine="0" w:firstLineChars="0"/>
              <w:jc w:val="center"/>
            </w:pPr>
            <w:r>
              <w:t>（选填）</w:t>
            </w:r>
          </w:p>
        </w:tc>
        <w:tc>
          <w:tcPr>
            <w:tcW w:w="3499" w:type="dxa"/>
            <w:tcBorders>
              <w:tl2br w:val="nil"/>
              <w:tr2bl w:val="nil"/>
            </w:tcBorders>
            <w:vAlign w:val="center"/>
          </w:tcPr>
          <w:p>
            <w:pPr>
              <w:spacing w:line="320" w:lineRule="exact"/>
              <w:ind w:firstLine="0" w:firstLineChars="0"/>
              <w:jc w:val="center"/>
            </w:pPr>
            <w:r>
              <w:rPr>
                <w:rFonts w:hint="eastAsia"/>
                <w:color w:val="000000"/>
              </w:rPr>
              <w:t>鲁山县发展和改革委员会</w:t>
            </w:r>
          </w:p>
        </w:tc>
        <w:tc>
          <w:tcPr>
            <w:tcW w:w="1985" w:type="dxa"/>
            <w:tcBorders>
              <w:tl2br w:val="nil"/>
              <w:tr2bl w:val="nil"/>
            </w:tcBorders>
            <w:vAlign w:val="center"/>
          </w:tcPr>
          <w:p>
            <w:pPr>
              <w:spacing w:line="320" w:lineRule="exact"/>
              <w:ind w:firstLine="0" w:firstLineChars="0"/>
              <w:jc w:val="center"/>
            </w:pPr>
            <w:r>
              <w:t>项目审批（核准/</w:t>
            </w:r>
          </w:p>
          <w:p>
            <w:pPr>
              <w:spacing w:line="320" w:lineRule="exact"/>
              <w:ind w:firstLine="0" w:firstLineChars="0"/>
              <w:jc w:val="center"/>
            </w:pPr>
            <w:r>
              <w:t>备案）文号</w:t>
            </w:r>
          </w:p>
          <w:p>
            <w:pPr>
              <w:spacing w:line="320" w:lineRule="exact"/>
              <w:ind w:firstLine="0" w:firstLineChars="0"/>
              <w:jc w:val="center"/>
            </w:pPr>
            <w:r>
              <w:t>（选填）</w:t>
            </w:r>
          </w:p>
        </w:tc>
        <w:tc>
          <w:tcPr>
            <w:tcW w:w="3806" w:type="dxa"/>
            <w:tcBorders>
              <w:tl2br w:val="nil"/>
              <w:tr2bl w:val="nil"/>
            </w:tcBorders>
            <w:vAlign w:val="center"/>
          </w:tcPr>
          <w:p>
            <w:pPr>
              <w:spacing w:line="320" w:lineRule="exact"/>
              <w:ind w:firstLine="0" w:firstLineChars="0"/>
              <w:jc w:val="center"/>
            </w:pPr>
            <w:r>
              <w:rPr>
                <w:rFonts w:hint="eastAsia"/>
                <w:color w:val="000000"/>
                <w:lang w:val="en-US" w:eastAsia="zh-CN"/>
              </w:rPr>
              <w:t>2306</w:t>
            </w:r>
            <w:r>
              <w:rPr>
                <w:color w:val="000000"/>
              </w:rPr>
              <w:t>-410423-04-01-</w:t>
            </w:r>
            <w:r>
              <w:rPr>
                <w:rFonts w:hint="eastAsia"/>
                <w:color w:val="000000"/>
                <w:lang w:val="en-US" w:eastAsia="zh-CN"/>
              </w:rPr>
              <w:t>894689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总投资（万元）</w:t>
            </w:r>
          </w:p>
        </w:tc>
        <w:tc>
          <w:tcPr>
            <w:tcW w:w="3499" w:type="dxa"/>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lang w:val="en-US" w:eastAsia="zh-CN"/>
              </w:rPr>
              <w:t>101</w:t>
            </w:r>
          </w:p>
        </w:tc>
        <w:tc>
          <w:tcPr>
            <w:tcW w:w="1985" w:type="dxa"/>
            <w:tcBorders>
              <w:tl2br w:val="nil"/>
              <w:tr2bl w:val="nil"/>
            </w:tcBorders>
            <w:tcMar>
              <w:top w:w="16" w:type="dxa"/>
              <w:left w:w="16" w:type="dxa"/>
              <w:right w:w="16" w:type="dxa"/>
            </w:tcMar>
            <w:vAlign w:val="center"/>
          </w:tcPr>
          <w:p>
            <w:pPr>
              <w:spacing w:line="320" w:lineRule="exact"/>
              <w:ind w:firstLine="0" w:firstLineChars="0"/>
              <w:jc w:val="center"/>
            </w:pPr>
            <w:r>
              <w:t>环保投资（万元）</w:t>
            </w:r>
          </w:p>
        </w:tc>
        <w:tc>
          <w:tcPr>
            <w:tcW w:w="3806" w:type="dxa"/>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lang w:val="en-US" w:eastAsia="zh-CN"/>
              </w:rPr>
              <w:t>18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97"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环保投资占比（%）</w:t>
            </w:r>
          </w:p>
        </w:tc>
        <w:tc>
          <w:tcPr>
            <w:tcW w:w="3499" w:type="dxa"/>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lang w:val="en-US" w:eastAsia="zh-CN"/>
              </w:rPr>
              <w:t>17.8</w:t>
            </w:r>
          </w:p>
        </w:tc>
        <w:tc>
          <w:tcPr>
            <w:tcW w:w="1985" w:type="dxa"/>
            <w:tcBorders>
              <w:tl2br w:val="nil"/>
              <w:tr2bl w:val="nil"/>
            </w:tcBorders>
            <w:tcMar>
              <w:top w:w="16" w:type="dxa"/>
              <w:left w:w="16" w:type="dxa"/>
              <w:right w:w="16" w:type="dxa"/>
            </w:tcMar>
            <w:vAlign w:val="center"/>
          </w:tcPr>
          <w:p>
            <w:pPr>
              <w:spacing w:line="320" w:lineRule="exact"/>
              <w:ind w:firstLine="0" w:firstLineChars="0"/>
              <w:jc w:val="center"/>
            </w:pPr>
            <w:r>
              <w:t>施工工期</w:t>
            </w:r>
          </w:p>
        </w:tc>
        <w:tc>
          <w:tcPr>
            <w:tcW w:w="3806" w:type="dxa"/>
            <w:tcBorders>
              <w:tl2br w:val="nil"/>
              <w:tr2bl w:val="nil"/>
            </w:tcBorders>
            <w:vAlign w:val="center"/>
          </w:tcPr>
          <w:p>
            <w:pPr>
              <w:spacing w:line="320" w:lineRule="exact"/>
              <w:ind w:firstLine="0" w:firstLineChars="0"/>
              <w:jc w:val="center"/>
            </w:pPr>
            <w:r>
              <w:rPr>
                <w:rFonts w:hint="eastAsia"/>
                <w:lang w:val="en-US" w:eastAsia="zh-CN"/>
              </w:rPr>
              <w:t>3</w:t>
            </w:r>
            <w:r>
              <w:t>个月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170" w:hRule="atLeast"/>
          <w:jc w:val="center"/>
        </w:trPr>
        <w:tc>
          <w:tcPr>
            <w:tcW w:w="1022" w:type="dxa"/>
            <w:tcBorders>
              <w:tl2br w:val="nil"/>
              <w:tr2bl w:val="nil"/>
            </w:tcBorders>
            <w:tcMar>
              <w:top w:w="16" w:type="dxa"/>
              <w:left w:w="16" w:type="dxa"/>
              <w:right w:w="16" w:type="dxa"/>
            </w:tcMar>
            <w:vAlign w:val="center"/>
          </w:tcPr>
          <w:p>
            <w:pPr>
              <w:spacing w:line="320" w:lineRule="exact"/>
              <w:ind w:firstLine="0" w:firstLineChars="0"/>
              <w:jc w:val="center"/>
            </w:pPr>
            <w:r>
              <w:t>是否开工建设</w:t>
            </w:r>
          </w:p>
        </w:tc>
        <w:tc>
          <w:tcPr>
            <w:tcW w:w="3499" w:type="dxa"/>
            <w:tcBorders>
              <w:tl2br w:val="nil"/>
              <w:tr2bl w:val="nil"/>
            </w:tcBorders>
            <w:vAlign w:val="center"/>
          </w:tcPr>
          <w:p>
            <w:pPr>
              <w:spacing w:line="320" w:lineRule="exact"/>
              <w:ind w:firstLine="0" w:firstLineChars="0"/>
            </w:pPr>
            <w:r>
              <w:rPr>
                <w:rFonts w:ascii="Wingdings 2" w:hAnsi="Wingdings 2"/>
              </w:rPr>
              <w:t></w:t>
            </w:r>
            <w:r>
              <w:t>否</w:t>
            </w:r>
          </w:p>
          <w:p>
            <w:pPr>
              <w:spacing w:line="320" w:lineRule="exact"/>
              <w:ind w:firstLine="0" w:firstLineChars="0"/>
            </w:pPr>
            <w:r>
              <w:rPr>
                <w:rFonts w:ascii="Wingdings 2" w:hAnsi="Wingdings 2"/>
              </w:rPr>
              <w:sym w:font="Wingdings 2" w:char="F0A3"/>
            </w:r>
            <w:r>
              <w:t>是：</w:t>
            </w:r>
          </w:p>
        </w:tc>
        <w:tc>
          <w:tcPr>
            <w:tcW w:w="1985" w:type="dxa"/>
            <w:tcBorders>
              <w:tl2br w:val="nil"/>
              <w:tr2bl w:val="nil"/>
            </w:tcBorders>
            <w:tcMar>
              <w:top w:w="16" w:type="dxa"/>
              <w:left w:w="16" w:type="dxa"/>
              <w:right w:w="16" w:type="dxa"/>
            </w:tcMar>
            <w:vAlign w:val="center"/>
          </w:tcPr>
          <w:p>
            <w:pPr>
              <w:spacing w:line="320" w:lineRule="exact"/>
              <w:ind w:firstLine="0" w:firstLineChars="0"/>
              <w:jc w:val="center"/>
            </w:pPr>
            <w:r>
              <w:rPr>
                <w:spacing w:val="-6"/>
              </w:rPr>
              <w:t>用地面积（m</w:t>
            </w:r>
            <w:r>
              <w:rPr>
                <w:spacing w:val="-6"/>
                <w:vertAlign w:val="superscript"/>
              </w:rPr>
              <w:t>2</w:t>
            </w:r>
            <w:r>
              <w:rPr>
                <w:spacing w:val="-6"/>
              </w:rPr>
              <w:t>）</w:t>
            </w:r>
          </w:p>
        </w:tc>
        <w:tc>
          <w:tcPr>
            <w:tcW w:w="3806" w:type="dxa"/>
            <w:tcBorders>
              <w:tl2br w:val="nil"/>
              <w:tr2bl w:val="nil"/>
            </w:tcBorders>
            <w:vAlign w:val="center"/>
          </w:tcPr>
          <w:p>
            <w:pPr>
              <w:spacing w:line="320" w:lineRule="exact"/>
              <w:ind w:firstLine="0" w:firstLineChars="0"/>
              <w:jc w:val="center"/>
              <w:rPr>
                <w:rFonts w:hint="default" w:eastAsia="宋体"/>
                <w:lang w:val="en-US" w:eastAsia="zh-CN"/>
              </w:rPr>
            </w:pPr>
            <w:r>
              <w:rPr>
                <w:rFonts w:hint="eastAsia"/>
                <w:lang w:val="en-US" w:eastAsia="zh-CN"/>
              </w:rPr>
              <w:t>1600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41" w:hRule="atLeast"/>
          <w:jc w:val="center"/>
        </w:trPr>
        <w:tc>
          <w:tcPr>
            <w:tcW w:w="1022" w:type="dxa"/>
            <w:tcBorders>
              <w:tl2br w:val="nil"/>
              <w:tr2bl w:val="nil"/>
            </w:tcBorders>
            <w:vAlign w:val="center"/>
          </w:tcPr>
          <w:p>
            <w:pPr>
              <w:spacing w:line="320" w:lineRule="exact"/>
              <w:ind w:firstLine="0" w:firstLineChars="0"/>
              <w:jc w:val="center"/>
              <w:rPr>
                <w:kern w:val="0"/>
              </w:rPr>
            </w:pPr>
            <w:r>
              <w:rPr>
                <w:kern w:val="0"/>
              </w:rPr>
              <w:t>专项评价设置情况</w:t>
            </w:r>
          </w:p>
        </w:tc>
        <w:tc>
          <w:tcPr>
            <w:tcW w:w="9290" w:type="dxa"/>
            <w:gridSpan w:val="3"/>
            <w:tcBorders>
              <w:tl2br w:val="nil"/>
              <w:tr2bl w:val="nil"/>
            </w:tcBorders>
            <w:vAlign w:val="center"/>
          </w:tcPr>
          <w:p>
            <w:pPr>
              <w:spacing w:line="320" w:lineRule="exact"/>
              <w:ind w:firstLine="0" w:firstLineChars="0"/>
              <w:jc w:val="center"/>
              <w:rPr>
                <w:kern w:val="0"/>
              </w:rPr>
            </w:pPr>
            <w:r>
              <w:rPr>
                <w:rFonts w:hint="eastAsia"/>
                <w:kern w:val="0"/>
              </w:rPr>
              <w:t>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1" w:hRule="atLeast"/>
          <w:jc w:val="center"/>
        </w:trPr>
        <w:tc>
          <w:tcPr>
            <w:tcW w:w="1022" w:type="dxa"/>
            <w:tcBorders>
              <w:tl2br w:val="nil"/>
              <w:tr2bl w:val="nil"/>
            </w:tcBorders>
            <w:vAlign w:val="center"/>
          </w:tcPr>
          <w:p>
            <w:pPr>
              <w:spacing w:line="320" w:lineRule="exact"/>
              <w:ind w:firstLine="0" w:firstLineChars="0"/>
              <w:jc w:val="center"/>
              <w:rPr>
                <w:kern w:val="0"/>
              </w:rPr>
            </w:pPr>
            <w:r>
              <w:t>规划情况</w:t>
            </w:r>
          </w:p>
        </w:tc>
        <w:tc>
          <w:tcPr>
            <w:tcW w:w="9290" w:type="dxa"/>
            <w:gridSpan w:val="3"/>
            <w:tcBorders>
              <w:tl2br w:val="nil"/>
              <w:tr2bl w:val="nil"/>
            </w:tcBorders>
            <w:vAlign w:val="center"/>
          </w:tcPr>
          <w:p>
            <w:pPr>
              <w:spacing w:line="320" w:lineRule="exact"/>
              <w:ind w:firstLine="0" w:firstLineChars="0"/>
              <w:jc w:val="center"/>
              <w:rPr>
                <w:kern w:val="0"/>
              </w:rPr>
            </w:pPr>
            <w:r>
              <w:rPr>
                <w:kern w:val="0"/>
              </w:rPr>
              <w:t>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01" w:hRule="atLeast"/>
          <w:jc w:val="center"/>
        </w:trPr>
        <w:tc>
          <w:tcPr>
            <w:tcW w:w="1022" w:type="dxa"/>
            <w:tcBorders>
              <w:tl2br w:val="nil"/>
              <w:tr2bl w:val="nil"/>
            </w:tcBorders>
            <w:vAlign w:val="center"/>
          </w:tcPr>
          <w:p>
            <w:pPr>
              <w:spacing w:line="320" w:lineRule="exact"/>
              <w:ind w:firstLine="0" w:firstLineChars="0"/>
              <w:jc w:val="center"/>
            </w:pPr>
            <w:r>
              <w:t>规划环境影响评价情况</w:t>
            </w:r>
          </w:p>
        </w:tc>
        <w:tc>
          <w:tcPr>
            <w:tcW w:w="9290" w:type="dxa"/>
            <w:gridSpan w:val="3"/>
            <w:tcBorders>
              <w:tl2br w:val="nil"/>
              <w:tr2bl w:val="nil"/>
            </w:tcBorders>
            <w:vAlign w:val="center"/>
          </w:tcPr>
          <w:p>
            <w:pPr>
              <w:spacing w:line="320" w:lineRule="exact"/>
              <w:ind w:firstLine="0" w:firstLineChars="0"/>
              <w:jc w:val="center"/>
              <w:rPr>
                <w:kern w:val="0"/>
              </w:rPr>
            </w:pPr>
            <w:r>
              <w:rPr>
                <w:kern w:val="0"/>
              </w:rPr>
              <w:t>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02" w:hRule="atLeast"/>
          <w:jc w:val="center"/>
        </w:trPr>
        <w:tc>
          <w:tcPr>
            <w:tcW w:w="1022" w:type="dxa"/>
            <w:tcBorders>
              <w:tl2br w:val="nil"/>
              <w:tr2bl w:val="nil"/>
            </w:tcBorders>
            <w:vAlign w:val="center"/>
          </w:tcPr>
          <w:p>
            <w:pPr>
              <w:spacing w:line="320" w:lineRule="exact"/>
              <w:ind w:firstLine="0" w:firstLineChars="0"/>
              <w:jc w:val="center"/>
              <w:rPr>
                <w:kern w:val="0"/>
              </w:rPr>
            </w:pPr>
            <w:r>
              <w:rPr>
                <w:kern w:val="0"/>
              </w:rPr>
              <w:t>规划及规划环境影响评价符合性析</w:t>
            </w:r>
          </w:p>
        </w:tc>
        <w:tc>
          <w:tcPr>
            <w:tcW w:w="9290" w:type="dxa"/>
            <w:gridSpan w:val="3"/>
            <w:tcBorders>
              <w:tl2br w:val="nil"/>
              <w:tr2bl w:val="nil"/>
            </w:tcBorders>
            <w:vAlign w:val="center"/>
          </w:tcPr>
          <w:p>
            <w:pPr>
              <w:spacing w:line="320" w:lineRule="exact"/>
              <w:ind w:firstLine="0" w:firstLineChars="0"/>
              <w:jc w:val="center"/>
              <w:rPr>
                <w:kern w:val="0"/>
              </w:rPr>
            </w:pPr>
            <w:r>
              <w:rPr>
                <w:kern w:val="0"/>
              </w:rPr>
              <w:t>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02" w:hRule="atLeast"/>
          <w:jc w:val="center"/>
        </w:trPr>
        <w:tc>
          <w:tcPr>
            <w:tcW w:w="1022" w:type="dxa"/>
            <w:tcBorders>
              <w:tl2br w:val="nil"/>
              <w:tr2bl w:val="nil"/>
            </w:tcBorders>
            <w:vAlign w:val="center"/>
          </w:tcPr>
          <w:p>
            <w:pPr>
              <w:spacing w:line="320" w:lineRule="exact"/>
              <w:ind w:firstLine="0" w:firstLineChars="0"/>
              <w:jc w:val="center"/>
              <w:rPr>
                <w:kern w:val="0"/>
              </w:rPr>
            </w:pPr>
            <w:r>
              <w:rPr>
                <w:rFonts w:hint="eastAsia"/>
                <w:kern w:val="0"/>
              </w:rPr>
              <w:t>其他符合性分析</w:t>
            </w:r>
          </w:p>
        </w:tc>
        <w:tc>
          <w:tcPr>
            <w:tcW w:w="9290" w:type="dxa"/>
            <w:gridSpan w:val="3"/>
            <w:tcBorders>
              <w:tl2br w:val="nil"/>
              <w:tr2bl w:val="nil"/>
            </w:tcBorders>
            <w:vAlign w:val="center"/>
          </w:tcPr>
          <w:p>
            <w:pPr>
              <w:adjustRightInd w:val="0"/>
              <w:snapToGrid w:val="0"/>
              <w:spacing w:line="520" w:lineRule="exact"/>
              <w:ind w:firstLine="466"/>
              <w:rPr>
                <w:rFonts w:cs="宋体"/>
                <w:b/>
                <w:color w:val="000000"/>
                <w:spacing w:val="-10"/>
                <w:kern w:val="0"/>
              </w:rPr>
            </w:pPr>
            <w:r>
              <w:rPr>
                <w:rFonts w:hint="eastAsia" w:cs="宋体"/>
                <w:b/>
                <w:color w:val="000000"/>
                <w:spacing w:val="-4"/>
                <w:kern w:val="0"/>
              </w:rPr>
              <w:t>1、与《平顶山市</w:t>
            </w:r>
            <w:r>
              <w:rPr>
                <w:rFonts w:cs="宋体"/>
                <w:b/>
                <w:color w:val="000000"/>
                <w:spacing w:val="-4"/>
                <w:kern w:val="0"/>
              </w:rPr>
              <w:t>人民政府关于实施</w:t>
            </w:r>
            <w:r>
              <w:rPr>
                <w:rFonts w:hint="eastAsia" w:cs="宋体"/>
                <w:b/>
                <w:color w:val="000000"/>
                <w:spacing w:val="-4"/>
                <w:kern w:val="0"/>
              </w:rPr>
              <w:t>“三线一单”生态</w:t>
            </w:r>
            <w:r>
              <w:rPr>
                <w:rFonts w:cs="宋体"/>
                <w:b/>
                <w:color w:val="000000"/>
                <w:spacing w:val="-4"/>
                <w:kern w:val="0"/>
              </w:rPr>
              <w:t>环境分区管控</w:t>
            </w:r>
            <w:r>
              <w:rPr>
                <w:rFonts w:hint="eastAsia" w:cs="宋体"/>
                <w:b/>
                <w:color w:val="000000"/>
                <w:spacing w:val="-4"/>
                <w:kern w:val="0"/>
              </w:rPr>
              <w:t>的</w:t>
            </w:r>
            <w:r>
              <w:rPr>
                <w:rFonts w:cs="宋体"/>
                <w:b/>
                <w:color w:val="000000"/>
                <w:spacing w:val="-4"/>
                <w:kern w:val="0"/>
              </w:rPr>
              <w:t>意见</w:t>
            </w:r>
            <w:r>
              <w:rPr>
                <w:rFonts w:hint="eastAsia" w:cs="宋体"/>
                <w:b/>
                <w:color w:val="000000"/>
                <w:spacing w:val="-4"/>
                <w:kern w:val="0"/>
              </w:rPr>
              <w:t>》（平</w:t>
            </w:r>
            <w:r>
              <w:rPr>
                <w:rFonts w:cs="宋体"/>
                <w:b/>
                <w:color w:val="000000"/>
                <w:spacing w:val="-4"/>
                <w:kern w:val="0"/>
              </w:rPr>
              <w:t>政[2021]</w:t>
            </w:r>
            <w:r>
              <w:rPr>
                <w:rFonts w:hint="eastAsia" w:cs="宋体"/>
                <w:b/>
                <w:color w:val="000000"/>
                <w:spacing w:val="-4"/>
                <w:kern w:val="0"/>
              </w:rPr>
              <w:t>10号）相符性分析</w:t>
            </w:r>
          </w:p>
          <w:p>
            <w:pPr>
              <w:keepNext w:val="0"/>
              <w:keepLines w:val="0"/>
              <w:pageBreakBefore w:val="0"/>
              <w:widowControl w:val="0"/>
              <w:kinsoku/>
              <w:wordWrap/>
              <w:overflowPunct/>
              <w:topLinePunct w:val="0"/>
              <w:bidi w:val="0"/>
              <w:adjustRightInd/>
              <w:snapToGrid/>
              <w:spacing w:line="520" w:lineRule="exact"/>
              <w:ind w:firstLine="480"/>
              <w:textAlignment w:val="auto"/>
            </w:pPr>
            <w:r>
              <w:t>根据《河南省人民政府关于实施“三线一单”生态环境分区管控的意见》（豫政[2020]37号）、《河南省生态环境分区管控总体要求(试行)的函》（豫环函[2021]171号文）及《平顶山市人民政府关于实施“三线一单”生态环境分区管控的意见》（平政[2021]10号文）等的要求，本项目与“三线一单”相符性分析如下：</w:t>
            </w:r>
          </w:p>
          <w:p>
            <w:pPr>
              <w:pStyle w:val="52"/>
              <w:keepNext w:val="0"/>
              <w:keepLines w:val="0"/>
              <w:pageBreakBefore w:val="0"/>
              <w:widowControl w:val="0"/>
              <w:kinsoku/>
              <w:wordWrap/>
              <w:overflowPunct/>
              <w:topLinePunct w:val="0"/>
              <w:bidi w:val="0"/>
              <w:adjustRightInd/>
              <w:snapToGrid/>
              <w:spacing w:line="520" w:lineRule="exact"/>
              <w:ind w:firstLine="480"/>
              <w:textAlignment w:val="auto"/>
              <w:rPr>
                <w:sz w:val="24"/>
              </w:rPr>
            </w:pPr>
            <w:r>
              <w:rPr>
                <w:rFonts w:hint="eastAsia" w:ascii="宋体" w:hAnsi="宋体" w:cs="宋体"/>
                <w:sz w:val="24"/>
              </w:rPr>
              <w:t>①</w:t>
            </w:r>
            <w:r>
              <w:rPr>
                <w:sz w:val="24"/>
              </w:rPr>
              <w:t>生态保护红线：根据《河南省“三线一单”研究报告》和《河南省“三线一单”文本》中生态保护红线划定结果，最终确定全省生态保护红线面积14153.88km</w:t>
            </w:r>
            <w:r>
              <w:rPr>
                <w:sz w:val="24"/>
                <w:vertAlign w:val="superscript"/>
              </w:rPr>
              <w:t>2</w:t>
            </w:r>
            <w:r>
              <w:rPr>
                <w:sz w:val="24"/>
              </w:rPr>
              <w:t>，占全国土面积的8.54%，主要分布于北部的太行山区，西部的小秦岭、崤山、熊耳山、伏牛山和外方山区，南部的桐柏山和大别山区，零星分布于南水北调中线干渠沿线、黄河干流沿线、淮河干流沿线、豫北平原和黄淮平原，总体分布格局为“三屏多点”。从北向南包括太行山区生态屏障、秦岭东部山区生态屏障、桐柏-大别山区生态屏障。</w:t>
            </w:r>
          </w:p>
          <w:p>
            <w:pPr>
              <w:keepNext w:val="0"/>
              <w:keepLines w:val="0"/>
              <w:pageBreakBefore w:val="0"/>
              <w:widowControl w:val="0"/>
              <w:kinsoku/>
              <w:wordWrap/>
              <w:overflowPunct/>
              <w:topLinePunct w:val="0"/>
              <w:bidi w:val="0"/>
              <w:adjustRightInd/>
              <w:snapToGrid/>
              <w:spacing w:line="520" w:lineRule="exact"/>
              <w:ind w:firstLine="480"/>
              <w:textAlignment w:val="auto"/>
            </w:pPr>
            <w:r>
              <w:t>本项目位于</w:t>
            </w:r>
            <w:r>
              <w:rPr>
                <w:rFonts w:hint="eastAsia"/>
                <w:color w:val="000000"/>
              </w:rPr>
              <w:t>平顶山市鲁山县</w:t>
            </w:r>
            <w:r>
              <w:rPr>
                <w:rFonts w:hint="eastAsia"/>
                <w:color w:val="000000"/>
                <w:lang w:val="en-US" w:eastAsia="zh-CN"/>
              </w:rPr>
              <w:t>张良镇福林村</w:t>
            </w:r>
            <w:r>
              <w:t>，根据现场勘察，项目周边无自然保护区、风景名胜区、世界文化和自然遗产、饮用水源保护区等环境敏感区，也不在鲁山县划定的生态红线保护区范围内。同时</w:t>
            </w:r>
            <w:r>
              <w:rPr>
                <w:rFonts w:hint="eastAsia"/>
              </w:rPr>
              <w:t>对照</w:t>
            </w:r>
            <w:r>
              <w:t>《平顶山市鲁山县环境管控单元生态环境准入清单》。本项目</w:t>
            </w:r>
            <w:r>
              <w:rPr>
                <w:rFonts w:hint="eastAsia"/>
              </w:rPr>
              <w:t>不在鲁山县生态保护红线、鲁山县水优先保护区、鲁山县城镇重点单元、鲁山县大气重点单元范围内，本项目属于鲁山县一般管控单元</w:t>
            </w:r>
            <w:r>
              <w:t>。因此，本项目的实施与生态保护红线不冲突。</w:t>
            </w:r>
          </w:p>
          <w:p>
            <w:pPr>
              <w:pStyle w:val="52"/>
              <w:keepNext w:val="0"/>
              <w:keepLines w:val="0"/>
              <w:pageBreakBefore w:val="0"/>
              <w:widowControl w:val="0"/>
              <w:kinsoku/>
              <w:wordWrap/>
              <w:overflowPunct/>
              <w:topLinePunct w:val="0"/>
              <w:bidi w:val="0"/>
              <w:adjustRightInd/>
              <w:snapToGrid/>
              <w:spacing w:line="520" w:lineRule="exact"/>
              <w:ind w:firstLine="480"/>
              <w:textAlignment w:val="auto"/>
              <w:rPr>
                <w:sz w:val="24"/>
              </w:rPr>
            </w:pPr>
            <w:r>
              <w:rPr>
                <w:rFonts w:hint="eastAsia" w:ascii="宋体" w:hAnsi="宋体" w:cs="宋体"/>
                <w:sz w:val="24"/>
              </w:rPr>
              <w:t>②</w:t>
            </w:r>
            <w:r>
              <w:rPr>
                <w:sz w:val="24"/>
              </w:rPr>
              <w:t>环境质量底线：区域环境空气属于《环境空气质量标准》（GB3095-2012）中二类功能区</w:t>
            </w:r>
            <w:r>
              <w:rPr>
                <w:rFonts w:hint="eastAsia"/>
                <w:sz w:val="24"/>
                <w:lang w:eastAsia="zh-CN"/>
              </w:rPr>
              <w:t>，</w:t>
            </w:r>
            <w:r>
              <w:rPr>
                <w:color w:val="auto"/>
                <w:sz w:val="24"/>
              </w:rPr>
              <w:t>区域地表水水环境功能属于《地表水环境质量标准》（GB3838-2002）中Ⅲ类功能区</w:t>
            </w:r>
            <w:r>
              <w:rPr>
                <w:rFonts w:hint="eastAsia"/>
                <w:color w:val="auto"/>
                <w:sz w:val="24"/>
                <w:lang w:eastAsia="zh-CN"/>
              </w:rPr>
              <w:t>，</w:t>
            </w:r>
            <w:r>
              <w:rPr>
                <w:color w:val="auto"/>
                <w:sz w:val="24"/>
              </w:rPr>
              <w:t>区域</w:t>
            </w:r>
            <w:r>
              <w:rPr>
                <w:sz w:val="24"/>
              </w:rPr>
              <w:t>声环境属于《声环境质量标准》（GB3096-2008）中</w:t>
            </w:r>
            <w:r>
              <w:rPr>
                <w:rFonts w:hint="eastAsia"/>
                <w:sz w:val="24"/>
                <w:lang w:val="en-US"/>
              </w:rPr>
              <w:t>2</w:t>
            </w:r>
            <w:r>
              <w:rPr>
                <w:sz w:val="24"/>
              </w:rPr>
              <w:t>类功能区，具有相应的环境容量。项目废气、废水、噪声经治理后可达标排放，固体废物全部妥善处理，项目三废均能有效处理，不会明显降低区域环境质量现状</w:t>
            </w:r>
            <w:r>
              <w:rPr>
                <w:rFonts w:hint="eastAsia"/>
                <w:sz w:val="24"/>
                <w:lang w:eastAsia="zh-CN"/>
              </w:rPr>
              <w:t>。</w:t>
            </w:r>
            <w:r>
              <w:rPr>
                <w:sz w:val="24"/>
              </w:rPr>
              <w:t>本项目建设不会对当地环境质量底线造成冲击。</w:t>
            </w:r>
          </w:p>
          <w:p>
            <w:pPr>
              <w:pStyle w:val="52"/>
              <w:keepNext w:val="0"/>
              <w:keepLines w:val="0"/>
              <w:pageBreakBefore w:val="0"/>
              <w:widowControl w:val="0"/>
              <w:kinsoku/>
              <w:wordWrap/>
              <w:overflowPunct/>
              <w:topLinePunct w:val="0"/>
              <w:bidi w:val="0"/>
              <w:adjustRightInd/>
              <w:snapToGrid/>
              <w:spacing w:line="520" w:lineRule="exact"/>
              <w:ind w:firstLine="480"/>
              <w:textAlignment w:val="auto"/>
              <w:rPr>
                <w:sz w:val="24"/>
              </w:rPr>
            </w:pPr>
            <w:r>
              <w:rPr>
                <w:rFonts w:hint="eastAsia" w:ascii="宋体" w:hAnsi="宋体" w:cs="宋体"/>
                <w:sz w:val="24"/>
              </w:rPr>
              <w:t>③</w:t>
            </w:r>
            <w:r>
              <w:rPr>
                <w:sz w:val="24"/>
              </w:rPr>
              <w:t>资源利用上线：本项目建成运行后通过内部管理、设备选择、原辅材料管理、废物回收利用、污染治理等多方面采取可行的防治措施，以“节能、降耗、减污”为目标，有限地控制污染，项目的水、电等资源不会突破区域的资源利用上线。</w:t>
            </w:r>
          </w:p>
          <w:p>
            <w:pPr>
              <w:pStyle w:val="52"/>
              <w:keepNext w:val="0"/>
              <w:keepLines w:val="0"/>
              <w:pageBreakBefore w:val="0"/>
              <w:widowControl w:val="0"/>
              <w:kinsoku/>
              <w:wordWrap/>
              <w:overflowPunct/>
              <w:topLinePunct w:val="0"/>
              <w:autoSpaceDE w:val="0"/>
              <w:autoSpaceDN w:val="0"/>
              <w:bidi w:val="0"/>
              <w:adjustRightInd/>
              <w:snapToGrid/>
              <w:spacing w:line="520" w:lineRule="exact"/>
              <w:ind w:firstLine="480"/>
              <w:textAlignment w:val="auto"/>
              <w:rPr>
                <w:rFonts w:ascii="Times New Roman" w:hAnsi="Times New Roman" w:eastAsia="宋体" w:cs="Times New Roman"/>
                <w:sz w:val="24"/>
                <w:szCs w:val="24"/>
              </w:rPr>
            </w:pPr>
            <w:r>
              <w:rPr>
                <w:rFonts w:hint="eastAsia" w:ascii="宋体" w:hAnsi="宋体" w:cs="宋体"/>
                <w:sz w:val="24"/>
              </w:rPr>
              <w:t>④</w:t>
            </w:r>
            <w:r>
              <w:rPr>
                <w:sz w:val="24"/>
              </w:rPr>
              <w:t>生态环境准入清单：本项目位于</w:t>
            </w:r>
            <w:r>
              <w:rPr>
                <w:rFonts w:hint="eastAsia"/>
                <w:sz w:val="24"/>
              </w:rPr>
              <w:t>平顶山市鲁山县</w:t>
            </w:r>
            <w:r>
              <w:rPr>
                <w:rFonts w:hint="eastAsia"/>
                <w:sz w:val="24"/>
                <w:lang w:val="en-US" w:eastAsia="zh-CN"/>
              </w:rPr>
              <w:t>张良镇福林村</w:t>
            </w:r>
            <w:r>
              <w:rPr>
                <w:sz w:val="24"/>
              </w:rPr>
              <w:t>，根据《平顶山市人民政府关于</w:t>
            </w:r>
            <w:r>
              <w:rPr>
                <w:sz w:val="24"/>
                <w:szCs w:val="24"/>
              </w:rPr>
              <w:t>实施“三线一单”生态环境分区管控的意见》（平政[2021]10号）</w:t>
            </w:r>
            <w:r>
              <w:rPr>
                <w:rFonts w:hint="eastAsia"/>
                <w:sz w:val="24"/>
                <w:szCs w:val="24"/>
                <w:lang w:eastAsia="zh-CN"/>
              </w:rPr>
              <w:t>，</w:t>
            </w:r>
            <w:r>
              <w:rPr>
                <w:rFonts w:hint="eastAsia"/>
                <w:sz w:val="24"/>
                <w:szCs w:val="24"/>
              </w:rPr>
              <w:t>本项目属于鲁山县一般管控单元</w:t>
            </w:r>
            <w:r>
              <w:rPr>
                <w:rFonts w:hint="eastAsia"/>
                <w:sz w:val="24"/>
                <w:szCs w:val="24"/>
                <w:lang w:eastAsia="zh-CN"/>
              </w:rPr>
              <w:t>，</w:t>
            </w:r>
            <w:r>
              <w:rPr>
                <w:rFonts w:hint="default" w:ascii="Times New Roman" w:hAnsi="Times New Roman" w:cs="Times New Roman"/>
                <w:color w:val="000000"/>
                <w:sz w:val="24"/>
                <w:szCs w:val="24"/>
                <w:lang w:val="en-US" w:eastAsia="zh-CN"/>
              </w:rPr>
              <w:t>环境管控单元编码</w:t>
            </w:r>
            <w:r>
              <w:rPr>
                <w:rFonts w:hint="eastAsia" w:ascii="Times New Roman" w:hAnsi="Times New Roman" w:cs="Times New Roman"/>
                <w:color w:val="000000"/>
                <w:sz w:val="24"/>
                <w:szCs w:val="24"/>
                <w:lang w:val="en-US" w:eastAsia="zh-CN"/>
              </w:rPr>
              <w:t>：</w:t>
            </w:r>
            <w:r>
              <w:rPr>
                <w:color w:val="000000"/>
                <w:kern w:val="0"/>
                <w:sz w:val="24"/>
                <w:szCs w:val="24"/>
              </w:rPr>
              <w:t>ZH41042330001</w:t>
            </w:r>
            <w:r>
              <w:rPr>
                <w:rFonts w:hint="eastAsia" w:ascii="Times New Roman" w:hAnsi="Times New Roman" w:eastAsia="宋体" w:cs="Times New Roman"/>
                <w:i w:val="0"/>
                <w:iCs w:val="0"/>
                <w:caps w:val="0"/>
                <w:color w:val="323232"/>
                <w:spacing w:val="0"/>
                <w:sz w:val="24"/>
                <w:szCs w:val="24"/>
                <w:lang w:eastAsia="zh-CN"/>
              </w:rPr>
              <w:t>。</w:t>
            </w:r>
            <w:r>
              <w:rPr>
                <w:rFonts w:hint="eastAsia" w:ascii="Times New Roman" w:hAnsi="Times New Roman" w:eastAsia="宋体" w:cs="Times New Roman"/>
                <w:sz w:val="24"/>
                <w:szCs w:val="24"/>
                <w:lang w:val="en-US" w:eastAsia="zh-CN"/>
              </w:rPr>
              <w:t>项目与鲁山县环境管控单元生态环境准入清单</w:t>
            </w:r>
            <w:r>
              <w:rPr>
                <w:rFonts w:ascii="Times New Roman" w:hAnsi="Times New Roman" w:eastAsia="宋体" w:cs="Times New Roman"/>
                <w:sz w:val="24"/>
                <w:szCs w:val="24"/>
              </w:rPr>
              <w:t>相符性分析见下表。</w:t>
            </w:r>
          </w:p>
          <w:p>
            <w:pPr>
              <w:spacing w:line="520" w:lineRule="exact"/>
              <w:ind w:firstLine="480"/>
              <w:jc w:val="center"/>
              <w:rPr>
                <w:rFonts w:eastAsia="黑体"/>
                <w:color w:val="000000"/>
              </w:rPr>
            </w:pPr>
            <w:r>
              <w:rPr>
                <w:rFonts w:eastAsia="黑体"/>
                <w:color w:val="000000"/>
              </w:rPr>
              <w:t>表</w:t>
            </w:r>
            <w:r>
              <w:rPr>
                <w:rFonts w:hint="eastAsia" w:eastAsia="黑体"/>
                <w:color w:val="000000"/>
              </w:rPr>
              <w:t>1-</w:t>
            </w:r>
            <w:r>
              <w:rPr>
                <w:rFonts w:hint="eastAsia" w:eastAsia="黑体"/>
                <w:color w:val="000000"/>
                <w:lang w:val="en-US" w:eastAsia="zh-CN"/>
              </w:rPr>
              <w:t xml:space="preserve">1   </w:t>
            </w:r>
            <w:r>
              <w:rPr>
                <w:rFonts w:hint="eastAsia" w:eastAsia="黑体"/>
                <w:color w:val="000000"/>
              </w:rPr>
              <w:t>鲁山县一般</w:t>
            </w:r>
            <w:r>
              <w:rPr>
                <w:rFonts w:eastAsia="黑体"/>
                <w:color w:val="000000"/>
              </w:rPr>
              <w:t>管控单元生态环境准入清单</w:t>
            </w:r>
          </w:p>
          <w:tbl>
            <w:tblPr>
              <w:tblStyle w:val="21"/>
              <w:tblW w:w="90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9"/>
              <w:gridCol w:w="1073"/>
              <w:gridCol w:w="734"/>
              <w:gridCol w:w="752"/>
              <w:gridCol w:w="2622"/>
              <w:gridCol w:w="2173"/>
              <w:gridCol w:w="8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69"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000000"/>
                      <w:sz w:val="21"/>
                    </w:rPr>
                  </w:pPr>
                  <w:r>
                    <w:rPr>
                      <w:rFonts w:hint="default" w:ascii="Times New Roman" w:hAnsi="Times New Roman" w:cs="Times New Roman"/>
                      <w:color w:val="000000"/>
                      <w:sz w:val="21"/>
                    </w:rPr>
                    <w:t>单元编码</w:t>
                  </w:r>
                </w:p>
              </w:tc>
              <w:tc>
                <w:tcPr>
                  <w:tcW w:w="10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default" w:ascii="Times New Roman" w:hAnsi="Times New Roman" w:cs="Times New Roman"/>
                      <w:color w:val="000000"/>
                      <w:sz w:val="21"/>
                    </w:rPr>
                    <w:t>环境管控单元名称</w:t>
                  </w:r>
                </w:p>
              </w:tc>
              <w:tc>
                <w:tcPr>
                  <w:tcW w:w="734"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default" w:ascii="Times New Roman" w:hAnsi="Times New Roman" w:eastAsia="宋体" w:cs="Times New Roman"/>
                      <w:color w:val="000000"/>
                      <w:sz w:val="21"/>
                    </w:rPr>
                    <w:t>单元分类</w:t>
                  </w:r>
                </w:p>
              </w:tc>
              <w:tc>
                <w:tcPr>
                  <w:tcW w:w="3374"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000000"/>
                      <w:sz w:val="21"/>
                    </w:rPr>
                  </w:pPr>
                  <w:r>
                    <w:rPr>
                      <w:rFonts w:hint="default" w:ascii="Times New Roman" w:hAnsi="Times New Roman" w:cs="Times New Roman"/>
                      <w:color w:val="000000"/>
                      <w:sz w:val="21"/>
                    </w:rPr>
                    <w:t>管控要求</w:t>
                  </w:r>
                </w:p>
              </w:tc>
              <w:tc>
                <w:tcPr>
                  <w:tcW w:w="217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Times New Roman"/>
                      <w:color w:val="000000"/>
                      <w:sz w:val="21"/>
                      <w:lang w:val="en-US" w:eastAsia="zh-CN"/>
                    </w:rPr>
                  </w:pPr>
                  <w:r>
                    <w:rPr>
                      <w:rFonts w:hint="default" w:ascii="Times New Roman" w:hAnsi="Times New Roman" w:cs="Times New Roman"/>
                      <w:color w:val="000000"/>
                      <w:sz w:val="21"/>
                    </w:rPr>
                    <w:t>项目</w:t>
                  </w:r>
                  <w:r>
                    <w:rPr>
                      <w:rFonts w:hint="eastAsia" w:cs="Times New Roman"/>
                      <w:color w:val="000000"/>
                      <w:sz w:val="21"/>
                      <w:lang w:val="en-US" w:eastAsia="zh-CN"/>
                    </w:rPr>
                    <w:t>情况</w:t>
                  </w:r>
                </w:p>
              </w:tc>
              <w:tc>
                <w:tcPr>
                  <w:tcW w:w="88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Times New Roman"/>
                      <w:color w:val="000000"/>
                      <w:sz w:val="21"/>
                      <w:lang w:val="en-US" w:eastAsia="zh-CN"/>
                    </w:rPr>
                  </w:pPr>
                  <w:r>
                    <w:rPr>
                      <w:rFonts w:hint="eastAsia" w:cs="Times New Roman"/>
                      <w:color w:val="000000"/>
                      <w:sz w:val="21"/>
                      <w:lang w:val="en-US" w:eastAsia="zh-CN"/>
                    </w:rPr>
                    <w:t>相符性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69"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cs="Times New Roman"/>
                      <w:color w:val="000000"/>
                      <w:sz w:val="21"/>
                    </w:rPr>
                  </w:pPr>
                  <w:r>
                    <w:rPr>
                      <w:rFonts w:hint="default" w:ascii="Times New Roman" w:hAnsi="Times New Roman" w:cs="Times New Roman"/>
                      <w:color w:val="000000"/>
                      <w:kern w:val="0"/>
                      <w:sz w:val="21"/>
                    </w:rPr>
                    <w:t>ZH41042330001</w:t>
                  </w:r>
                </w:p>
              </w:tc>
              <w:tc>
                <w:tcPr>
                  <w:tcW w:w="107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default" w:ascii="Times New Roman" w:hAnsi="Times New Roman" w:cs="Times New Roman"/>
                      <w:color w:val="000000"/>
                      <w:sz w:val="21"/>
                    </w:rPr>
                    <w:t>鲁山县一般管控单元</w:t>
                  </w:r>
                </w:p>
              </w:tc>
              <w:tc>
                <w:tcPr>
                  <w:tcW w:w="734"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default" w:ascii="Times New Roman" w:hAnsi="Times New Roman" w:cs="Times New Roman"/>
                      <w:color w:val="000000"/>
                      <w:sz w:val="21"/>
                    </w:rPr>
                    <w:t>一般重点管控单元</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空间布局约束</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1.原则禁止新增尾矿库。</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2.新建涉VOCs排放的工业企业应从原辅材料和污染治理方面从严要求，原辅材料采用国家规定标准的原料，VOCs治理采用两种以上治理设施串联使用，VOCs排放必须达标排放。</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center"/>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3.新建或扩建城镇污水处理厂必须满足或优于一级A标准。</w:t>
                  </w:r>
                </w:p>
              </w:tc>
              <w:tc>
                <w:tcPr>
                  <w:tcW w:w="217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eastAsia" w:ascii="Times New Roman" w:hAnsi="Times New Roman" w:eastAsia="宋体" w:cs="Times New Roman"/>
                      <w:color w:val="000000"/>
                      <w:sz w:val="21"/>
                      <w:lang w:eastAsia="zh-CN"/>
                    </w:rPr>
                  </w:pPr>
                  <w:r>
                    <w:rPr>
                      <w:rFonts w:hint="eastAsia" w:cs="Times New Roman"/>
                      <w:color w:val="000000"/>
                      <w:sz w:val="21"/>
                      <w:lang w:val="en-US" w:eastAsia="zh-CN"/>
                    </w:rPr>
                    <w:t>1.</w:t>
                  </w:r>
                  <w:r>
                    <w:rPr>
                      <w:rFonts w:hint="default" w:ascii="Times New Roman" w:hAnsi="Times New Roman" w:cs="Times New Roman"/>
                      <w:color w:val="000000"/>
                      <w:sz w:val="21"/>
                    </w:rPr>
                    <w:t>本项目属于食品</w:t>
                  </w:r>
                  <w:r>
                    <w:rPr>
                      <w:rFonts w:hint="eastAsia" w:cs="Times New Roman"/>
                      <w:color w:val="000000"/>
                      <w:sz w:val="21"/>
                      <w:lang w:val="en-US" w:eastAsia="zh-CN"/>
                    </w:rPr>
                    <w:t>制造业</w:t>
                  </w:r>
                  <w:r>
                    <w:rPr>
                      <w:rFonts w:hint="default" w:ascii="Times New Roman" w:hAnsi="Times New Roman" w:cs="Times New Roman"/>
                      <w:color w:val="000000"/>
                      <w:sz w:val="21"/>
                    </w:rPr>
                    <w:t>项目，不</w:t>
                  </w:r>
                  <w:r>
                    <w:rPr>
                      <w:rFonts w:hint="eastAsia" w:cs="Times New Roman"/>
                      <w:color w:val="000000"/>
                      <w:sz w:val="21"/>
                      <w:lang w:val="en-US" w:eastAsia="zh-CN"/>
                    </w:rPr>
                    <w:t>属于</w:t>
                  </w:r>
                  <w:r>
                    <w:rPr>
                      <w:rFonts w:hint="default" w:ascii="Times New Roman" w:hAnsi="Times New Roman" w:cs="Times New Roman"/>
                      <w:color w:val="000000"/>
                      <w:sz w:val="21"/>
                    </w:rPr>
                    <w:t>尾矿库</w:t>
                  </w:r>
                  <w:r>
                    <w:rPr>
                      <w:rFonts w:hint="eastAsia" w:cs="Times New Roman"/>
                      <w:color w:val="000000"/>
                      <w:sz w:val="21"/>
                      <w:lang w:val="en-US" w:eastAsia="zh-CN"/>
                    </w:rPr>
                    <w:t>项目</w:t>
                  </w:r>
                  <w:r>
                    <w:rPr>
                      <w:rFonts w:hint="eastAsia" w:cs="Times New Roman"/>
                      <w:color w:val="000000"/>
                      <w:sz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eastAsia" w:cs="Times New Roman"/>
                      <w:color w:val="000000"/>
                      <w:sz w:val="21"/>
                      <w:lang w:val="en-US" w:eastAsia="zh-CN"/>
                    </w:rPr>
                  </w:pPr>
                  <w:r>
                    <w:rPr>
                      <w:rFonts w:hint="eastAsia" w:cs="Times New Roman"/>
                      <w:color w:val="000000"/>
                      <w:sz w:val="21"/>
                      <w:lang w:val="en-US" w:eastAsia="zh-CN"/>
                    </w:rPr>
                    <w:t>2.本项目不涉及</w:t>
                  </w:r>
                  <w:r>
                    <w:rPr>
                      <w:rFonts w:hint="default" w:ascii="Times New Roman" w:hAnsi="Times New Roman" w:cs="Times New Roman"/>
                      <w:color w:val="000000"/>
                      <w:sz w:val="21"/>
                    </w:rPr>
                    <w:t>VOC</w:t>
                  </w:r>
                  <w:r>
                    <w:rPr>
                      <w:rFonts w:hint="default" w:ascii="Times New Roman" w:hAnsi="Times New Roman" w:cs="Times New Roman"/>
                      <w:color w:val="000000"/>
                      <w:sz w:val="21"/>
                      <w:vertAlign w:val="subscript"/>
                    </w:rPr>
                    <w:t>S</w:t>
                  </w:r>
                  <w:r>
                    <w:rPr>
                      <w:rFonts w:hint="eastAsia" w:cs="Times New Roman"/>
                      <w:color w:val="000000"/>
                      <w:sz w:val="21"/>
                      <w:lang w:val="en-US" w:eastAsia="zh-CN"/>
                    </w:rPr>
                    <w:t>排放。</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cs="Times New Roman"/>
                      <w:color w:val="000000"/>
                      <w:sz w:val="21"/>
                      <w:lang w:val="en-US" w:eastAsia="zh-CN"/>
                    </w:rPr>
                  </w:pPr>
                  <w:r>
                    <w:rPr>
                      <w:rFonts w:hint="eastAsia" w:cs="Times New Roman"/>
                      <w:color w:val="000000"/>
                      <w:sz w:val="21"/>
                      <w:lang w:val="en-US" w:eastAsia="zh-CN"/>
                    </w:rPr>
                    <w:t>3.</w:t>
                  </w:r>
                  <w:r>
                    <w:rPr>
                      <w:rFonts w:hint="default" w:ascii="Times New Roman" w:hAnsi="Times New Roman" w:cs="Times New Roman"/>
                      <w:color w:val="000000"/>
                      <w:sz w:val="21"/>
                    </w:rPr>
                    <w:t>本项目属于食品</w:t>
                  </w:r>
                  <w:r>
                    <w:rPr>
                      <w:rFonts w:hint="eastAsia" w:cs="Times New Roman"/>
                      <w:color w:val="000000"/>
                      <w:sz w:val="21"/>
                      <w:lang w:val="en-US" w:eastAsia="zh-CN"/>
                    </w:rPr>
                    <w:t>制造业</w:t>
                  </w:r>
                  <w:r>
                    <w:rPr>
                      <w:rFonts w:hint="default" w:ascii="Times New Roman" w:hAnsi="Times New Roman" w:cs="Times New Roman"/>
                      <w:color w:val="000000"/>
                      <w:sz w:val="21"/>
                    </w:rPr>
                    <w:t>项目，不</w:t>
                  </w:r>
                  <w:r>
                    <w:rPr>
                      <w:rFonts w:hint="eastAsia" w:cs="Times New Roman"/>
                      <w:color w:val="000000"/>
                      <w:sz w:val="21"/>
                      <w:lang w:val="en-US" w:eastAsia="zh-CN"/>
                    </w:rPr>
                    <w:t>属于</w:t>
                  </w:r>
                  <w:r>
                    <w:rPr>
                      <w:rFonts w:hint="eastAsia" w:ascii="Times New Roman" w:hAnsi="Times New Roman" w:cs="Times New Roman"/>
                      <w:color w:val="000000"/>
                      <w:sz w:val="21"/>
                      <w:lang w:val="en-US" w:eastAsia="zh-CN"/>
                    </w:rPr>
                    <w:t>污水处理厂</w:t>
                  </w:r>
                  <w:r>
                    <w:rPr>
                      <w:rFonts w:hint="eastAsia" w:cs="Times New Roman"/>
                      <w:color w:val="000000"/>
                      <w:sz w:val="21"/>
                      <w:lang w:val="en-US" w:eastAsia="zh-CN"/>
                    </w:rPr>
                    <w:t>项目</w:t>
                  </w:r>
                  <w:r>
                    <w:rPr>
                      <w:rFonts w:hint="eastAsia" w:cs="Times New Roman"/>
                      <w:color w:val="000000"/>
                      <w:sz w:val="21"/>
                      <w:lang w:eastAsia="zh-CN"/>
                    </w:rPr>
                    <w:t>。</w:t>
                  </w:r>
                </w:p>
              </w:tc>
              <w:tc>
                <w:tcPr>
                  <w:tcW w:w="88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cs="Times New Roman"/>
                      <w:color w:val="000000"/>
                      <w:sz w:val="21"/>
                      <w:lang w:val="en-US" w:eastAsia="zh-CN"/>
                    </w:rPr>
                  </w:pPr>
                  <w:r>
                    <w:rPr>
                      <w:rFonts w:hint="eastAsia" w:cs="Times New Roman"/>
                      <w:color w:val="000000"/>
                      <w:sz w:val="21"/>
                      <w:lang w:val="en-US" w:eastAsia="zh-CN"/>
                    </w:rPr>
                    <w:t>相符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6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107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734"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eastAsia="宋体" w:cs="Times New Roman"/>
                      <w:color w:val="000000"/>
                      <w:sz w:val="21"/>
                    </w:rPr>
                  </w:pPr>
                  <w:r>
                    <w:rPr>
                      <w:rFonts w:hint="default" w:ascii="Times New Roman" w:hAnsi="Times New Roman" w:eastAsia="宋体" w:cs="Times New Roman"/>
                      <w:color w:val="000000"/>
                      <w:sz w:val="21"/>
                    </w:rPr>
                    <w:t>污染物排放管控</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1.禁止使用不符合国家标准和本省使用要求的机动车船、非道路移动机械用燃料。</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2.禁止含重金属废水进入城市生活污水处理厂。涉重金属废水零排放，可外排废水重金属污染因子不得检出。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default" w:ascii="Times New Roman" w:hAnsi="Times New Roman" w:cs="Times New Roman"/>
                      <w:color w:val="000000"/>
                      <w:kern w:val="0"/>
                      <w:sz w:val="21"/>
                    </w:rPr>
                    <w:t>3.涉重行业企业综合废水排放口重金属污染物应达到国家污染物排放标准限值要求。</w:t>
                  </w:r>
                </w:p>
              </w:tc>
              <w:tc>
                <w:tcPr>
                  <w:tcW w:w="217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eastAsia" w:cs="Times New Roman"/>
                      <w:color w:val="000000"/>
                      <w:sz w:val="21"/>
                      <w:lang w:val="en-US" w:eastAsia="zh-CN"/>
                    </w:rPr>
                  </w:pPr>
                  <w:r>
                    <w:rPr>
                      <w:rFonts w:hint="eastAsia" w:cs="Times New Roman"/>
                      <w:color w:val="000000"/>
                      <w:sz w:val="21"/>
                      <w:lang w:val="en-US" w:eastAsia="zh-CN"/>
                    </w:rPr>
                    <w:t>1.</w:t>
                  </w:r>
                  <w:r>
                    <w:rPr>
                      <w:rFonts w:hint="default" w:ascii="Times New Roman" w:hAnsi="Times New Roman" w:cs="Times New Roman"/>
                      <w:color w:val="000000"/>
                      <w:sz w:val="21"/>
                    </w:rPr>
                    <w:t>本项目</w:t>
                  </w:r>
                  <w:r>
                    <w:rPr>
                      <w:rFonts w:hint="eastAsia" w:cs="Times New Roman"/>
                      <w:color w:val="000000"/>
                      <w:sz w:val="21"/>
                      <w:lang w:val="en-US" w:eastAsia="zh-CN"/>
                    </w:rPr>
                    <w:t>车辆和非道路移动机械使用的燃料符合国家和河南省标准要求。</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eastAsia" w:cs="Times New Roman"/>
                      <w:color w:val="000000"/>
                      <w:sz w:val="21"/>
                      <w:lang w:val="en-US" w:eastAsia="zh-CN"/>
                    </w:rPr>
                    <w:t>2.本项目不涉及重金属废水排放。</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eastAsia="宋体" w:cs="Times New Roman"/>
                      <w:color w:val="000000"/>
                      <w:sz w:val="21"/>
                      <w:lang w:val="en-US" w:eastAsia="zh-CN"/>
                    </w:rPr>
                  </w:pPr>
                  <w:r>
                    <w:rPr>
                      <w:rFonts w:hint="eastAsia" w:cs="Times New Roman"/>
                      <w:color w:val="000000"/>
                      <w:sz w:val="21"/>
                      <w:lang w:val="en-US" w:eastAsia="zh-CN"/>
                    </w:rPr>
                    <w:t>3.本项目不涉及重金属废水排放。</w:t>
                  </w:r>
                </w:p>
              </w:tc>
              <w:tc>
                <w:tcPr>
                  <w:tcW w:w="88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cs="Times New Roman"/>
                      <w:color w:val="000000"/>
                      <w:sz w:val="21"/>
                      <w:lang w:val="en-US" w:eastAsia="zh-CN"/>
                    </w:rPr>
                  </w:pPr>
                  <w:r>
                    <w:rPr>
                      <w:rFonts w:hint="eastAsia" w:cs="Times New Roman"/>
                      <w:color w:val="000000"/>
                      <w:sz w:val="21"/>
                      <w:lang w:val="en-US" w:eastAsia="zh-CN"/>
                    </w:rPr>
                    <w:t>相符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6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107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734"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eastAsia="宋体" w:cs="Times New Roman"/>
                      <w:color w:val="000000"/>
                      <w:sz w:val="21"/>
                    </w:rPr>
                  </w:pPr>
                  <w:r>
                    <w:rPr>
                      <w:rFonts w:hint="default" w:ascii="Times New Roman" w:hAnsi="Times New Roman" w:eastAsia="宋体" w:cs="Times New Roman"/>
                      <w:color w:val="000000"/>
                      <w:sz w:val="21"/>
                    </w:rPr>
                    <w:t>环境风险防控</w:t>
                  </w:r>
                </w:p>
              </w:tc>
              <w:tc>
                <w:tcPr>
                  <w:tcW w:w="262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rPr>
                      <w:rFonts w:hint="default" w:ascii="Times New Roman" w:hAnsi="Times New Roman" w:cs="Times New Roman"/>
                      <w:color w:val="000000"/>
                      <w:kern w:val="0"/>
                      <w:sz w:val="21"/>
                    </w:rPr>
                  </w:pPr>
                  <w:r>
                    <w:rPr>
                      <w:rFonts w:hint="eastAsia" w:cs="Times New Roman"/>
                      <w:color w:val="000000"/>
                      <w:kern w:val="0"/>
                      <w:sz w:val="21"/>
                      <w:lang w:val="en-US" w:eastAsia="zh-CN"/>
                    </w:rPr>
                    <w:t>1.</w:t>
                  </w:r>
                  <w:r>
                    <w:rPr>
                      <w:rFonts w:hint="default" w:ascii="Times New Roman" w:hAnsi="Times New Roman" w:cs="Times New Roman"/>
                      <w:color w:val="000000"/>
                      <w:kern w:val="0"/>
                      <w:sz w:val="21"/>
                    </w:rPr>
                    <w:t>加强涉水污染源治理和监管</w:t>
                  </w:r>
                  <w:r>
                    <w:rPr>
                      <w:rFonts w:hint="eastAsia" w:cs="Times New Roman"/>
                      <w:color w:val="000000"/>
                      <w:kern w:val="0"/>
                      <w:sz w:val="21"/>
                      <w:lang w:eastAsia="zh-CN"/>
                    </w:rPr>
                    <w:t>，</w:t>
                  </w:r>
                  <w:r>
                    <w:rPr>
                      <w:rFonts w:hint="default" w:ascii="Times New Roman" w:hAnsi="Times New Roman" w:cs="Times New Roman"/>
                      <w:color w:val="000000"/>
                      <w:kern w:val="0"/>
                      <w:sz w:val="21"/>
                    </w:rPr>
                    <w:t>建立上下游水污染防治联动协作机制，严格防范水环境污染风险。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rPr>
                      <w:rFonts w:hint="default" w:ascii="Times New Roman" w:hAnsi="Times New Roman" w:cs="Times New Roman"/>
                      <w:color w:val="000000"/>
                      <w:kern w:val="0"/>
                      <w:sz w:val="21"/>
                    </w:rPr>
                  </w:pPr>
                  <w:r>
                    <w:rPr>
                      <w:rFonts w:hint="default" w:ascii="Times New Roman" w:hAnsi="Times New Roman" w:cs="Times New Roman"/>
                      <w:color w:val="000000"/>
                      <w:kern w:val="0"/>
                      <w:sz w:val="21"/>
                    </w:rPr>
                    <w:t>2.按照土壤环境调查相关技术规定，对垃圾填埋场周边土壤环境状况进行调查评估。对周边土壤环境超过可接受风险的，应采取限制填埋废物进入、降低人体暴露健康风险等管控措施。</w:t>
                  </w:r>
                </w:p>
              </w:tc>
              <w:tc>
                <w:tcPr>
                  <w:tcW w:w="217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eastAsia" w:ascii="Times New Roman" w:hAnsi="Times New Roman" w:cs="Times New Roman"/>
                      <w:color w:val="000000"/>
                      <w:kern w:val="0"/>
                      <w:sz w:val="21"/>
                      <w:lang w:eastAsia="zh-CN"/>
                    </w:rPr>
                  </w:pPr>
                  <w:r>
                    <w:rPr>
                      <w:rFonts w:hint="eastAsia" w:cs="Times New Roman"/>
                      <w:color w:val="000000"/>
                      <w:sz w:val="21"/>
                      <w:lang w:val="en-US" w:eastAsia="zh-CN"/>
                    </w:rPr>
                    <w:t>1.</w:t>
                  </w:r>
                  <w:r>
                    <w:rPr>
                      <w:rFonts w:hint="default" w:ascii="Times New Roman" w:hAnsi="Times New Roman" w:cs="Times New Roman"/>
                      <w:color w:val="000000"/>
                      <w:sz w:val="21"/>
                    </w:rPr>
                    <w:t>本项目</w:t>
                  </w:r>
                  <w:r>
                    <w:rPr>
                      <w:rFonts w:hint="eastAsia" w:cs="Times New Roman"/>
                      <w:color w:val="000000"/>
                      <w:sz w:val="21"/>
                      <w:lang w:val="en-US" w:eastAsia="zh-CN"/>
                    </w:rPr>
                    <w:t>不涉及。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kern w:val="0"/>
                      <w:sz w:val="21"/>
                      <w:lang w:val="en-US" w:eastAsia="zh-CN"/>
                    </w:rPr>
                  </w:pPr>
                  <w:r>
                    <w:rPr>
                      <w:rFonts w:hint="eastAsia" w:ascii="Times New Roman" w:hAnsi="Times New Roman" w:cs="Times New Roman"/>
                      <w:color w:val="000000"/>
                      <w:kern w:val="0"/>
                      <w:sz w:val="21"/>
                      <w:lang w:val="en-US" w:eastAsia="zh-CN"/>
                    </w:rPr>
                    <w:t>2.</w:t>
                  </w:r>
                  <w:r>
                    <w:rPr>
                      <w:rFonts w:hint="default" w:ascii="Times New Roman" w:hAnsi="Times New Roman" w:cs="Times New Roman"/>
                      <w:color w:val="000000"/>
                      <w:sz w:val="21"/>
                    </w:rPr>
                    <w:t>本项目</w:t>
                  </w:r>
                  <w:r>
                    <w:rPr>
                      <w:rFonts w:hint="eastAsia" w:cs="Times New Roman"/>
                      <w:color w:val="000000"/>
                      <w:sz w:val="21"/>
                      <w:lang w:val="en-US" w:eastAsia="zh-CN"/>
                    </w:rPr>
                    <w:t>不涉及。</w:t>
                  </w:r>
                </w:p>
              </w:tc>
              <w:tc>
                <w:tcPr>
                  <w:tcW w:w="88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Times New Roman" w:hAnsi="Times New Roman" w:cs="Times New Roman"/>
                      <w:color w:val="000000"/>
                      <w:kern w:val="0"/>
                      <w:sz w:val="21"/>
                      <w:lang w:val="en-US" w:eastAsia="zh-CN"/>
                    </w:rPr>
                  </w:pPr>
                  <w:r>
                    <w:rPr>
                      <w:rFonts w:hint="eastAsia" w:cs="Times New Roman"/>
                      <w:color w:val="000000"/>
                      <w:sz w:val="21"/>
                      <w:lang w:val="en-US" w:eastAsia="zh-CN"/>
                    </w:rPr>
                    <w:t>相符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69"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107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734"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p>
              </w:tc>
              <w:tc>
                <w:tcPr>
                  <w:tcW w:w="7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lang w:val="en-US"/>
                    </w:rPr>
                  </w:pPr>
                  <w:r>
                    <w:rPr>
                      <w:rFonts w:hint="default" w:ascii="Times New Roman" w:hAnsi="Times New Roman" w:cs="Times New Roman"/>
                      <w:color w:val="000000"/>
                      <w:sz w:val="21"/>
                    </w:rPr>
                    <w:t>资源开发</w:t>
                  </w:r>
                  <w:r>
                    <w:rPr>
                      <w:rFonts w:hint="eastAsia" w:cs="Times New Roman"/>
                      <w:color w:val="000000"/>
                      <w:sz w:val="21"/>
                      <w:lang w:val="en-US" w:eastAsia="zh-CN"/>
                    </w:rPr>
                    <w:t>效率要求</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cs="Times New Roman"/>
                      <w:color w:val="000000"/>
                      <w:sz w:val="21"/>
                    </w:rPr>
                  </w:pPr>
                  <w:r>
                    <w:rPr>
                      <w:rFonts w:hint="eastAsia" w:ascii="宋体" w:hAnsi="宋体" w:eastAsia="宋体" w:cs="宋体"/>
                      <w:i w:val="0"/>
                      <w:iCs w:val="0"/>
                      <w:color w:val="000000"/>
                      <w:kern w:val="0"/>
                      <w:sz w:val="22"/>
                      <w:szCs w:val="22"/>
                      <w:u w:val="none"/>
                      <w:lang w:val="en-US" w:eastAsia="zh-CN" w:bidi="ar"/>
                    </w:rPr>
                    <w:t>加强水资源开发利用效率，提高再生水利用率。</w:t>
                  </w:r>
                </w:p>
              </w:tc>
              <w:tc>
                <w:tcPr>
                  <w:tcW w:w="2173"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rPr>
                      <w:rFonts w:hint="default" w:ascii="Times New Roman" w:hAnsi="Times New Roman" w:eastAsia="宋体" w:cs="Times New Roman"/>
                      <w:color w:val="000000"/>
                      <w:sz w:val="21"/>
                      <w:lang w:val="en-US" w:eastAsia="zh-CN"/>
                    </w:rPr>
                  </w:pPr>
                  <w:r>
                    <w:rPr>
                      <w:rFonts w:hint="eastAsia" w:cs="Times New Roman"/>
                      <w:color w:val="000000"/>
                      <w:sz w:val="21"/>
                      <w:lang w:val="en-US" w:eastAsia="zh-CN"/>
                    </w:rPr>
                    <w:t>本项目不涉及再生水</w:t>
                  </w:r>
                </w:p>
              </w:tc>
              <w:tc>
                <w:tcPr>
                  <w:tcW w:w="88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cs="Times New Roman"/>
                      <w:color w:val="000000"/>
                      <w:sz w:val="21"/>
                      <w:lang w:val="en-US" w:eastAsia="zh-CN"/>
                    </w:rPr>
                  </w:pPr>
                  <w:r>
                    <w:rPr>
                      <w:rFonts w:hint="eastAsia" w:cs="Times New Roman"/>
                      <w:color w:val="000000"/>
                      <w:sz w:val="21"/>
                      <w:lang w:val="en-US" w:eastAsia="zh-CN"/>
                    </w:rPr>
                    <w:t>相符</w:t>
                  </w:r>
                </w:p>
              </w:tc>
            </w:tr>
          </w:tbl>
          <w:p>
            <w:pPr>
              <w:spacing w:line="520" w:lineRule="exact"/>
              <w:ind w:firstLine="480"/>
              <w:rPr>
                <w:color w:val="000000"/>
              </w:rPr>
            </w:pPr>
            <w:r>
              <w:rPr>
                <w:color w:val="000000"/>
              </w:rPr>
              <w:t>综上，本项目建设符合《平顶山市人民政府关于实施“三线一单”生态环境分区管控的意见》（平政[2021]10号）</w:t>
            </w:r>
            <w:r>
              <w:rPr>
                <w:rFonts w:hint="eastAsia"/>
                <w:color w:val="000000"/>
              </w:rPr>
              <w:t>的相关要求。</w:t>
            </w:r>
          </w:p>
          <w:p>
            <w:pPr>
              <w:ind w:firstLine="482"/>
              <w:rPr>
                <w:b/>
                <w:bCs/>
              </w:rPr>
            </w:pPr>
            <w:r>
              <w:rPr>
                <w:rFonts w:hint="eastAsia"/>
                <w:b/>
                <w:bCs/>
              </w:rPr>
              <w:t>2、产业政策相符性分析</w:t>
            </w:r>
          </w:p>
          <w:p>
            <w:pPr>
              <w:ind w:firstLine="480"/>
            </w:pPr>
            <w:r>
              <w:rPr>
                <w:rFonts w:hint="eastAsia"/>
              </w:rPr>
              <w:t>经查阅《产业结构调整指导目录（2019年本）》</w:t>
            </w:r>
            <w:r>
              <w:rPr>
                <w:rFonts w:hint="eastAsia"/>
                <w:lang w:eastAsia="zh-CN"/>
              </w:rPr>
              <w:t>（</w:t>
            </w:r>
            <w:r>
              <w:rPr>
                <w:rFonts w:hint="eastAsia"/>
                <w:lang w:val="en-US" w:eastAsia="zh-CN"/>
              </w:rPr>
              <w:t>2021年修订</w:t>
            </w:r>
            <w:r>
              <w:rPr>
                <w:rFonts w:hint="eastAsia"/>
                <w:lang w:eastAsia="zh-CN"/>
              </w:rPr>
              <w:t>）</w:t>
            </w:r>
            <w:r>
              <w:rPr>
                <w:rFonts w:hint="eastAsia"/>
              </w:rPr>
              <w:t>，项目不属于其中的鼓励类、限制类和淘汰类，为允许类。本项目</w:t>
            </w:r>
            <w:r>
              <w:rPr>
                <w:rFonts w:hint="eastAsia"/>
                <w:lang w:val="en-US" w:eastAsia="zh-CN"/>
              </w:rPr>
              <w:t>已在</w:t>
            </w:r>
            <w:r>
              <w:rPr>
                <w:rFonts w:hint="eastAsia"/>
                <w:color w:val="000000"/>
              </w:rPr>
              <w:t>鲁山县发展和改革委员会</w:t>
            </w:r>
            <w:r>
              <w:rPr>
                <w:rFonts w:hint="eastAsia"/>
                <w:color w:val="000000"/>
                <w:lang w:val="en-US" w:eastAsia="zh-CN"/>
              </w:rPr>
              <w:t>备案，</w:t>
            </w:r>
            <w:r>
              <w:rPr>
                <w:rFonts w:hint="eastAsia"/>
              </w:rPr>
              <w:t>符合国家当前产业政策。</w:t>
            </w:r>
          </w:p>
          <w:p>
            <w:pPr>
              <w:numPr>
                <w:ilvl w:val="0"/>
                <w:numId w:val="1"/>
              </w:numPr>
              <w:ind w:firstLine="482"/>
              <w:rPr>
                <w:rFonts w:hint="default" w:ascii="Times New Roman" w:hAnsi="Times New Roman" w:cs="Times New Roman"/>
                <w:b/>
                <w:bCs/>
              </w:rPr>
            </w:pPr>
            <w:r>
              <w:rPr>
                <w:rFonts w:hint="default" w:ascii="Times New Roman" w:hAnsi="Times New Roman" w:cs="Times New Roman"/>
                <w:b/>
                <w:bCs/>
              </w:rPr>
              <w:t>项目与</w:t>
            </w:r>
            <w:r>
              <w:rPr>
                <w:rFonts w:hint="default" w:ascii="Times New Roman" w:hAnsi="Times New Roman" w:eastAsia="宋体" w:cs="Times New Roman"/>
                <w:b/>
                <w:bCs w:val="0"/>
                <w:color w:val="auto"/>
                <w:kern w:val="28"/>
                <w:sz w:val="24"/>
                <w:szCs w:val="40"/>
                <w:u w:val="none"/>
                <w:lang w:val="en-US" w:eastAsia="zh-CN" w:bidi="ar-SA"/>
              </w:rPr>
              <w:t>《平顶山市生态环境保护委员会办公室关于印发平顶山市2023年蓝天保卫战实施方案的通知》（平环委办〔2023〕13号）</w:t>
            </w:r>
            <w:r>
              <w:rPr>
                <w:rFonts w:hint="default" w:ascii="Times New Roman" w:hAnsi="Times New Roman" w:cs="Times New Roman"/>
                <w:b/>
                <w:bCs/>
              </w:rPr>
              <w:t>相符性分析</w:t>
            </w:r>
          </w:p>
          <w:p>
            <w:pPr>
              <w:ind w:firstLine="0" w:firstLineChars="0"/>
              <w:jc w:val="center"/>
              <w:rPr>
                <w:rFonts w:eastAsia="黑体" w:cs="Times New Roman"/>
              </w:rPr>
            </w:pPr>
            <w:r>
              <w:rPr>
                <w:rFonts w:eastAsia="黑体" w:cs="Times New Roman"/>
              </w:rPr>
              <w:t>表1-</w:t>
            </w:r>
            <w:r>
              <w:rPr>
                <w:rFonts w:hint="eastAsia" w:eastAsia="黑体" w:cs="Times New Roman"/>
                <w:lang w:val="en-US" w:eastAsia="zh-CN"/>
              </w:rPr>
              <w:t>2</w:t>
            </w:r>
            <w:r>
              <w:rPr>
                <w:rFonts w:eastAsia="黑体" w:cs="Times New Roman"/>
              </w:rPr>
              <w:t xml:space="preserve">  项目</w:t>
            </w:r>
            <w:r>
              <w:rPr>
                <w:rFonts w:ascii="Times New Roman" w:hAnsi="Times New Roman" w:eastAsia="黑体" w:cs="Times New Roman"/>
              </w:rPr>
              <w:t>与</w:t>
            </w:r>
            <w:r>
              <w:rPr>
                <w:rFonts w:hint="default" w:ascii="Times New Roman" w:hAnsi="Times New Roman" w:eastAsia="黑体" w:cs="Times New Roman"/>
                <w:lang w:val="en-US" w:eastAsia="zh-CN"/>
              </w:rPr>
              <w:t>平环委办〔2023〕13号</w:t>
            </w:r>
            <w:r>
              <w:rPr>
                <w:rFonts w:ascii="Times New Roman" w:hAnsi="Times New Roman" w:eastAsia="黑体" w:cs="Times New Roman"/>
              </w:rPr>
              <w:t>符合性</w:t>
            </w:r>
            <w:r>
              <w:rPr>
                <w:rFonts w:eastAsia="黑体" w:cs="Times New Roman"/>
              </w:rPr>
              <w:t>对比一览表</w:t>
            </w:r>
          </w:p>
          <w:tbl>
            <w:tblPr>
              <w:tblStyle w:val="21"/>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58"/>
              <w:gridCol w:w="3266"/>
              <w:gridCol w:w="1213"/>
            </w:tblGrid>
            <w:tr>
              <w:tblPrEx>
                <w:tblCellMar>
                  <w:top w:w="0" w:type="dxa"/>
                  <w:left w:w="108" w:type="dxa"/>
                  <w:bottom w:w="0" w:type="dxa"/>
                  <w:right w:w="108" w:type="dxa"/>
                </w:tblCellMar>
              </w:tblPrEx>
              <w:trPr>
                <w:trHeight w:val="340" w:hRule="atLeast"/>
                <w:jc w:val="center"/>
              </w:trPr>
              <w:tc>
                <w:tcPr>
                  <w:tcW w:w="2521"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sz w:val="21"/>
                    </w:rPr>
                    <w:t>豫环委办〔2023〕5号</w:t>
                  </w:r>
                  <w:r>
                    <w:rPr>
                      <w:rFonts w:cs="Times New Roman"/>
                      <w:kern w:val="0"/>
                      <w:sz w:val="21"/>
                    </w:rPr>
                    <w:t>中相关要求</w:t>
                  </w:r>
                </w:p>
              </w:tc>
              <w:tc>
                <w:tcPr>
                  <w:tcW w:w="1807"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本项目</w:t>
                  </w:r>
                </w:p>
              </w:tc>
              <w:tc>
                <w:tcPr>
                  <w:tcW w:w="671"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21" w:type="pct"/>
                  <w:tcBorders>
                    <w:tl2br w:val="nil"/>
                    <w:tr2bl w:val="nil"/>
                  </w:tcBorders>
                  <w:vAlign w:val="center"/>
                </w:tcPr>
                <w:p>
                  <w:pPr>
                    <w:spacing w:line="320" w:lineRule="exact"/>
                    <w:ind w:firstLine="0" w:firstLineChars="0"/>
                    <w:rPr>
                      <w:rFonts w:cs="Times New Roman"/>
                      <w:kern w:val="0"/>
                      <w:sz w:val="21"/>
                    </w:rPr>
                  </w:pPr>
                  <w:r>
                    <w:rPr>
                      <w:rFonts w:hint="eastAsia" w:ascii="Times New Roman" w:hAnsi="Times New Roman" w:eastAsia="宋体" w:cs="Times New Roman"/>
                      <w:color w:val="auto"/>
                      <w:sz w:val="21"/>
                      <w:szCs w:val="21"/>
                      <w:lang w:val="en-US" w:eastAsia="zh-CN"/>
                    </w:rPr>
                    <w:t>13.加强扬尘防治精细化管理。开展扬尘治理提升行动，严格落实扬尘治理“两个标准”要求，做好建筑工地、线性工程城乡结合部等关键部位和重点环节综合治理，加大扬尘污染防治执法监管力度，逐月开展降尘量监测，实施公开排名通报，各县(市、区)平均降尘量不高于7吨/月·平方公里。持续开展城市清洁行动，强化道路扬尘综合整治，重点提升国省道、县乡道路、城乡结合部和背街小巷等各类道路清扫保洁效果，2023年底前实现建成区道路清扫覆盖率达到90%以上，道路机械化清扫率达到80%以上，道路清扫保洁能力显著增强。加强餐饮油烟日常监督，强化市、县监控平台联网运行，实现对大型餐饮服务单位油烟排放情况实时监控：餐饮油烟净化设施月抽查率不低于20%。</w:t>
                  </w:r>
                </w:p>
              </w:tc>
              <w:tc>
                <w:tcPr>
                  <w:tcW w:w="1807" w:type="pct"/>
                  <w:tcBorders>
                    <w:tl2br w:val="nil"/>
                    <w:tr2bl w:val="nil"/>
                  </w:tcBorders>
                  <w:vAlign w:val="center"/>
                </w:tcPr>
                <w:p>
                  <w:pPr>
                    <w:pStyle w:val="26"/>
                    <w:rPr>
                      <w:rFonts w:hint="default" w:eastAsia="宋体"/>
                      <w:kern w:val="0"/>
                      <w:lang w:val="en-US" w:eastAsia="zh-CN"/>
                    </w:rPr>
                  </w:pPr>
                  <w:r>
                    <w:rPr>
                      <w:rStyle w:val="27"/>
                    </w:rPr>
                    <w:t>本项目</w:t>
                  </w:r>
                  <w:r>
                    <w:rPr>
                      <w:rStyle w:val="27"/>
                      <w:rFonts w:hint="eastAsia"/>
                      <w:lang w:val="en-US" w:eastAsia="zh-CN"/>
                    </w:rPr>
                    <w:t>施工期严格</w:t>
                  </w:r>
                  <w:r>
                    <w:rPr>
                      <w:rFonts w:hint="eastAsia" w:ascii="Times New Roman" w:hAnsi="Times New Roman" w:eastAsia="宋体" w:cs="Times New Roman"/>
                      <w:color w:val="auto"/>
                      <w:sz w:val="21"/>
                      <w:szCs w:val="21"/>
                      <w:lang w:val="en-US" w:eastAsia="zh-CN"/>
                    </w:rPr>
                    <w:t>实扬尘治理“两个标准”要求，做好施工场地扬尘综合治理。</w:t>
                  </w:r>
                  <w:r>
                    <w:rPr>
                      <w:rStyle w:val="27"/>
                      <w:rFonts w:hint="eastAsia"/>
                      <w:lang w:val="en-US" w:eastAsia="zh-CN"/>
                    </w:rPr>
                    <w:t>运营期在密闭厂房内生产，生产过程产生的粉尘经收集引至一套袋式除尘器处理，处理后经一根15m高排气筒排放。天然气热风炉采取低氮燃烧措施，废气经一根15m高排气筒排放。</w:t>
                  </w:r>
                </w:p>
              </w:tc>
              <w:tc>
                <w:tcPr>
                  <w:tcW w:w="671"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w:t>
                  </w:r>
                </w:p>
              </w:tc>
            </w:tr>
          </w:tbl>
          <w:p>
            <w:pPr>
              <w:ind w:firstLine="480"/>
              <w:rPr>
                <w:rFonts w:hint="eastAsia" w:ascii="Times New Roman" w:hAnsi="Times New Roman" w:eastAsia="宋体"/>
              </w:rPr>
            </w:pPr>
            <w:r>
              <w:rPr>
                <w:rFonts w:hint="eastAsia"/>
              </w:rPr>
              <w:t>由</w:t>
            </w:r>
            <w:r>
              <w:rPr>
                <w:rFonts w:hint="eastAsia" w:ascii="Times New Roman" w:hAnsi="Times New Roman" w:eastAsia="宋体"/>
              </w:rPr>
              <w:t>上表可知，本项目符合</w:t>
            </w:r>
            <w:r>
              <w:rPr>
                <w:rFonts w:hint="default" w:ascii="Times New Roman" w:hAnsi="Times New Roman" w:eastAsia="宋体"/>
                <w:lang w:val="en-US" w:eastAsia="zh-CN"/>
              </w:rPr>
              <w:t>《平顶山市生态环境保护委员会办公室关于印发平顶山市2023年蓝天保卫战实施方案的通知》（平环委办〔2023〕13号）</w:t>
            </w:r>
            <w:r>
              <w:rPr>
                <w:rFonts w:hint="eastAsia" w:ascii="Times New Roman" w:hAnsi="Times New Roman" w:eastAsia="宋体"/>
              </w:rPr>
              <w:t>相关要求。</w:t>
            </w:r>
          </w:p>
          <w:p>
            <w:pPr>
              <w:numPr>
                <w:ilvl w:val="0"/>
                <w:numId w:val="1"/>
              </w:numPr>
              <w:ind w:firstLine="482"/>
              <w:rPr>
                <w:rFonts w:hint="default" w:ascii="Times New Roman" w:hAnsi="Times New Roman" w:eastAsia="宋体" w:cs="Times New Roman"/>
                <w:b/>
                <w:bCs/>
              </w:rPr>
            </w:pPr>
            <w:r>
              <w:rPr>
                <w:rFonts w:hint="default" w:ascii="Times New Roman" w:hAnsi="Times New Roman" w:cs="Times New Roman"/>
                <w:b/>
                <w:bCs/>
              </w:rPr>
              <w:t>项目与</w:t>
            </w:r>
            <w:r>
              <w:rPr>
                <w:rFonts w:hint="default" w:ascii="Times New Roman" w:hAnsi="Times New Roman" w:eastAsia="宋体" w:cs="Times New Roman"/>
                <w:b/>
                <w:bCs/>
                <w:lang w:val="en-US" w:eastAsia="zh-CN"/>
              </w:rPr>
              <w:t>《河南省生态环境保护委员会办公室关于印发河南省深入打好秋冬季重污染天气消除、夏季臭氧污染防治和柴油货车污染治理攻坚战行动方案的通知》（豫环委办〔2023〕3号）</w:t>
            </w:r>
            <w:r>
              <w:rPr>
                <w:rFonts w:hint="default" w:ascii="Times New Roman" w:hAnsi="Times New Roman" w:eastAsia="宋体" w:cs="Times New Roman"/>
                <w:b/>
                <w:bCs/>
              </w:rPr>
              <w:t>相符性分析</w:t>
            </w:r>
          </w:p>
          <w:p>
            <w:pPr>
              <w:ind w:firstLine="0" w:firstLineChars="0"/>
              <w:jc w:val="center"/>
              <w:rPr>
                <w:rFonts w:eastAsia="黑体" w:cs="Times New Roman"/>
              </w:rPr>
            </w:pPr>
            <w:r>
              <w:rPr>
                <w:rFonts w:eastAsia="黑体" w:cs="Times New Roman"/>
              </w:rPr>
              <w:t>表1-</w:t>
            </w:r>
            <w:r>
              <w:rPr>
                <w:rFonts w:hint="eastAsia" w:eastAsia="黑体" w:cs="Times New Roman"/>
                <w:lang w:val="en-US" w:eastAsia="zh-CN"/>
              </w:rPr>
              <w:t>3</w:t>
            </w:r>
            <w:r>
              <w:rPr>
                <w:rFonts w:eastAsia="黑体" w:cs="Times New Roman"/>
              </w:rPr>
              <w:t xml:space="preserve">  项目</w:t>
            </w:r>
            <w:r>
              <w:rPr>
                <w:rFonts w:ascii="Times New Roman" w:hAnsi="Times New Roman" w:eastAsia="黑体" w:cs="Times New Roman"/>
              </w:rPr>
              <w:t>与</w:t>
            </w:r>
            <w:r>
              <w:rPr>
                <w:rFonts w:hint="default" w:ascii="Times New Roman" w:hAnsi="Times New Roman" w:eastAsia="黑体" w:cs="Times New Roman"/>
                <w:lang w:val="en-US" w:eastAsia="zh-CN"/>
              </w:rPr>
              <w:t>平环委办〔2023〕13号</w:t>
            </w:r>
            <w:r>
              <w:rPr>
                <w:rFonts w:ascii="Times New Roman" w:hAnsi="Times New Roman" w:eastAsia="黑体" w:cs="Times New Roman"/>
              </w:rPr>
              <w:t>符合性</w:t>
            </w:r>
            <w:r>
              <w:rPr>
                <w:rFonts w:eastAsia="黑体" w:cs="Times New Roman"/>
              </w:rPr>
              <w:t>对比一览表</w:t>
            </w:r>
          </w:p>
          <w:tbl>
            <w:tblPr>
              <w:tblStyle w:val="21"/>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58"/>
              <w:gridCol w:w="3266"/>
              <w:gridCol w:w="1213"/>
            </w:tblGrid>
            <w:tr>
              <w:tblPrEx>
                <w:tblCellMar>
                  <w:top w:w="0" w:type="dxa"/>
                  <w:left w:w="108" w:type="dxa"/>
                  <w:bottom w:w="0" w:type="dxa"/>
                  <w:right w:w="108" w:type="dxa"/>
                </w:tblCellMar>
              </w:tblPrEx>
              <w:trPr>
                <w:trHeight w:val="340" w:hRule="atLeast"/>
                <w:jc w:val="center"/>
              </w:trPr>
              <w:tc>
                <w:tcPr>
                  <w:tcW w:w="2521" w:type="pct"/>
                  <w:tcBorders>
                    <w:tl2br w:val="nil"/>
                    <w:tr2bl w:val="nil"/>
                  </w:tcBorders>
                  <w:vAlign w:val="center"/>
                </w:tcPr>
                <w:p>
                  <w:pPr>
                    <w:spacing w:line="320" w:lineRule="exact"/>
                    <w:ind w:firstLine="0" w:firstLineChars="0"/>
                    <w:jc w:val="center"/>
                    <w:rPr>
                      <w:rFonts w:cs="Times New Roman"/>
                      <w:kern w:val="0"/>
                      <w:sz w:val="21"/>
                    </w:rPr>
                  </w:pPr>
                  <w:r>
                    <w:rPr>
                      <w:rFonts w:hint="default" w:ascii="Times New Roman" w:hAnsi="Times New Roman" w:eastAsia="宋体" w:cs="Times New Roman"/>
                      <w:kern w:val="0"/>
                      <w:sz w:val="21"/>
                      <w:lang w:val="en-US" w:eastAsia="zh-CN"/>
                    </w:rPr>
                    <w:t>豫环委办〔2023〕3号</w:t>
                  </w:r>
                  <w:r>
                    <w:rPr>
                      <w:rFonts w:ascii="Times New Roman" w:hAnsi="Times New Roman" w:eastAsia="宋体" w:cs="Times New Roman"/>
                      <w:kern w:val="0"/>
                      <w:sz w:val="21"/>
                    </w:rPr>
                    <w:t>中相</w:t>
                  </w:r>
                  <w:r>
                    <w:rPr>
                      <w:rFonts w:cs="Times New Roman"/>
                      <w:kern w:val="0"/>
                      <w:sz w:val="21"/>
                    </w:rPr>
                    <w:t>关要求</w:t>
                  </w:r>
                </w:p>
              </w:tc>
              <w:tc>
                <w:tcPr>
                  <w:tcW w:w="1807"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本项目</w:t>
                  </w:r>
                </w:p>
              </w:tc>
              <w:tc>
                <w:tcPr>
                  <w:tcW w:w="671"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21" w:type="pct"/>
                  <w:tcBorders>
                    <w:tl2br w:val="nil"/>
                    <w:tr2bl w:val="nil"/>
                  </w:tcBorders>
                  <w:vAlign w:val="center"/>
                </w:tcPr>
                <w:p>
                  <w:pPr>
                    <w:spacing w:line="320" w:lineRule="exact"/>
                    <w:ind w:firstLine="0" w:firstLineChars="0"/>
                    <w:rPr>
                      <w:rFonts w:cs="Times New Roman"/>
                      <w:kern w:val="0"/>
                      <w:sz w:val="21"/>
                    </w:rPr>
                  </w:pPr>
                  <w:r>
                    <w:rPr>
                      <w:rFonts w:hint="default" w:ascii="Times New Roman" w:hAnsi="Times New Roman" w:eastAsia="FZKai-Z03" w:cs="Times New Roman"/>
                      <w:color w:val="000000"/>
                      <w:kern w:val="0"/>
                      <w:sz w:val="21"/>
                      <w:szCs w:val="21"/>
                      <w:lang w:val="en-US" w:eastAsia="zh-CN" w:bidi="ar"/>
                    </w:rPr>
                    <w:t>遏制</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FZKai-Z03" w:cs="Times New Roman"/>
                      <w:color w:val="000000"/>
                      <w:kern w:val="0"/>
                      <w:sz w:val="21"/>
                      <w:szCs w:val="21"/>
                      <w:lang w:val="en-US" w:eastAsia="zh-CN" w:bidi="ar"/>
                    </w:rPr>
                    <w:t>两高</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FZKai-Z03" w:cs="Times New Roman"/>
                      <w:color w:val="000000"/>
                      <w:kern w:val="0"/>
                      <w:sz w:val="21"/>
                      <w:szCs w:val="21"/>
                      <w:lang w:val="en-US" w:eastAsia="zh-CN" w:bidi="ar"/>
                    </w:rPr>
                    <w:t>项目盲目发展。</w:t>
                  </w:r>
                  <w:r>
                    <w:rPr>
                      <w:rFonts w:hint="default" w:ascii="Times New Roman" w:hAnsi="Times New Roman" w:eastAsia="FZFangSong-Z02" w:cs="Times New Roman"/>
                      <w:color w:val="000000"/>
                      <w:kern w:val="0"/>
                      <w:sz w:val="21"/>
                      <w:szCs w:val="21"/>
                      <w:lang w:val="en-US" w:eastAsia="zh-CN" w:bidi="ar"/>
                    </w:rPr>
                    <w:t>严格落实国家产业规划、产业政策、</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FZFangSong-Z02" w:cs="Times New Roman"/>
                      <w:color w:val="000000"/>
                      <w:kern w:val="0"/>
                      <w:sz w:val="21"/>
                      <w:szCs w:val="21"/>
                      <w:lang w:val="en-US" w:eastAsia="zh-CN" w:bidi="ar"/>
                    </w:rPr>
                    <w:t>三线一单</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FZFangSong-Z02" w:cs="Times New Roman"/>
                      <w:color w:val="000000"/>
                      <w:kern w:val="0"/>
                      <w:sz w:val="21"/>
                      <w:szCs w:val="21"/>
                      <w:lang w:val="en-US" w:eastAsia="zh-CN" w:bidi="ar"/>
                    </w:rPr>
                    <w:t>、规划环评，以及产能置换、煤炭消费减量替代、区域污染物削减等要求，严把高耗能、高排放、低水平项目准入关口。全省大气污染防治重点区域禁止新增钢铁、电解铝、氧化铝、水泥熟料、平板玻璃（光伏压延玻璃除外）、煤化工、焦化、铝用炭素、含烧结工序的耐火材料和砖瓦制品等行业产能，合理控制煤制油气产能规模，严控新增炼油产能。强化项目环评及</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FZFangSong-Z02" w:cs="Times New Roman"/>
                      <w:color w:val="000000"/>
                      <w:kern w:val="0"/>
                      <w:sz w:val="21"/>
                      <w:szCs w:val="21"/>
                      <w:lang w:val="en-US" w:eastAsia="zh-CN" w:bidi="ar"/>
                    </w:rPr>
                    <w:t>三同时</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FZFangSong-Z02" w:cs="Times New Roman"/>
                      <w:color w:val="000000"/>
                      <w:kern w:val="0"/>
                      <w:sz w:val="21"/>
                      <w:szCs w:val="21"/>
                      <w:lang w:val="en-US" w:eastAsia="zh-CN" w:bidi="ar"/>
                    </w:rPr>
                    <w:t>管理，国家、省绩效分级重点行业以及涉及锅炉炉窑的其他行业，新建、扩建项目污染物排放限值、污染治理措施、无组织排放控制水平、运输方式等达到</w:t>
                  </w:r>
                  <w:r>
                    <w:rPr>
                      <w:rFonts w:hint="default" w:ascii="Times New Roman" w:hAnsi="Times New Roman" w:eastAsia="宋体" w:cs="Times New Roman"/>
                      <w:color w:val="000000"/>
                      <w:kern w:val="0"/>
                      <w:sz w:val="21"/>
                      <w:szCs w:val="21"/>
                      <w:lang w:val="en-US" w:eastAsia="zh-CN" w:bidi="ar"/>
                    </w:rPr>
                    <w:t>A</w:t>
                  </w:r>
                  <w:r>
                    <w:rPr>
                      <w:rFonts w:hint="default" w:ascii="Times New Roman" w:hAnsi="Times New Roman" w:eastAsia="FZFangSong-Z02" w:cs="Times New Roman"/>
                      <w:color w:val="000000"/>
                      <w:kern w:val="0"/>
                      <w:sz w:val="21"/>
                      <w:szCs w:val="21"/>
                      <w:lang w:val="en-US" w:eastAsia="zh-CN" w:bidi="ar"/>
                    </w:rPr>
                    <w:t>级绩效水平，改建项目污染物排放限值、污染治理措施、无组织排放控制水平、运输方式等达到</w:t>
                  </w:r>
                  <w:r>
                    <w:rPr>
                      <w:rFonts w:hint="default" w:ascii="Times New Roman" w:hAnsi="Times New Roman" w:eastAsia="宋体" w:cs="Times New Roman"/>
                      <w:color w:val="000000"/>
                      <w:kern w:val="0"/>
                      <w:sz w:val="21"/>
                      <w:szCs w:val="21"/>
                      <w:lang w:val="en-US" w:eastAsia="zh-CN" w:bidi="ar"/>
                    </w:rPr>
                    <w:t>B</w:t>
                  </w:r>
                  <w:r>
                    <w:rPr>
                      <w:rFonts w:hint="default" w:ascii="Times New Roman" w:hAnsi="Times New Roman" w:eastAsia="FZFangSong-Z02" w:cs="Times New Roman"/>
                      <w:color w:val="000000"/>
                      <w:kern w:val="0"/>
                      <w:sz w:val="21"/>
                      <w:szCs w:val="21"/>
                      <w:lang w:val="en-US" w:eastAsia="zh-CN" w:bidi="ar"/>
                    </w:rPr>
                    <w:t>级以上绩效水平。新建、改建、扩建项目大宗货物年货运量</w:t>
                  </w:r>
                  <w:r>
                    <w:rPr>
                      <w:rFonts w:hint="default" w:ascii="Times New Roman" w:hAnsi="Times New Roman" w:eastAsia="宋体" w:cs="Times New Roman"/>
                      <w:color w:val="000000"/>
                      <w:kern w:val="0"/>
                      <w:sz w:val="21"/>
                      <w:szCs w:val="21"/>
                      <w:lang w:val="en-US" w:eastAsia="zh-CN" w:bidi="ar"/>
                    </w:rPr>
                    <w:t>150</w:t>
                  </w:r>
                  <w:r>
                    <w:rPr>
                      <w:rFonts w:hint="default" w:ascii="Times New Roman" w:hAnsi="Times New Roman" w:eastAsia="FZFangSong-Z02" w:cs="Times New Roman"/>
                      <w:color w:val="000000"/>
                      <w:kern w:val="0"/>
                      <w:sz w:val="21"/>
                      <w:szCs w:val="21"/>
                      <w:lang w:val="en-US" w:eastAsia="zh-CN" w:bidi="ar"/>
                    </w:rPr>
                    <w:t>万吨及以上的，原则上要接入铁路专用线或管道；具有铁路专用线的，大宗货物铁路运输比例应达到</w:t>
                  </w:r>
                  <w:r>
                    <w:rPr>
                      <w:rFonts w:hint="default" w:ascii="Times New Roman" w:hAnsi="Times New Roman" w:eastAsia="宋体" w:cs="Times New Roman"/>
                      <w:color w:val="000000"/>
                      <w:kern w:val="0"/>
                      <w:sz w:val="21"/>
                      <w:szCs w:val="21"/>
                      <w:lang w:val="en-US" w:eastAsia="zh-CN" w:bidi="ar"/>
                    </w:rPr>
                    <w:t>80%</w:t>
                  </w:r>
                  <w:r>
                    <w:rPr>
                      <w:rFonts w:hint="default" w:ascii="Times New Roman" w:hAnsi="Times New Roman" w:eastAsia="FZFangSong-Z02" w:cs="Times New Roman"/>
                      <w:color w:val="000000"/>
                      <w:kern w:val="0"/>
                      <w:sz w:val="21"/>
                      <w:szCs w:val="21"/>
                      <w:lang w:val="en-US" w:eastAsia="zh-CN" w:bidi="ar"/>
                    </w:rPr>
                    <w:t>以上。</w:t>
                  </w:r>
                </w:p>
              </w:tc>
              <w:tc>
                <w:tcPr>
                  <w:tcW w:w="1807" w:type="pct"/>
                  <w:tcBorders>
                    <w:tl2br w:val="nil"/>
                    <w:tr2bl w:val="nil"/>
                  </w:tcBorders>
                  <w:vAlign w:val="center"/>
                </w:tcPr>
                <w:p>
                  <w:pPr>
                    <w:pStyle w:val="26"/>
                    <w:rPr>
                      <w:rFonts w:hint="default" w:eastAsia="宋体"/>
                      <w:kern w:val="0"/>
                      <w:lang w:val="en-US" w:eastAsia="zh-CN"/>
                    </w:rPr>
                  </w:pPr>
                  <w:r>
                    <w:rPr>
                      <w:rFonts w:hint="eastAsia" w:eastAsia="宋体"/>
                      <w:kern w:val="0"/>
                      <w:lang w:val="en-US" w:eastAsia="zh-CN"/>
                    </w:rPr>
                    <w:t>本项目不属于“两高”项目。本项目污染物</w:t>
                  </w:r>
                  <w:r>
                    <w:rPr>
                      <w:rFonts w:hint="default" w:ascii="Times New Roman" w:hAnsi="Times New Roman" w:eastAsia="FZFangSong-Z02" w:cs="Times New Roman"/>
                      <w:color w:val="000000"/>
                      <w:kern w:val="0"/>
                      <w:sz w:val="21"/>
                      <w:szCs w:val="21"/>
                      <w:lang w:val="en-US" w:eastAsia="zh-CN" w:bidi="ar"/>
                    </w:rPr>
                    <w:t>排放限值、污染治理措施、无组织排放控制水平、运输方式等</w:t>
                  </w:r>
                  <w:r>
                    <w:rPr>
                      <w:rFonts w:hint="eastAsia" w:ascii="Times New Roman" w:hAnsi="Times New Roman" w:eastAsia="FZFangSong-Z02" w:cs="Times New Roman"/>
                      <w:color w:val="000000"/>
                      <w:kern w:val="0"/>
                      <w:sz w:val="21"/>
                      <w:szCs w:val="21"/>
                      <w:lang w:val="en-US" w:eastAsia="zh-CN" w:bidi="ar"/>
                    </w:rPr>
                    <w:t>按照</w:t>
                  </w:r>
                  <w:r>
                    <w:rPr>
                      <w:rFonts w:hint="default" w:ascii="Times New Roman" w:hAnsi="Times New Roman" w:eastAsia="宋体" w:cs="Times New Roman"/>
                      <w:color w:val="000000"/>
                      <w:kern w:val="0"/>
                      <w:sz w:val="21"/>
                      <w:szCs w:val="21"/>
                      <w:lang w:val="en-US" w:eastAsia="zh-CN" w:bidi="ar"/>
                    </w:rPr>
                    <w:t>A</w:t>
                  </w:r>
                  <w:r>
                    <w:rPr>
                      <w:rFonts w:hint="default" w:ascii="Times New Roman" w:hAnsi="Times New Roman" w:eastAsia="FZFangSong-Z02" w:cs="Times New Roman"/>
                      <w:color w:val="000000"/>
                      <w:kern w:val="0"/>
                      <w:sz w:val="21"/>
                      <w:szCs w:val="21"/>
                      <w:lang w:val="en-US" w:eastAsia="zh-CN" w:bidi="ar"/>
                    </w:rPr>
                    <w:t>级绩效水平</w:t>
                  </w:r>
                  <w:r>
                    <w:rPr>
                      <w:rFonts w:hint="eastAsia" w:ascii="Times New Roman" w:hAnsi="Times New Roman" w:eastAsia="FZFangSong-Z02" w:cs="Times New Roman"/>
                      <w:color w:val="000000"/>
                      <w:kern w:val="0"/>
                      <w:sz w:val="21"/>
                      <w:szCs w:val="21"/>
                      <w:lang w:val="en-US" w:eastAsia="zh-CN" w:bidi="ar"/>
                    </w:rPr>
                    <w:t>要求进行建设。</w:t>
                  </w:r>
                </w:p>
              </w:tc>
              <w:tc>
                <w:tcPr>
                  <w:tcW w:w="671"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w:t>
                  </w:r>
                </w:p>
              </w:tc>
            </w:tr>
          </w:tbl>
          <w:p>
            <w:pPr>
              <w:ind w:firstLine="480"/>
              <w:rPr>
                <w:rFonts w:hint="eastAsia" w:ascii="Times New Roman" w:hAnsi="Times New Roman" w:eastAsia="宋体"/>
                <w:lang w:val="en-US" w:eastAsia="zh-CN"/>
              </w:rPr>
            </w:pPr>
            <w:r>
              <w:rPr>
                <w:rFonts w:hint="eastAsia"/>
              </w:rPr>
              <w:t>由</w:t>
            </w:r>
            <w:r>
              <w:rPr>
                <w:rFonts w:hint="eastAsia" w:ascii="Times New Roman" w:hAnsi="Times New Roman" w:eastAsia="宋体"/>
              </w:rPr>
              <w:t>上表可知，本项目符合</w:t>
            </w:r>
            <w:r>
              <w:rPr>
                <w:rFonts w:hint="default" w:ascii="Times New Roman" w:hAnsi="Times New Roman" w:eastAsia="宋体"/>
                <w:lang w:val="en-US" w:eastAsia="zh-CN"/>
              </w:rPr>
              <w:t>《河南省生态环境保护委员会办公室关于印发河南省深入打好秋冬季重污染天气消除、夏季臭氧污染防治和柴油货车污染治理攻坚战行动方案的通知》（豫环委办〔2023〕3号）</w:t>
            </w:r>
            <w:r>
              <w:rPr>
                <w:rFonts w:hint="eastAsia" w:ascii="Times New Roman" w:hAnsi="Times New Roman" w:eastAsia="宋体"/>
              </w:rPr>
              <w:t>相关要求。</w:t>
            </w:r>
          </w:p>
          <w:p>
            <w:pPr>
              <w:ind w:firstLine="482"/>
              <w:rPr>
                <w:rFonts w:cs="Times New Roman"/>
                <w:b/>
                <w:bCs/>
              </w:rPr>
            </w:pPr>
            <w:r>
              <w:rPr>
                <w:rFonts w:hint="eastAsia" w:cs="Times New Roman"/>
                <w:b/>
                <w:bCs/>
                <w:lang w:val="en-US" w:eastAsia="zh-CN"/>
              </w:rPr>
              <w:t>5</w:t>
            </w:r>
            <w:r>
              <w:rPr>
                <w:rFonts w:hint="eastAsia" w:cs="Times New Roman"/>
                <w:b/>
                <w:bCs/>
              </w:rPr>
              <w:t>、项目与《河南省重污染天气通用行业应急减排措施制定技术指南》（2</w:t>
            </w:r>
            <w:r>
              <w:rPr>
                <w:rFonts w:cs="Times New Roman"/>
                <w:b/>
                <w:bCs/>
              </w:rPr>
              <w:t>021</w:t>
            </w:r>
            <w:r>
              <w:rPr>
                <w:rFonts w:hint="eastAsia" w:cs="Times New Roman"/>
                <w:b/>
                <w:bCs/>
              </w:rPr>
              <w:t>年修订版）相符性分析。</w:t>
            </w:r>
          </w:p>
          <w:p>
            <w:pPr>
              <w:ind w:firstLine="0" w:firstLineChars="0"/>
              <w:jc w:val="center"/>
              <w:rPr>
                <w:rFonts w:eastAsia="黑体" w:cs="Times New Roman"/>
              </w:rPr>
            </w:pPr>
            <w:r>
              <w:rPr>
                <w:rFonts w:hint="eastAsia" w:eastAsia="黑体" w:cs="Times New Roman"/>
              </w:rPr>
              <w:t>表1-</w:t>
            </w:r>
            <w:r>
              <w:rPr>
                <w:rFonts w:hint="eastAsia" w:eastAsia="黑体" w:cs="Times New Roman"/>
                <w:lang w:val="en-US" w:eastAsia="zh-CN"/>
              </w:rPr>
              <w:t>4</w:t>
            </w:r>
            <w:r>
              <w:rPr>
                <w:rFonts w:hint="eastAsia" w:eastAsia="黑体" w:cs="Times New Roman"/>
              </w:rPr>
              <w:t xml:space="preserve">  项目与《河南省重污染天气通用行业应急减排措施制定技术指南》（2021年修订版）符合性对比一览表</w:t>
            </w:r>
          </w:p>
          <w:tbl>
            <w:tblPr>
              <w:tblStyle w:val="33"/>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94"/>
              <w:gridCol w:w="4421"/>
              <w:gridCol w:w="2941"/>
              <w:gridCol w:w="9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829" w:type="pct"/>
                  <w:gridSpan w:val="2"/>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通用行业基本要求</w:t>
                  </w:r>
                </w:p>
              </w:tc>
              <w:tc>
                <w:tcPr>
                  <w:tcW w:w="1626"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本项目</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000" w:type="pct"/>
                  <w:gridSpan w:val="4"/>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涉PM企业基本要求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2829" w:type="pct"/>
                  <w:gridSpan w:val="2"/>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1、物料装卸；不易产尘的袋装物料宜在料棚中装卸，如需露天装卸应采取防止破袋及粉尘外逸措施。</w:t>
                  </w:r>
                </w:p>
              </w:tc>
              <w:tc>
                <w:tcPr>
                  <w:tcW w:w="1626"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本</w:t>
                  </w:r>
                  <w:r>
                    <w:rPr>
                      <w:rFonts w:hint="eastAsia" w:cs="Times New Roman"/>
                      <w:kern w:val="0"/>
                      <w:sz w:val="21"/>
                      <w:lang w:val="en-US" w:eastAsia="zh-CN"/>
                    </w:rPr>
                    <w:t>项目物料为</w:t>
                  </w:r>
                  <w:r>
                    <w:rPr>
                      <w:rFonts w:hint="eastAsia" w:cs="Times New Roman"/>
                      <w:kern w:val="0"/>
                      <w:sz w:val="21"/>
                    </w:rPr>
                    <w:t>袋装，</w:t>
                  </w:r>
                  <w:r>
                    <w:rPr>
                      <w:rFonts w:hint="eastAsia" w:cs="Times New Roman"/>
                      <w:kern w:val="0"/>
                      <w:sz w:val="21"/>
                      <w:lang w:val="en-US" w:eastAsia="zh-CN"/>
                    </w:rPr>
                    <w:t>物料</w:t>
                  </w:r>
                  <w:r>
                    <w:rPr>
                      <w:rFonts w:hint="eastAsia" w:cs="Times New Roman"/>
                      <w:kern w:val="0"/>
                      <w:sz w:val="21"/>
                    </w:rPr>
                    <w:t>装卸在</w:t>
                  </w:r>
                  <w:r>
                    <w:rPr>
                      <w:rFonts w:hint="eastAsia" w:cs="Times New Roman"/>
                      <w:kern w:val="0"/>
                      <w:sz w:val="21"/>
                      <w:lang w:val="en-US" w:eastAsia="zh-CN"/>
                    </w:rPr>
                    <w:t>密闭的</w:t>
                  </w:r>
                  <w:r>
                    <w:rPr>
                      <w:rFonts w:hint="eastAsia" w:cs="Times New Roman"/>
                      <w:kern w:val="0"/>
                      <w:sz w:val="21"/>
                    </w:rPr>
                    <w:t>原料库。</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2829" w:type="pct"/>
                  <w:gridSpan w:val="2"/>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2、物料储存；一般物料。粉状物料应储存于密闭/封闭料仓中；粒状、块状物料应储存于封闭料场中，并采取喷淋、清扫或其他有效抑尘措施；袋装物料应储存于封闭/半封闭料场中。封闭料场顶棚和四周围墙完整，料场内路面全部硬化，料场货物进出大门为硬质材料门或自动感应门，在确保安全的情况下，所有门窗保持常闭状态。不产尘物料（如钢材、管件）及产品如露天储存应在规定的存储区域码放整齐。危险废物。应有符合规范要求的危险废物储存间，危险废物储存间门口应张贴标准规范的危险废物标识和危废信息板，建立台账并挂于危废间内，危险废物的记录和货单保存3年以上。危废间内禁止存放除危险废物和应急工具外的其他物品。</w:t>
                  </w:r>
                </w:p>
              </w:tc>
              <w:tc>
                <w:tcPr>
                  <w:tcW w:w="1626" w:type="pct"/>
                  <w:tcBorders>
                    <w:tl2br w:val="nil"/>
                    <w:tr2bl w:val="nil"/>
                  </w:tcBorders>
                  <w:vAlign w:val="center"/>
                </w:tcPr>
                <w:p>
                  <w:pPr>
                    <w:spacing w:line="320" w:lineRule="exact"/>
                    <w:ind w:firstLine="0" w:firstLineChars="0"/>
                    <w:rPr>
                      <w:rFonts w:hint="default" w:cs="Times New Roman"/>
                      <w:kern w:val="0"/>
                      <w:sz w:val="21"/>
                      <w:lang w:val="en-US"/>
                    </w:rPr>
                  </w:pPr>
                  <w:r>
                    <w:rPr>
                      <w:rFonts w:hint="eastAsia" w:cs="Times New Roman"/>
                      <w:kern w:val="0"/>
                      <w:sz w:val="21"/>
                    </w:rPr>
                    <w:t>本项目</w:t>
                  </w:r>
                  <w:r>
                    <w:rPr>
                      <w:rFonts w:hint="eastAsia" w:cs="Times New Roman"/>
                      <w:kern w:val="0"/>
                      <w:sz w:val="21"/>
                      <w:lang w:val="en-US" w:eastAsia="zh-CN"/>
                    </w:rPr>
                    <w:t>物料为</w:t>
                  </w:r>
                  <w:r>
                    <w:rPr>
                      <w:rFonts w:hint="eastAsia" w:cs="Times New Roman"/>
                      <w:kern w:val="0"/>
                      <w:sz w:val="21"/>
                    </w:rPr>
                    <w:t>袋装，</w:t>
                  </w:r>
                  <w:r>
                    <w:rPr>
                      <w:rFonts w:hint="eastAsia" w:cs="Times New Roman"/>
                      <w:kern w:val="0"/>
                      <w:sz w:val="21"/>
                      <w:lang w:val="en-US" w:eastAsia="zh-CN"/>
                    </w:rPr>
                    <w:t>储存于封闭的原料库内。原料库地面硬化，进出大门为硬质材料门，原料库门窗保持常密闭状态。本项目不产生危险废物。</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2829" w:type="pct"/>
                  <w:gridSpan w:val="2"/>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3、物料转移和输送；粉状、粒状等易产尘物料厂内转移、输送过程应采用气力输送、密闭输送，块状和粘湿粉状物料采用封闭输送；无法封闭的产尘点（物料转载、下料口等）应采取集气除尘措施，或有效抑尘措施。</w:t>
                  </w:r>
                </w:p>
              </w:tc>
              <w:tc>
                <w:tcPr>
                  <w:tcW w:w="1626" w:type="pct"/>
                  <w:tcBorders>
                    <w:tl2br w:val="nil"/>
                    <w:tr2bl w:val="nil"/>
                  </w:tcBorders>
                  <w:vAlign w:val="center"/>
                </w:tcPr>
                <w:p>
                  <w:pPr>
                    <w:spacing w:line="320" w:lineRule="exact"/>
                    <w:ind w:firstLine="0" w:firstLineChars="0"/>
                    <w:rPr>
                      <w:rFonts w:hint="default" w:eastAsia="宋体" w:cs="Times New Roman"/>
                      <w:kern w:val="0"/>
                      <w:sz w:val="21"/>
                      <w:lang w:val="en-US" w:eastAsia="zh-CN"/>
                    </w:rPr>
                  </w:pPr>
                  <w:r>
                    <w:rPr>
                      <w:rFonts w:hint="eastAsia" w:cs="Times New Roman"/>
                      <w:kern w:val="0"/>
                      <w:sz w:val="21"/>
                    </w:rPr>
                    <w:t>本项目</w:t>
                  </w:r>
                  <w:r>
                    <w:rPr>
                      <w:rFonts w:hint="eastAsia" w:cs="Times New Roman"/>
                      <w:kern w:val="0"/>
                      <w:sz w:val="21"/>
                      <w:lang w:val="en-US" w:eastAsia="zh-CN"/>
                    </w:rPr>
                    <w:t>物料转移、输送采用气力密闭输送。输送产生的粉尘经收集引至袋式除尘器处理。</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2829" w:type="pct"/>
                  <w:gridSpan w:val="2"/>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4、成品包装；卸料口应完全封闭，如不能封闭应采取局部集气除尘措施。卸料口地面应及时清扫，地面无明显积尘。</w:t>
                  </w:r>
                </w:p>
              </w:tc>
              <w:tc>
                <w:tcPr>
                  <w:tcW w:w="1626" w:type="pct"/>
                  <w:tcBorders>
                    <w:tl2br w:val="nil"/>
                    <w:tr2bl w:val="nil"/>
                  </w:tcBorders>
                  <w:vAlign w:val="center"/>
                </w:tcPr>
                <w:p>
                  <w:pPr>
                    <w:spacing w:line="320" w:lineRule="exact"/>
                    <w:ind w:firstLine="0" w:firstLineChars="0"/>
                    <w:rPr>
                      <w:rFonts w:hint="default" w:eastAsia="宋体" w:cs="Times New Roman"/>
                      <w:kern w:val="0"/>
                      <w:sz w:val="21"/>
                      <w:lang w:val="en-US" w:eastAsia="zh-CN"/>
                    </w:rPr>
                  </w:pPr>
                  <w:r>
                    <w:rPr>
                      <w:rFonts w:hint="eastAsia" w:cs="Times New Roman"/>
                      <w:kern w:val="0"/>
                      <w:sz w:val="21"/>
                    </w:rPr>
                    <w:t>本项目成品</w:t>
                  </w:r>
                  <w:r>
                    <w:rPr>
                      <w:rFonts w:hint="eastAsia" w:cs="Times New Roman"/>
                      <w:kern w:val="0"/>
                      <w:sz w:val="21"/>
                      <w:lang w:val="en-US" w:eastAsia="zh-CN"/>
                    </w:rPr>
                    <w:t>包装过程产生的粉尘经收集引至袋式除尘器处理。</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2829" w:type="pct"/>
                  <w:gridSpan w:val="2"/>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5、工艺过程</w:t>
                  </w:r>
                </w:p>
                <w:p>
                  <w:pPr>
                    <w:spacing w:line="320" w:lineRule="exact"/>
                    <w:ind w:firstLine="0" w:firstLineChars="0"/>
                    <w:rPr>
                      <w:rFonts w:cs="Times New Roman"/>
                      <w:kern w:val="0"/>
                      <w:sz w:val="21"/>
                    </w:rPr>
                  </w:pPr>
                  <w:r>
                    <w:rPr>
                      <w:rFonts w:hint="eastAsia" w:cs="Times New Roman"/>
                      <w:kern w:val="0"/>
                      <w:sz w:val="21"/>
                    </w:rPr>
                    <w:t>各种物料破碎、筛分、配料、混料等过程应在封闭厂房内进行，并采取局部收尘/抑尘措施。破碎筛分设备在进、出料口和配料混料过程等产尘点应设置集气除尘设施。各生产工序的车间地面干净，无积料、积灰现象。生产车间不得有可见烟粉尘外逸。</w:t>
                  </w:r>
                </w:p>
              </w:tc>
              <w:tc>
                <w:tcPr>
                  <w:tcW w:w="1626" w:type="pct"/>
                  <w:tcBorders>
                    <w:tl2br w:val="nil"/>
                    <w:tr2bl w:val="nil"/>
                  </w:tcBorders>
                  <w:vAlign w:val="center"/>
                </w:tcPr>
                <w:p>
                  <w:pPr>
                    <w:spacing w:line="320" w:lineRule="exact"/>
                    <w:ind w:firstLine="0" w:firstLineChars="0"/>
                    <w:rPr>
                      <w:rFonts w:hint="default" w:eastAsia="宋体" w:cs="Times New Roman"/>
                      <w:kern w:val="0"/>
                      <w:sz w:val="21"/>
                      <w:lang w:val="en-US" w:eastAsia="zh-CN"/>
                    </w:rPr>
                  </w:pPr>
                  <w:r>
                    <w:rPr>
                      <w:rFonts w:hint="eastAsia" w:cs="Times New Roman"/>
                      <w:kern w:val="0"/>
                      <w:sz w:val="21"/>
                    </w:rPr>
                    <w:t>本项目</w:t>
                  </w:r>
                  <w:r>
                    <w:rPr>
                      <w:rFonts w:hint="eastAsia" w:cs="Times New Roman"/>
                      <w:kern w:val="0"/>
                      <w:sz w:val="21"/>
                      <w:lang w:val="en-US" w:eastAsia="zh-CN"/>
                    </w:rPr>
                    <w:t>生产混料、筛分等过程均在密闭厂房内进行，</w:t>
                  </w:r>
                  <w:r>
                    <w:rPr>
                      <w:rFonts w:hint="eastAsia" w:cs="Times New Roman"/>
                      <w:kern w:val="0"/>
                      <w:sz w:val="21"/>
                    </w:rPr>
                    <w:t>并采取</w:t>
                  </w:r>
                  <w:r>
                    <w:rPr>
                      <w:rFonts w:hint="eastAsia" w:cs="Times New Roman"/>
                      <w:kern w:val="0"/>
                      <w:sz w:val="21"/>
                      <w:lang w:val="en-US" w:eastAsia="zh-CN"/>
                    </w:rPr>
                    <w:t>粉尘收集</w:t>
                  </w:r>
                  <w:r>
                    <w:rPr>
                      <w:rFonts w:hint="eastAsia" w:cs="Times New Roman"/>
                      <w:kern w:val="0"/>
                      <w:sz w:val="21"/>
                    </w:rPr>
                    <w:t>措施。</w:t>
                  </w:r>
                  <w:r>
                    <w:rPr>
                      <w:rFonts w:hint="eastAsia" w:cs="Times New Roman"/>
                      <w:kern w:val="0"/>
                      <w:sz w:val="21"/>
                      <w:lang w:val="en-US" w:eastAsia="zh-CN"/>
                    </w:rPr>
                    <w:t>生产车间地面干净，</w:t>
                  </w:r>
                  <w:r>
                    <w:rPr>
                      <w:rFonts w:hint="eastAsia" w:cs="Times New Roman"/>
                      <w:kern w:val="0"/>
                      <w:sz w:val="21"/>
                    </w:rPr>
                    <w:t>无积料、积灰现象。生产车间</w:t>
                  </w:r>
                  <w:r>
                    <w:rPr>
                      <w:rFonts w:hint="eastAsia" w:cs="Times New Roman"/>
                      <w:kern w:val="0"/>
                      <w:sz w:val="21"/>
                      <w:lang w:val="en-US" w:eastAsia="zh-CN"/>
                    </w:rPr>
                    <w:t>无</w:t>
                  </w:r>
                  <w:r>
                    <w:rPr>
                      <w:rFonts w:hint="eastAsia" w:cs="Times New Roman"/>
                      <w:kern w:val="0"/>
                      <w:sz w:val="21"/>
                    </w:rPr>
                    <w:t>可见烟粉尘外逸。</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5" w:hRule="atLeast"/>
                <w:jc w:val="center"/>
              </w:trPr>
              <w:tc>
                <w:tcPr>
                  <w:tcW w:w="5000" w:type="pct"/>
                  <w:gridSpan w:val="4"/>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其他基本要求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restar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1</w:t>
                  </w:r>
                  <w:r>
                    <w:rPr>
                      <w:rFonts w:cs="Times New Roman"/>
                      <w:kern w:val="0"/>
                      <w:sz w:val="21"/>
                    </w:rPr>
                    <w:t>.</w:t>
                  </w:r>
                  <w:r>
                    <w:rPr>
                      <w:rFonts w:hint="eastAsia" w:cs="Times New Roman"/>
                      <w:kern w:val="0"/>
                      <w:sz w:val="21"/>
                    </w:rPr>
                    <w:t>运输方式及运输监管</w:t>
                  </w: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（1）运输方式</w:t>
                  </w:r>
                </w:p>
                <w:p>
                  <w:pPr>
                    <w:spacing w:line="320" w:lineRule="exact"/>
                    <w:ind w:firstLine="0" w:firstLineChars="0"/>
                    <w:rPr>
                      <w:rFonts w:cs="Times New Roman"/>
                      <w:kern w:val="0"/>
                      <w:sz w:val="21"/>
                    </w:rPr>
                  </w:pPr>
                  <w:r>
                    <w:rPr>
                      <w:rFonts w:hint="eastAsia" w:cs="Times New Roman"/>
                      <w:kern w:val="0"/>
                      <w:sz w:val="21"/>
                    </w:rPr>
                    <w:t>①公路运输。物料公路运输使用达到国五及以上排放标准重型载货车辆（重型燃气车辆达到国六排放标准）或新能源车辆比例（A级100%，B级不低于80%），其他车辆达到国四排放标准（重型燃气车辆达到国五及以上排放标准）；②厂内运输车辆。达到国五及以上排放标准（重型燃气车辆达到国六排放标准）或使用新能源车辆的比例（A级100%，B级不低于80%），其他车辆达到国四排放标准（重型燃气车辆达到国五及以上排放标准）﹔③危险品及危废运输。国五及以上或新能源车辆（A级/B级100%）；④厂内非道路移动机械。国三及以上排放标准或使用新能源机械（A级/B级100%）。</w:t>
                  </w:r>
                </w:p>
              </w:tc>
              <w:tc>
                <w:tcPr>
                  <w:tcW w:w="1626"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lang w:val="en-US" w:eastAsia="zh-CN"/>
                    </w:rPr>
                    <w:t>本项目</w:t>
                  </w:r>
                  <w:r>
                    <w:rPr>
                      <w:rFonts w:hint="eastAsia" w:cs="Times New Roman"/>
                      <w:kern w:val="0"/>
                      <w:sz w:val="21"/>
                    </w:rPr>
                    <w:t>物料公路运输和厂内运输车辆全部使用国五及以上车辆运输方式；厂内非道路移动机械使用国三及以上排放标准。</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continue"/>
                  <w:tcBorders>
                    <w:tl2br w:val="nil"/>
                    <w:tr2bl w:val="nil"/>
                  </w:tcBorders>
                  <w:vAlign w:val="center"/>
                </w:tcPr>
                <w:p>
                  <w:pPr>
                    <w:spacing w:line="320" w:lineRule="exact"/>
                    <w:ind w:firstLine="0" w:firstLineChars="0"/>
                    <w:rPr>
                      <w:rFonts w:cs="Times New Roman"/>
                      <w:kern w:val="0"/>
                      <w:sz w:val="21"/>
                    </w:rPr>
                  </w:pP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w:t>
                  </w:r>
                  <w:r>
                    <w:rPr>
                      <w:rFonts w:cs="Times New Roman"/>
                      <w:kern w:val="0"/>
                      <w:sz w:val="21"/>
                    </w:rPr>
                    <w:t>2</w:t>
                  </w:r>
                  <w:r>
                    <w:rPr>
                      <w:rFonts w:hint="eastAsia" w:cs="Times New Roman"/>
                      <w:kern w:val="0"/>
                      <w:sz w:val="21"/>
                    </w:rPr>
                    <w:t>）运输监管厂区货运车辆进出大门口</w:t>
                  </w:r>
                  <w:r>
                    <w:rPr>
                      <w:rFonts w:hint="eastAsia" w:cs="Times New Roman"/>
                      <w:kern w:val="0"/>
                      <w:sz w:val="21"/>
                      <w:lang w:eastAsia="zh-CN"/>
                    </w:rPr>
                    <w:t>：</w:t>
                  </w:r>
                  <w:r>
                    <w:rPr>
                      <w:rFonts w:hint="eastAsia" w:cs="Times New Roman"/>
                      <w:kern w:val="0"/>
                      <w:sz w:val="21"/>
                    </w:rPr>
                    <w:t>日均进出货物150吨（或载货车辆日进出10辆次）及以上（货物包括原料、辅料、燃料、产品和其他与生产相关物料）的企业，或纳入我省重点行业年产值1000万及以上的企业，拟申报A、B级企业时，应参照《重污染天气重点行业移动源应急管理技术指南》建立门禁视频监控系统和电子台账；其他企业建立电子台账。安装高清视频监控系统并能保留数据6个月以上。</w:t>
                  </w:r>
                </w:p>
              </w:tc>
              <w:tc>
                <w:tcPr>
                  <w:tcW w:w="1626"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本项目日均进出货物小于1</w:t>
                  </w:r>
                  <w:r>
                    <w:rPr>
                      <w:rFonts w:cs="Times New Roman"/>
                      <w:kern w:val="0"/>
                      <w:sz w:val="21"/>
                    </w:rPr>
                    <w:t>50</w:t>
                  </w:r>
                  <w:r>
                    <w:rPr>
                      <w:rFonts w:hint="eastAsia" w:cs="Times New Roman"/>
                      <w:kern w:val="0"/>
                      <w:sz w:val="21"/>
                    </w:rPr>
                    <w:t>吨，载货车辆日进出小于1</w:t>
                  </w:r>
                  <w:r>
                    <w:rPr>
                      <w:rFonts w:cs="Times New Roman"/>
                      <w:kern w:val="0"/>
                      <w:sz w:val="21"/>
                    </w:rPr>
                    <w:t>0</w:t>
                  </w:r>
                  <w:r>
                    <w:rPr>
                      <w:rFonts w:hint="eastAsia" w:cs="Times New Roman"/>
                      <w:kern w:val="0"/>
                      <w:sz w:val="21"/>
                    </w:rPr>
                    <w:t>辆/次，厂区安装高清视频监控系统并能保留数据6个月以上，并建立电子台账。</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restar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2</w:t>
                  </w:r>
                  <w:r>
                    <w:rPr>
                      <w:rFonts w:cs="Times New Roman"/>
                      <w:kern w:val="0"/>
                      <w:sz w:val="21"/>
                    </w:rPr>
                    <w:t>.</w:t>
                  </w:r>
                  <w:r>
                    <w:rPr>
                      <w:rFonts w:hint="eastAsia" w:cs="Times New Roman"/>
                      <w:kern w:val="0"/>
                      <w:sz w:val="21"/>
                    </w:rPr>
                    <w:t>环境管理要求</w:t>
                  </w: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（1）环保档案资料齐全</w:t>
                  </w:r>
                </w:p>
                <w:p>
                  <w:pPr>
                    <w:spacing w:line="320" w:lineRule="exact"/>
                    <w:ind w:firstLine="0" w:firstLineChars="0"/>
                    <w:rPr>
                      <w:rFonts w:cs="Times New Roman"/>
                      <w:kern w:val="0"/>
                      <w:sz w:val="21"/>
                    </w:rPr>
                  </w:pPr>
                  <w:r>
                    <w:rPr>
                      <w:rFonts w:hint="eastAsia" w:cs="Times New Roman"/>
                      <w:kern w:val="0"/>
                      <w:sz w:val="21"/>
                    </w:rPr>
                    <w:t>①环评批复文件和竣工验收文件/现状评估文件；②废气治理设施运行管理规程；③一年内废气监测报告；④国家版排污许可证，并按要求开展自行监测和信息披露，有规范的排气筒监测平台和排污口标识。</w:t>
                  </w:r>
                </w:p>
              </w:tc>
              <w:tc>
                <w:tcPr>
                  <w:tcW w:w="1626" w:type="pct"/>
                  <w:vMerge w:val="restar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本项目正在办理环评手续，评价建议企业在完成环评手续后尽快完善环保措施，并申报排污许可证和办理验收手续，按照排污许可证要求进行例行监测；完善台账记录：①生产设施运行管理信息（生产时间、运行负荷、产品产量等）；②废气污染治理设施运行管理信息（除尘滤料更换量和时间）﹔③监测记录信息（主要污染排放口废气排放记录（手工监测和在线监测）等﹔④主要原辅材料、燃料消耗记录（A、B级企业必需）﹔⑤电消耗记录（已安装用电监管设备的A、B级企业必需）。制定管理制度：1、专兼职环保人员；2、废气治理设施运行管理规程。</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continue"/>
                  <w:tcBorders>
                    <w:tl2br w:val="nil"/>
                    <w:tr2bl w:val="nil"/>
                  </w:tcBorders>
                  <w:vAlign w:val="center"/>
                </w:tcPr>
                <w:p>
                  <w:pPr>
                    <w:spacing w:line="320" w:lineRule="exact"/>
                    <w:ind w:firstLine="0" w:firstLineChars="0"/>
                    <w:rPr>
                      <w:rFonts w:cs="Times New Roman"/>
                      <w:kern w:val="0"/>
                      <w:sz w:val="21"/>
                    </w:rPr>
                  </w:pP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（2）台账记录信息完整</w:t>
                  </w:r>
                </w:p>
                <w:p>
                  <w:pPr>
                    <w:spacing w:line="320" w:lineRule="exact"/>
                    <w:ind w:firstLine="0" w:firstLineChars="0"/>
                    <w:rPr>
                      <w:rFonts w:cs="Times New Roman"/>
                      <w:kern w:val="0"/>
                      <w:sz w:val="21"/>
                    </w:rPr>
                  </w:pPr>
                  <w:r>
                    <w:rPr>
                      <w:rFonts w:hint="eastAsia" w:cs="Times New Roman"/>
                      <w:kern w:val="0"/>
                      <w:sz w:val="21"/>
                    </w:rPr>
                    <w:t>①生产设施运行管理信息（生产时间、运行负荷、产品产量等）；②废气污染治理设施运行管理信息（除尘滤料、活性炭等更换量和时间）﹔③监测记录信息（主要污染排放口废气排放记录（手工监测和在线监测）等〉﹔④主要原辅材料、燃料消耗记录（A、B级企业必需）﹔⑤电消耗记录（已安装用电监管设备的A、B级企业必需）。</w:t>
                  </w:r>
                </w:p>
              </w:tc>
              <w:tc>
                <w:tcPr>
                  <w:tcW w:w="1626" w:type="pct"/>
                  <w:vMerge w:val="continue"/>
                  <w:tcBorders>
                    <w:tl2br w:val="nil"/>
                    <w:tr2bl w:val="nil"/>
                  </w:tcBorders>
                  <w:vAlign w:val="center"/>
                </w:tcPr>
                <w:p>
                  <w:pPr>
                    <w:spacing w:line="320" w:lineRule="exact"/>
                    <w:ind w:firstLine="0" w:firstLineChars="0"/>
                    <w:rPr>
                      <w:rFonts w:cs="Times New Roman"/>
                      <w:kern w:val="0"/>
                      <w:sz w:val="21"/>
                    </w:rPr>
                  </w:pP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continue"/>
                  <w:tcBorders>
                    <w:tl2br w:val="nil"/>
                    <w:tr2bl w:val="nil"/>
                  </w:tcBorders>
                  <w:vAlign w:val="center"/>
                </w:tcPr>
                <w:p>
                  <w:pPr>
                    <w:spacing w:line="320" w:lineRule="exact"/>
                    <w:ind w:firstLine="0" w:firstLineChars="0"/>
                    <w:rPr>
                      <w:rFonts w:cs="Times New Roman"/>
                      <w:kern w:val="0"/>
                      <w:sz w:val="21"/>
                    </w:rPr>
                  </w:pP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（3）人员配置合理</w:t>
                  </w:r>
                </w:p>
                <w:p>
                  <w:pPr>
                    <w:spacing w:line="320" w:lineRule="exact"/>
                    <w:ind w:firstLine="0" w:firstLineChars="0"/>
                    <w:rPr>
                      <w:rFonts w:cs="Times New Roman"/>
                      <w:kern w:val="0"/>
                      <w:sz w:val="21"/>
                    </w:rPr>
                  </w:pPr>
                  <w:r>
                    <w:rPr>
                      <w:rFonts w:hint="eastAsia" w:cs="Times New Roman"/>
                      <w:kern w:val="0"/>
                      <w:sz w:val="21"/>
                    </w:rPr>
                    <w:t>配备专/兼职环保人员，并具备相应的环境管理能力（学历、培训、从业经验等）。</w:t>
                  </w:r>
                </w:p>
              </w:tc>
              <w:tc>
                <w:tcPr>
                  <w:tcW w:w="1626" w:type="pct"/>
                  <w:vMerge w:val="continue"/>
                  <w:tcBorders>
                    <w:tl2br w:val="nil"/>
                    <w:tr2bl w:val="nil"/>
                  </w:tcBorders>
                  <w:vAlign w:val="center"/>
                </w:tcPr>
                <w:p>
                  <w:pPr>
                    <w:spacing w:line="320" w:lineRule="exact"/>
                    <w:ind w:firstLine="0" w:firstLineChars="0"/>
                    <w:rPr>
                      <w:rFonts w:cs="Times New Roman"/>
                      <w:kern w:val="0"/>
                      <w:sz w:val="21"/>
                    </w:rPr>
                  </w:pP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restar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3、其他控制要求</w:t>
                  </w: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（1）生产工艺和装备</w:t>
                  </w:r>
                </w:p>
                <w:p>
                  <w:pPr>
                    <w:spacing w:line="320" w:lineRule="exact"/>
                    <w:ind w:firstLine="0" w:firstLineChars="0"/>
                    <w:rPr>
                      <w:rFonts w:cs="Times New Roman"/>
                      <w:kern w:val="0"/>
                      <w:sz w:val="21"/>
                    </w:rPr>
                  </w:pPr>
                  <w:r>
                    <w:rPr>
                      <w:rFonts w:hint="eastAsia" w:cs="Times New Roman"/>
                      <w:kern w:val="0"/>
                      <w:sz w:val="21"/>
                    </w:rPr>
                    <w:t>不属于《产业结构调整指导目录（2019年版）》淘汰类，不属于省级和市级政府部门明确列入已经限期淘汰类项目。</w:t>
                  </w:r>
                </w:p>
              </w:tc>
              <w:tc>
                <w:tcPr>
                  <w:tcW w:w="1626"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本项目不属于省级和市级政府部门明确列入已经限期淘汰类项目。</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continue"/>
                  <w:tcBorders>
                    <w:tl2br w:val="nil"/>
                    <w:tr2bl w:val="nil"/>
                  </w:tcBorders>
                  <w:vAlign w:val="center"/>
                </w:tcPr>
                <w:p>
                  <w:pPr>
                    <w:spacing w:line="320" w:lineRule="exact"/>
                    <w:ind w:firstLine="0" w:firstLineChars="0"/>
                    <w:rPr>
                      <w:rFonts w:cs="Times New Roman"/>
                      <w:kern w:val="0"/>
                      <w:sz w:val="21"/>
                    </w:rPr>
                  </w:pP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（2）污染治理副产物</w:t>
                  </w:r>
                </w:p>
                <w:p>
                  <w:pPr>
                    <w:spacing w:line="320" w:lineRule="exact"/>
                    <w:ind w:firstLine="0" w:firstLineChars="0"/>
                    <w:rPr>
                      <w:rFonts w:cs="Times New Roman"/>
                      <w:kern w:val="0"/>
                      <w:sz w:val="21"/>
                    </w:rPr>
                  </w:pPr>
                  <w:r>
                    <w:rPr>
                      <w:rFonts w:hint="eastAsia" w:cs="Times New Roman"/>
                      <w:kern w:val="0"/>
                      <w:sz w:val="21"/>
                    </w:rPr>
                    <w:t>除尘器应设置密闭灰仓并及时卸灰，除尘灰应通过气力输送、罐车、袋子等封闭方式卸灰，不得直接卸落到地面。除尘灰如果转运应采用气力输送、封闭传送带方式，如果直接外运应采用罐车或袋装后运输，并在装车过程中采取抑尘措施，除尘灰在厂区内应密闭/封闭储存；脱硫石膏和脱硫废渣等固体废物在转运过程中应采取抑尘措施并应封闭储存。</w:t>
                  </w:r>
                </w:p>
              </w:tc>
              <w:tc>
                <w:tcPr>
                  <w:tcW w:w="1626" w:type="pct"/>
                  <w:tcBorders>
                    <w:tl2br w:val="nil"/>
                    <w:tr2bl w:val="nil"/>
                  </w:tcBorders>
                  <w:vAlign w:val="center"/>
                </w:tcPr>
                <w:p>
                  <w:pPr>
                    <w:spacing w:line="320" w:lineRule="exact"/>
                    <w:ind w:firstLine="0" w:firstLineChars="0"/>
                    <w:rPr>
                      <w:rFonts w:hint="eastAsia" w:eastAsia="宋体" w:cs="Times New Roman"/>
                      <w:kern w:val="0"/>
                      <w:sz w:val="21"/>
                      <w:lang w:val="en-US" w:eastAsia="zh-CN"/>
                    </w:rPr>
                  </w:pPr>
                  <w:r>
                    <w:rPr>
                      <w:rFonts w:hint="eastAsia" w:cs="Times New Roman"/>
                      <w:kern w:val="0"/>
                      <w:sz w:val="21"/>
                    </w:rPr>
                    <w:t>本项目</w:t>
                  </w:r>
                  <w:r>
                    <w:rPr>
                      <w:rFonts w:hint="eastAsia" w:cs="Times New Roman"/>
                      <w:kern w:val="0"/>
                      <w:sz w:val="21"/>
                      <w:lang w:val="en-US" w:eastAsia="zh-CN"/>
                    </w:rPr>
                    <w:t>除尘器设置</w:t>
                  </w:r>
                  <w:r>
                    <w:rPr>
                      <w:rFonts w:hint="eastAsia" w:cs="Times New Roman"/>
                      <w:kern w:val="0"/>
                      <w:sz w:val="21"/>
                    </w:rPr>
                    <w:t>密闭灰仓并及时卸灰，除尘灰通过袋子封闭方式卸灰</w:t>
                  </w:r>
                  <w:r>
                    <w:rPr>
                      <w:rFonts w:hint="eastAsia" w:cs="Times New Roman"/>
                      <w:kern w:val="0"/>
                      <w:sz w:val="21"/>
                      <w:lang w:eastAsia="zh-CN"/>
                    </w:rPr>
                    <w:t>，</w:t>
                  </w:r>
                  <w:r>
                    <w:rPr>
                      <w:rFonts w:hint="eastAsia" w:cs="Times New Roman"/>
                      <w:kern w:val="0"/>
                      <w:sz w:val="21"/>
                      <w:lang w:val="en-US" w:eastAsia="zh-CN"/>
                    </w:rPr>
                    <w:t>在厂区密闭储存。除尘</w:t>
                  </w:r>
                  <w:r>
                    <w:rPr>
                      <w:rFonts w:hint="eastAsia" w:cs="Times New Roman"/>
                      <w:kern w:val="0"/>
                      <w:sz w:val="21"/>
                    </w:rPr>
                    <w:t>袋装后</w:t>
                  </w:r>
                  <w:r>
                    <w:rPr>
                      <w:rFonts w:hint="eastAsia" w:cs="Times New Roman"/>
                      <w:kern w:val="0"/>
                      <w:sz w:val="21"/>
                      <w:lang w:val="en-US" w:eastAsia="zh-CN"/>
                    </w:rPr>
                    <w:t>外运。</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continue"/>
                  <w:tcBorders>
                    <w:tl2br w:val="nil"/>
                    <w:tr2bl w:val="nil"/>
                  </w:tcBorders>
                  <w:vAlign w:val="center"/>
                </w:tcPr>
                <w:p>
                  <w:pPr>
                    <w:spacing w:line="320" w:lineRule="exact"/>
                    <w:ind w:firstLine="0" w:firstLineChars="0"/>
                    <w:rPr>
                      <w:rFonts w:cs="Times New Roman"/>
                      <w:kern w:val="0"/>
                      <w:sz w:val="21"/>
                    </w:rPr>
                  </w:pP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（3）用电量/视频监管</w:t>
                  </w:r>
                </w:p>
                <w:p>
                  <w:pPr>
                    <w:spacing w:line="320" w:lineRule="exact"/>
                    <w:ind w:firstLine="0" w:firstLineChars="0"/>
                    <w:rPr>
                      <w:rFonts w:cs="Times New Roman"/>
                      <w:kern w:val="0"/>
                      <w:sz w:val="21"/>
                    </w:rPr>
                  </w:pPr>
                  <w:r>
                    <w:rPr>
                      <w:rFonts w:hint="eastAsia" w:cs="Times New Roman"/>
                      <w:kern w:val="0"/>
                      <w:sz w:val="21"/>
                    </w:rPr>
                    <w:t>按照《河南省涉气排污单位污染治理设施用电监管技术指南（试行）》要求安装用电监管设备（有自动在线监控系统的企业除外），用电监管数据直接上传至省、市生态环境部门的污染治理设施用电监管平台服务器；未安装自动在线监控和用电量监管拟申报A、B级企业，应在主要生产设备（投料口、卸料口等位置）安装视频监控设施，相关数据保存三个月以上。</w:t>
                  </w:r>
                </w:p>
              </w:tc>
              <w:tc>
                <w:tcPr>
                  <w:tcW w:w="1626"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评价建议企业安装用电监管设备，在各产品生产车间安装视频监控设施，相关数据保存三个月以上。</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83" w:type="pct"/>
                  <w:vMerge w:val="continue"/>
                  <w:tcBorders>
                    <w:tl2br w:val="nil"/>
                    <w:tr2bl w:val="nil"/>
                  </w:tcBorders>
                  <w:vAlign w:val="center"/>
                </w:tcPr>
                <w:p>
                  <w:pPr>
                    <w:spacing w:line="320" w:lineRule="exact"/>
                    <w:ind w:firstLine="0" w:firstLineChars="0"/>
                    <w:rPr>
                      <w:rFonts w:cs="Times New Roman"/>
                      <w:kern w:val="0"/>
                      <w:sz w:val="21"/>
                    </w:rPr>
                  </w:pPr>
                </w:p>
              </w:tc>
              <w:tc>
                <w:tcPr>
                  <w:tcW w:w="2445"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（4）厂容厂貌</w:t>
                  </w:r>
                </w:p>
                <w:p>
                  <w:pPr>
                    <w:spacing w:line="320" w:lineRule="exact"/>
                    <w:ind w:firstLine="0" w:firstLineChars="0"/>
                    <w:rPr>
                      <w:rFonts w:cs="Times New Roman"/>
                      <w:kern w:val="0"/>
                      <w:sz w:val="21"/>
                    </w:rPr>
                  </w:pPr>
                  <w:r>
                    <w:rPr>
                      <w:rFonts w:hint="eastAsia" w:cs="Times New Roman"/>
                      <w:kern w:val="0"/>
                      <w:sz w:val="21"/>
                    </w:rPr>
                    <w:t>厂区内道路、原辅材料和燃料堆场等路面应硬化。厂区内道路采取定期清扫、洒水等措施，保持清洁</w:t>
                  </w:r>
                  <w:r>
                    <w:rPr>
                      <w:rFonts w:hint="eastAsia" w:cs="Times New Roman"/>
                      <w:kern w:val="0"/>
                      <w:sz w:val="21"/>
                      <w:lang w:eastAsia="zh-CN"/>
                    </w:rPr>
                    <w:t>，</w:t>
                  </w:r>
                  <w:r>
                    <w:rPr>
                      <w:rFonts w:hint="eastAsia" w:cs="Times New Roman"/>
                      <w:kern w:val="0"/>
                      <w:sz w:val="21"/>
                    </w:rPr>
                    <w:t>路面无明显可见积尘。其他未利用地优先绿化，或进行硬化，无成片裸露土地。</w:t>
                  </w:r>
                </w:p>
              </w:tc>
              <w:tc>
                <w:tcPr>
                  <w:tcW w:w="1626" w:type="pct"/>
                  <w:tcBorders>
                    <w:tl2br w:val="nil"/>
                    <w:tr2bl w:val="nil"/>
                  </w:tcBorders>
                  <w:vAlign w:val="center"/>
                </w:tcPr>
                <w:p>
                  <w:pPr>
                    <w:spacing w:line="320" w:lineRule="exact"/>
                    <w:ind w:firstLine="0" w:firstLineChars="0"/>
                    <w:rPr>
                      <w:rFonts w:cs="Times New Roman"/>
                      <w:kern w:val="0"/>
                      <w:sz w:val="21"/>
                    </w:rPr>
                  </w:pPr>
                  <w:r>
                    <w:rPr>
                      <w:rFonts w:hint="eastAsia" w:cs="Times New Roman"/>
                      <w:kern w:val="0"/>
                      <w:sz w:val="21"/>
                    </w:rPr>
                    <w:t>本项目厂区内道路、原辅材料堆场等路面应硬化。厂区内道路采取定期清扫、洒水等措施，保持清洁</w:t>
                  </w:r>
                  <w:r>
                    <w:rPr>
                      <w:rFonts w:hint="eastAsia" w:cs="Times New Roman"/>
                      <w:kern w:val="0"/>
                      <w:sz w:val="21"/>
                      <w:lang w:eastAsia="zh-CN"/>
                    </w:rPr>
                    <w:t>，</w:t>
                  </w:r>
                  <w:r>
                    <w:rPr>
                      <w:rFonts w:hint="eastAsia" w:cs="Times New Roman"/>
                      <w:kern w:val="0"/>
                      <w:sz w:val="21"/>
                    </w:rPr>
                    <w:t>路面无明显可见积尘。其他未利用地优先绿化，或进行硬化，无成片裸露土地。</w:t>
                  </w:r>
                </w:p>
              </w:tc>
              <w:tc>
                <w:tcPr>
                  <w:tcW w:w="544" w:type="pct"/>
                  <w:tcBorders>
                    <w:tl2br w:val="nil"/>
                    <w:tr2bl w:val="nil"/>
                  </w:tcBorders>
                  <w:vAlign w:val="center"/>
                </w:tcPr>
                <w:p>
                  <w:pPr>
                    <w:spacing w:line="320" w:lineRule="exact"/>
                    <w:ind w:firstLine="0" w:firstLineChars="0"/>
                    <w:jc w:val="center"/>
                    <w:rPr>
                      <w:rFonts w:cs="Times New Roman"/>
                      <w:kern w:val="0"/>
                      <w:sz w:val="21"/>
                    </w:rPr>
                  </w:pPr>
                  <w:r>
                    <w:rPr>
                      <w:rFonts w:hint="eastAsia" w:cs="Times New Roman"/>
                      <w:kern w:val="0"/>
                      <w:sz w:val="21"/>
                    </w:rPr>
                    <w:t>符合</w:t>
                  </w:r>
                </w:p>
              </w:tc>
            </w:tr>
          </w:tbl>
          <w:p>
            <w:pPr>
              <w:ind w:firstLine="480"/>
              <w:rPr>
                <w:rFonts w:cs="Times New Roman"/>
              </w:rPr>
            </w:pPr>
            <w:r>
              <w:rPr>
                <w:rFonts w:hint="eastAsia" w:cs="Times New Roman"/>
              </w:rPr>
              <w:t>由上表可知，本项目符合《河南省重污染天气通用行业应急减排措施制定技术指南》（2021年修订版）中通用行业基本要求绩效分级指标相关规定。</w:t>
            </w:r>
          </w:p>
          <w:p>
            <w:pPr>
              <w:ind w:firstLine="482"/>
              <w:rPr>
                <w:b/>
                <w:bCs/>
              </w:rPr>
            </w:pPr>
            <w:r>
              <w:rPr>
                <w:rFonts w:hint="eastAsia"/>
                <w:b/>
                <w:bCs/>
                <w:lang w:val="en-US" w:eastAsia="zh-CN"/>
              </w:rPr>
              <w:t>6</w:t>
            </w:r>
            <w:r>
              <w:rPr>
                <w:b/>
                <w:bCs/>
              </w:rPr>
              <w:t>、项目与饮</w:t>
            </w:r>
            <w:r>
              <w:rPr>
                <w:rFonts w:hint="eastAsia"/>
                <w:b/>
                <w:bCs/>
              </w:rPr>
              <w:t>用</w:t>
            </w:r>
            <w:r>
              <w:rPr>
                <w:b/>
                <w:bCs/>
              </w:rPr>
              <w:t>水水源保护区的关系</w:t>
            </w:r>
          </w:p>
          <w:p>
            <w:pPr>
              <w:ind w:firstLine="480"/>
              <w:rPr>
                <w:color w:val="000000"/>
                <w:highlight w:val="yellow"/>
              </w:rPr>
            </w:pPr>
            <w:r>
              <w:rPr>
                <w:rFonts w:hint="eastAsia"/>
                <w:color w:val="000000"/>
              </w:rPr>
              <w:t>根据河南省人民政府办公厅《关于印发河南省乡镇集中式饮用水水源保护区划的通知》（豫政办〔</w:t>
            </w:r>
            <w:r>
              <w:rPr>
                <w:color w:val="000000"/>
              </w:rPr>
              <w:t>2016</w:t>
            </w:r>
            <w:r>
              <w:rPr>
                <w:rFonts w:hint="eastAsia"/>
                <w:color w:val="000000"/>
              </w:rPr>
              <w:t>〕</w:t>
            </w:r>
            <w:r>
              <w:rPr>
                <w:color w:val="000000"/>
              </w:rPr>
              <w:t>23</w:t>
            </w:r>
            <w:r>
              <w:rPr>
                <w:rFonts w:hint="eastAsia"/>
                <w:color w:val="000000"/>
              </w:rPr>
              <w:t>号）相关内容以及</w:t>
            </w:r>
            <w:r>
              <w:rPr>
                <w:rFonts w:hint="default" w:ascii="Times New Roman" w:hAnsi="Times New Roman" w:eastAsia="宋体" w:cs="Times New Roman"/>
                <w:b w:val="0"/>
                <w:bCs w:val="0"/>
                <w:color w:val="auto"/>
                <w:sz w:val="24"/>
                <w:szCs w:val="24"/>
                <w:highlight w:val="none"/>
                <w:u w:val="none"/>
                <w:lang w:val="en-US" w:eastAsia="zh-CN"/>
              </w:rPr>
              <w:t>《河南省人民政府关于划定调整取消部分集中式饮用水水源保护区的通知》（豫政文[2019]125号）</w:t>
            </w:r>
            <w:r>
              <w:rPr>
                <w:rFonts w:hint="eastAsia"/>
                <w:color w:val="000000"/>
              </w:rPr>
              <w:t>，鲁山县饮用水水源保护区及其保护区范围划定如下：</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1</w:t>
            </w:r>
            <w:r>
              <w:rPr>
                <w:rFonts w:hint="eastAsia"/>
                <w:color w:val="000000"/>
                <w:lang w:eastAsia="zh-CN"/>
              </w:rPr>
              <w:t>）</w:t>
            </w:r>
            <w:r>
              <w:rPr>
                <w:rFonts w:hint="eastAsia"/>
                <w:color w:val="000000"/>
              </w:rPr>
              <w:t>鲁山县四棵树乡清水河前庄</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清水河取水口上游</w:t>
            </w:r>
            <w:r>
              <w:rPr>
                <w:color w:val="000000"/>
              </w:rPr>
              <w:t>1000</w:t>
            </w:r>
            <w:r>
              <w:rPr>
                <w:rFonts w:hint="eastAsia"/>
                <w:color w:val="000000"/>
              </w:rPr>
              <w:t>米及下游</w:t>
            </w:r>
            <w:r>
              <w:rPr>
                <w:color w:val="000000"/>
              </w:rPr>
              <w:t>100</w:t>
            </w:r>
            <w:r>
              <w:rPr>
                <w:rFonts w:hint="eastAsia"/>
                <w:color w:val="000000"/>
              </w:rPr>
              <w:t>米河道内及两侧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二级保护区范围</w:t>
            </w:r>
            <w:r>
              <w:rPr>
                <w:rFonts w:hint="eastAsia"/>
                <w:color w:val="000000"/>
                <w:lang w:eastAsia="zh-CN"/>
              </w:rPr>
              <w:t>：</w:t>
            </w:r>
            <w:r>
              <w:rPr>
                <w:rFonts w:hint="eastAsia"/>
                <w:color w:val="000000"/>
              </w:rPr>
              <w:t>一级保护区外</w:t>
            </w:r>
            <w:r>
              <w:rPr>
                <w:rFonts w:hint="eastAsia"/>
                <w:color w:val="000000"/>
                <w:lang w:eastAsia="zh-CN"/>
              </w:rPr>
              <w:t>，</w:t>
            </w:r>
            <w:r>
              <w:rPr>
                <w:rFonts w:hint="eastAsia"/>
                <w:color w:val="000000"/>
              </w:rPr>
              <w:t>清水河上游</w:t>
            </w:r>
            <w:r>
              <w:rPr>
                <w:color w:val="000000"/>
              </w:rPr>
              <w:t>2000</w:t>
            </w:r>
            <w:r>
              <w:rPr>
                <w:rFonts w:hint="eastAsia"/>
                <w:color w:val="000000"/>
              </w:rPr>
              <w:t>米及下游</w:t>
            </w:r>
            <w:r>
              <w:rPr>
                <w:color w:val="000000"/>
              </w:rPr>
              <w:t>200</w:t>
            </w:r>
            <w:r>
              <w:rPr>
                <w:rFonts w:hint="eastAsia"/>
                <w:color w:val="000000"/>
              </w:rPr>
              <w:t>米河道内及两侧</w:t>
            </w:r>
            <w:r>
              <w:rPr>
                <w:color w:val="000000"/>
              </w:rPr>
              <w:t>1000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准保护区范围</w:t>
            </w:r>
            <w:r>
              <w:rPr>
                <w:rFonts w:hint="eastAsia"/>
                <w:color w:val="000000"/>
                <w:lang w:eastAsia="zh-CN"/>
              </w:rPr>
              <w:t>：</w:t>
            </w:r>
            <w:r>
              <w:rPr>
                <w:rFonts w:hint="eastAsia"/>
                <w:color w:val="000000"/>
              </w:rPr>
              <w:t>二级保护区外</w:t>
            </w:r>
            <w:r>
              <w:rPr>
                <w:rFonts w:hint="eastAsia"/>
                <w:color w:val="000000"/>
                <w:lang w:eastAsia="zh-CN"/>
              </w:rPr>
              <w:t>，</w:t>
            </w:r>
            <w:r>
              <w:rPr>
                <w:rFonts w:hint="eastAsia"/>
                <w:color w:val="000000"/>
              </w:rPr>
              <w:t>清水河上游至鲁山县界河道内及两侧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2</w:t>
            </w:r>
            <w:r>
              <w:rPr>
                <w:rFonts w:hint="eastAsia"/>
                <w:color w:val="000000"/>
                <w:lang w:eastAsia="zh-CN"/>
              </w:rPr>
              <w:t>）</w:t>
            </w:r>
            <w:r>
              <w:rPr>
                <w:rFonts w:hint="eastAsia"/>
                <w:color w:val="000000"/>
              </w:rPr>
              <w:t>鲁山县尧山镇玉皇庙河西竹园</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玉皇庙河尧山第一漂上站水坝至上游</w:t>
            </w:r>
            <w:r>
              <w:rPr>
                <w:color w:val="000000"/>
              </w:rPr>
              <w:t>1000</w:t>
            </w:r>
            <w:r>
              <w:rPr>
                <w:rFonts w:hint="eastAsia"/>
                <w:color w:val="000000"/>
              </w:rPr>
              <w:t>米河道内及两侧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二级保护区范围</w:t>
            </w:r>
            <w:r>
              <w:rPr>
                <w:rFonts w:hint="eastAsia"/>
                <w:color w:val="000000"/>
                <w:lang w:eastAsia="zh-CN"/>
              </w:rPr>
              <w:t>：</w:t>
            </w:r>
            <w:r>
              <w:rPr>
                <w:rFonts w:hint="eastAsia"/>
                <w:color w:val="000000"/>
              </w:rPr>
              <w:t>一级保护区外</w:t>
            </w:r>
            <w:r>
              <w:rPr>
                <w:rFonts w:hint="eastAsia"/>
                <w:color w:val="000000"/>
                <w:lang w:eastAsia="zh-CN"/>
              </w:rPr>
              <w:t>，</w:t>
            </w:r>
            <w:r>
              <w:rPr>
                <w:rFonts w:hint="eastAsia"/>
                <w:color w:val="000000"/>
              </w:rPr>
              <w:t>玉皇庙河上游</w:t>
            </w:r>
            <w:r>
              <w:rPr>
                <w:color w:val="000000"/>
              </w:rPr>
              <w:t>2000</w:t>
            </w:r>
            <w:r>
              <w:rPr>
                <w:rFonts w:hint="eastAsia"/>
                <w:color w:val="000000"/>
              </w:rPr>
              <w:t>米河道内及两侧</w:t>
            </w:r>
            <w:r>
              <w:rPr>
                <w:color w:val="000000"/>
              </w:rPr>
              <w:t>1000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准保护区范围</w:t>
            </w:r>
            <w:r>
              <w:rPr>
                <w:rFonts w:hint="eastAsia"/>
                <w:color w:val="000000"/>
                <w:lang w:eastAsia="zh-CN"/>
              </w:rPr>
              <w:t>：</w:t>
            </w:r>
            <w:r>
              <w:rPr>
                <w:rFonts w:hint="eastAsia"/>
                <w:color w:val="000000"/>
              </w:rPr>
              <w:t>二级保护区外</w:t>
            </w:r>
            <w:r>
              <w:rPr>
                <w:rFonts w:hint="eastAsia"/>
                <w:color w:val="000000"/>
                <w:lang w:eastAsia="zh-CN"/>
              </w:rPr>
              <w:t>，</w:t>
            </w:r>
            <w:r>
              <w:rPr>
                <w:rFonts w:hint="eastAsia"/>
                <w:color w:val="000000"/>
              </w:rPr>
              <w:t>玉皇庙河上游</w:t>
            </w:r>
            <w:r>
              <w:rPr>
                <w:color w:val="000000"/>
              </w:rPr>
              <w:t>2000</w:t>
            </w:r>
            <w:r>
              <w:rPr>
                <w:rFonts w:hint="eastAsia"/>
                <w:color w:val="000000"/>
              </w:rPr>
              <w:t>米河道内及两侧</w:t>
            </w:r>
            <w:r>
              <w:rPr>
                <w:color w:val="000000"/>
              </w:rPr>
              <w:t>50</w:t>
            </w:r>
            <w:r>
              <w:rPr>
                <w:rFonts w:hint="eastAsia"/>
                <w:color w:val="000000"/>
              </w:rPr>
              <w:t>米的区域</w:t>
            </w:r>
            <w:r>
              <w:rPr>
                <w:rFonts w:hint="eastAsia"/>
                <w:color w:val="000000"/>
                <w:lang w:eastAsia="zh-CN"/>
              </w:rPr>
              <w:t>，</w:t>
            </w:r>
            <w:r>
              <w:rPr>
                <w:rFonts w:hint="eastAsia"/>
                <w:color w:val="000000"/>
              </w:rPr>
              <w:t>北沟河上游</w:t>
            </w:r>
            <w:r>
              <w:rPr>
                <w:color w:val="000000"/>
              </w:rPr>
              <w:t>2000</w:t>
            </w:r>
            <w:r>
              <w:rPr>
                <w:rFonts w:hint="eastAsia"/>
                <w:color w:val="000000"/>
              </w:rPr>
              <w:t>米河道内及两侧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3</w:t>
            </w:r>
            <w:r>
              <w:rPr>
                <w:rFonts w:hint="eastAsia"/>
                <w:color w:val="000000"/>
                <w:lang w:eastAsia="zh-CN"/>
              </w:rPr>
              <w:t>）</w:t>
            </w:r>
            <w:r>
              <w:rPr>
                <w:rFonts w:hint="eastAsia"/>
                <w:color w:val="000000"/>
              </w:rPr>
              <w:t>鲁山县土门办事处土门河侯家庄</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土门河取水口上游</w:t>
            </w:r>
            <w:r>
              <w:rPr>
                <w:color w:val="000000"/>
              </w:rPr>
              <w:t>1000</w:t>
            </w:r>
            <w:r>
              <w:rPr>
                <w:rFonts w:hint="eastAsia"/>
                <w:color w:val="000000"/>
              </w:rPr>
              <w:t>米至下游</w:t>
            </w:r>
            <w:r>
              <w:rPr>
                <w:color w:val="000000"/>
              </w:rPr>
              <w:t>100</w:t>
            </w:r>
            <w:r>
              <w:rPr>
                <w:rFonts w:hint="eastAsia"/>
                <w:color w:val="000000"/>
              </w:rPr>
              <w:t>米河道内及两侧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二级保护区范围</w:t>
            </w:r>
            <w:r>
              <w:rPr>
                <w:rFonts w:hint="eastAsia"/>
                <w:color w:val="000000"/>
                <w:lang w:eastAsia="zh-CN"/>
              </w:rPr>
              <w:t>：</w:t>
            </w:r>
            <w:r>
              <w:rPr>
                <w:rFonts w:hint="eastAsia"/>
                <w:color w:val="000000"/>
              </w:rPr>
              <w:t>一级保护区外</w:t>
            </w:r>
            <w:r>
              <w:rPr>
                <w:rFonts w:hint="eastAsia"/>
                <w:color w:val="000000"/>
                <w:lang w:eastAsia="zh-CN"/>
              </w:rPr>
              <w:t>，</w:t>
            </w:r>
            <w:r>
              <w:rPr>
                <w:rFonts w:hint="eastAsia"/>
                <w:color w:val="000000"/>
              </w:rPr>
              <w:t>土门河上游</w:t>
            </w:r>
            <w:r>
              <w:rPr>
                <w:color w:val="000000"/>
              </w:rPr>
              <w:t>2000</w:t>
            </w:r>
            <w:r>
              <w:rPr>
                <w:rFonts w:hint="eastAsia"/>
                <w:color w:val="000000"/>
              </w:rPr>
              <w:t>米至下游</w:t>
            </w:r>
            <w:r>
              <w:rPr>
                <w:color w:val="000000"/>
              </w:rPr>
              <w:t>200</w:t>
            </w:r>
            <w:r>
              <w:rPr>
                <w:rFonts w:hint="eastAsia"/>
                <w:color w:val="000000"/>
              </w:rPr>
              <w:t>米河道内及两侧</w:t>
            </w:r>
            <w:r>
              <w:rPr>
                <w:color w:val="000000"/>
              </w:rPr>
              <w:t>1000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准保护区范围</w:t>
            </w:r>
            <w:r>
              <w:rPr>
                <w:rFonts w:hint="eastAsia"/>
                <w:color w:val="000000"/>
                <w:lang w:eastAsia="zh-CN"/>
              </w:rPr>
              <w:t>：</w:t>
            </w:r>
            <w:r>
              <w:rPr>
                <w:rFonts w:hint="eastAsia"/>
                <w:color w:val="000000"/>
              </w:rPr>
              <w:t>二级保护区外</w:t>
            </w:r>
            <w:r>
              <w:rPr>
                <w:rFonts w:hint="eastAsia"/>
                <w:color w:val="000000"/>
                <w:lang w:eastAsia="zh-CN"/>
              </w:rPr>
              <w:t>，</w:t>
            </w:r>
            <w:r>
              <w:rPr>
                <w:rFonts w:hint="eastAsia"/>
                <w:color w:val="000000"/>
              </w:rPr>
              <w:t>土门河上游</w:t>
            </w:r>
            <w:r>
              <w:rPr>
                <w:color w:val="000000"/>
              </w:rPr>
              <w:t>2000</w:t>
            </w:r>
            <w:r>
              <w:rPr>
                <w:rFonts w:hint="eastAsia"/>
                <w:color w:val="000000"/>
              </w:rPr>
              <w:t>米河道内及两侧</w:t>
            </w:r>
            <w:r>
              <w:rPr>
                <w:color w:val="000000"/>
              </w:rPr>
              <w:t>50</w:t>
            </w:r>
            <w:r>
              <w:rPr>
                <w:rFonts w:hint="eastAsia"/>
                <w:color w:val="000000"/>
              </w:rPr>
              <w:t>米的区域</w:t>
            </w:r>
            <w:r>
              <w:rPr>
                <w:rFonts w:hint="eastAsia"/>
                <w:color w:val="000000"/>
                <w:lang w:eastAsia="zh-CN"/>
              </w:rPr>
              <w:t>，</w:t>
            </w:r>
            <w:r>
              <w:rPr>
                <w:rFonts w:hint="eastAsia"/>
                <w:color w:val="000000"/>
              </w:rPr>
              <w:t>西沟河上游</w:t>
            </w:r>
            <w:r>
              <w:rPr>
                <w:color w:val="000000"/>
              </w:rPr>
              <w:t>2000</w:t>
            </w:r>
            <w:r>
              <w:rPr>
                <w:rFonts w:hint="eastAsia"/>
                <w:color w:val="000000"/>
              </w:rPr>
              <w:t>米河道内及两侧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4</w:t>
            </w:r>
            <w:r>
              <w:rPr>
                <w:rFonts w:hint="eastAsia"/>
                <w:color w:val="000000"/>
                <w:lang w:eastAsia="zh-CN"/>
              </w:rPr>
              <w:t>）</w:t>
            </w:r>
            <w:r>
              <w:rPr>
                <w:rFonts w:hint="eastAsia"/>
                <w:color w:val="000000"/>
              </w:rPr>
              <w:t>鲁山县下汤镇沙河地下水井</w:t>
            </w:r>
            <w:r>
              <w:rPr>
                <w:color w:val="000000"/>
              </w:rPr>
              <w:t>(</w:t>
            </w:r>
            <w:r>
              <w:rPr>
                <w:rFonts w:hint="eastAsia"/>
                <w:color w:val="000000"/>
              </w:rPr>
              <w:t>共</w:t>
            </w:r>
            <w:r>
              <w:rPr>
                <w:color w:val="000000"/>
              </w:rPr>
              <w:t>1</w:t>
            </w:r>
            <w:r>
              <w:rPr>
                <w:rFonts w:hint="eastAsia"/>
                <w:color w:val="000000"/>
              </w:rPr>
              <w:t>眼井</w:t>
            </w:r>
            <w:r>
              <w:rPr>
                <w:color w:val="000000"/>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沙河取水井上游二广高速桥</w:t>
            </w:r>
            <w:r>
              <w:rPr>
                <w:color w:val="000000"/>
              </w:rPr>
              <w:t>(770</w:t>
            </w:r>
            <w:r>
              <w:rPr>
                <w:rFonts w:hint="eastAsia"/>
                <w:color w:val="000000"/>
              </w:rPr>
              <w:t>米</w:t>
            </w:r>
            <w:r>
              <w:rPr>
                <w:color w:val="000000"/>
              </w:rPr>
              <w:t>)</w:t>
            </w:r>
            <w:r>
              <w:rPr>
                <w:rFonts w:hint="eastAsia"/>
                <w:color w:val="000000"/>
              </w:rPr>
              <w:t>至下游</w:t>
            </w:r>
            <w:r>
              <w:rPr>
                <w:color w:val="000000"/>
              </w:rPr>
              <w:t>100</w:t>
            </w:r>
            <w:r>
              <w:rPr>
                <w:rFonts w:hint="eastAsia"/>
                <w:color w:val="000000"/>
              </w:rPr>
              <w:t>米河道内及两侧</w:t>
            </w:r>
            <w:r>
              <w:rPr>
                <w:color w:val="000000"/>
              </w:rPr>
              <w:t>50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二级保护区范围</w:t>
            </w:r>
            <w:r>
              <w:rPr>
                <w:rFonts w:hint="eastAsia"/>
                <w:color w:val="000000"/>
                <w:lang w:eastAsia="zh-CN"/>
              </w:rPr>
              <w:t>：</w:t>
            </w:r>
            <w:r>
              <w:rPr>
                <w:rFonts w:hint="eastAsia"/>
                <w:color w:val="000000"/>
              </w:rPr>
              <w:t>一级保护区外</w:t>
            </w:r>
            <w:r>
              <w:rPr>
                <w:rFonts w:hint="eastAsia"/>
                <w:color w:val="000000"/>
                <w:lang w:eastAsia="zh-CN"/>
              </w:rPr>
              <w:t>，</w:t>
            </w:r>
            <w:r>
              <w:rPr>
                <w:rFonts w:hint="eastAsia"/>
                <w:color w:val="000000"/>
              </w:rPr>
              <w:t>沙河上游</w:t>
            </w:r>
            <w:r>
              <w:rPr>
                <w:color w:val="000000"/>
              </w:rPr>
              <w:t>2000</w:t>
            </w:r>
            <w:r>
              <w:rPr>
                <w:rFonts w:hint="eastAsia"/>
                <w:color w:val="000000"/>
              </w:rPr>
              <w:t>米至下游</w:t>
            </w:r>
            <w:r>
              <w:rPr>
                <w:color w:val="000000"/>
              </w:rPr>
              <w:t>200</w:t>
            </w:r>
            <w:r>
              <w:rPr>
                <w:rFonts w:hint="eastAsia"/>
                <w:color w:val="000000"/>
              </w:rPr>
              <w:t>米河道内及左岸</w:t>
            </w:r>
            <w:r>
              <w:rPr>
                <w:color w:val="000000"/>
              </w:rPr>
              <w:t>1000</w:t>
            </w:r>
            <w:r>
              <w:rPr>
                <w:rFonts w:hint="eastAsia"/>
                <w:color w:val="000000"/>
              </w:rPr>
              <w:t>米、右岸至分水岭的区域。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5</w:t>
            </w:r>
            <w:r>
              <w:rPr>
                <w:rFonts w:hint="eastAsia"/>
                <w:color w:val="000000"/>
                <w:lang w:eastAsia="zh-CN"/>
              </w:rPr>
              <w:t>）</w:t>
            </w:r>
            <w:r>
              <w:rPr>
                <w:rFonts w:hint="eastAsia"/>
                <w:color w:val="000000"/>
              </w:rPr>
              <w:t>鲁山县张官营镇地下水井群</w:t>
            </w:r>
            <w:r>
              <w:rPr>
                <w:color w:val="000000"/>
              </w:rPr>
              <w:t>(</w:t>
            </w:r>
            <w:r>
              <w:rPr>
                <w:rFonts w:hint="eastAsia"/>
                <w:color w:val="000000"/>
              </w:rPr>
              <w:t>共</w:t>
            </w:r>
            <w:r>
              <w:rPr>
                <w:color w:val="000000"/>
              </w:rPr>
              <w:t>2</w:t>
            </w:r>
            <w:r>
              <w:rPr>
                <w:rFonts w:hint="eastAsia"/>
                <w:color w:val="000000"/>
              </w:rPr>
              <w:t>眼井</w:t>
            </w:r>
            <w:r>
              <w:rPr>
                <w:color w:val="000000"/>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水厂厂区及外围</w:t>
            </w:r>
            <w:r>
              <w:rPr>
                <w:color w:val="000000"/>
              </w:rPr>
              <w:t>47</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6</w:t>
            </w:r>
            <w:r>
              <w:rPr>
                <w:rFonts w:hint="eastAsia"/>
                <w:color w:val="000000"/>
                <w:lang w:eastAsia="zh-CN"/>
              </w:rPr>
              <w:t>）</w:t>
            </w:r>
            <w:r>
              <w:rPr>
                <w:rFonts w:hint="eastAsia"/>
                <w:color w:val="000000"/>
              </w:rPr>
              <w:t>鲁山县张良镇地下水井群</w:t>
            </w:r>
            <w:r>
              <w:rPr>
                <w:color w:val="000000"/>
              </w:rPr>
              <w:t>(</w:t>
            </w:r>
            <w:r>
              <w:rPr>
                <w:rFonts w:hint="eastAsia"/>
                <w:color w:val="000000"/>
              </w:rPr>
              <w:t>共</w:t>
            </w:r>
            <w:r>
              <w:rPr>
                <w:color w:val="000000"/>
              </w:rPr>
              <w:t>2</w:t>
            </w:r>
            <w:r>
              <w:rPr>
                <w:rFonts w:hint="eastAsia"/>
                <w:color w:val="000000"/>
              </w:rPr>
              <w:t>眼井</w:t>
            </w:r>
            <w:r>
              <w:rPr>
                <w:color w:val="000000"/>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水厂厂区及外围</w:t>
            </w:r>
            <w:r>
              <w:rPr>
                <w:color w:val="000000"/>
              </w:rPr>
              <w:t>47</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7</w:t>
            </w:r>
            <w:r>
              <w:rPr>
                <w:rFonts w:hint="eastAsia"/>
                <w:color w:val="000000"/>
                <w:lang w:eastAsia="zh-CN"/>
              </w:rPr>
              <w:t>）</w:t>
            </w:r>
            <w:r>
              <w:rPr>
                <w:rFonts w:hint="eastAsia"/>
                <w:color w:val="000000"/>
              </w:rPr>
              <w:t>鲁山县马楼乡地下水井群</w:t>
            </w:r>
            <w:r>
              <w:rPr>
                <w:color w:val="000000"/>
              </w:rPr>
              <w:t>(</w:t>
            </w:r>
            <w:r>
              <w:rPr>
                <w:rFonts w:hint="eastAsia"/>
                <w:color w:val="000000"/>
              </w:rPr>
              <w:t>共</w:t>
            </w:r>
            <w:r>
              <w:rPr>
                <w:color w:val="000000"/>
              </w:rPr>
              <w:t>2</w:t>
            </w:r>
            <w:r>
              <w:rPr>
                <w:rFonts w:hint="eastAsia"/>
                <w:color w:val="000000"/>
              </w:rPr>
              <w:t>眼井</w:t>
            </w:r>
            <w:r>
              <w:rPr>
                <w:color w:val="000000"/>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水厂厂区及外围</w:t>
            </w:r>
            <w:r>
              <w:rPr>
                <w:color w:val="000000"/>
              </w:rPr>
              <w:t>34</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8</w:t>
            </w:r>
            <w:r>
              <w:rPr>
                <w:rFonts w:hint="eastAsia"/>
                <w:color w:val="000000"/>
                <w:lang w:eastAsia="zh-CN"/>
              </w:rPr>
              <w:t>）</w:t>
            </w:r>
            <w:r>
              <w:rPr>
                <w:rFonts w:hint="eastAsia"/>
                <w:color w:val="000000"/>
              </w:rPr>
              <w:t>鲁山县磙子营乡地下水井群</w:t>
            </w:r>
            <w:r>
              <w:rPr>
                <w:color w:val="000000"/>
              </w:rPr>
              <w:t>(</w:t>
            </w:r>
            <w:r>
              <w:rPr>
                <w:rFonts w:hint="eastAsia"/>
                <w:color w:val="000000"/>
              </w:rPr>
              <w:t>共</w:t>
            </w:r>
            <w:r>
              <w:rPr>
                <w:color w:val="000000"/>
              </w:rPr>
              <w:t>2</w:t>
            </w:r>
            <w:r>
              <w:rPr>
                <w:rFonts w:hint="eastAsia"/>
                <w:color w:val="000000"/>
              </w:rPr>
              <w:t>眼井</w:t>
            </w:r>
            <w:r>
              <w:rPr>
                <w:color w:val="000000"/>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水厂厂区及外围</w:t>
            </w:r>
            <w:r>
              <w:rPr>
                <w:color w:val="000000"/>
              </w:rPr>
              <w:t>47</w:t>
            </w:r>
            <w:r>
              <w:rPr>
                <w:rFonts w:hint="eastAsia"/>
                <w:color w:val="000000"/>
              </w:rPr>
              <w:t>米的区域</w:t>
            </w:r>
            <w:r>
              <w:rPr>
                <w:color w:val="000000"/>
              </w:rPr>
              <w:t>(1</w:t>
            </w:r>
            <w:r>
              <w:rPr>
                <w:rFonts w:hint="eastAsia"/>
                <w:color w:val="000000"/>
              </w:rPr>
              <w:t>号取水井</w:t>
            </w:r>
            <w:r>
              <w:rPr>
                <w:color w:val="000000"/>
              </w:rPr>
              <w:t>)</w:t>
            </w:r>
            <w:r>
              <w:rPr>
                <w:rFonts w:hint="eastAsia"/>
                <w:color w:val="000000"/>
                <w:lang w:eastAsia="zh-CN"/>
              </w:rPr>
              <w:t>，</w:t>
            </w:r>
            <w:r>
              <w:rPr>
                <w:color w:val="000000"/>
              </w:rPr>
              <w:t>2</w:t>
            </w:r>
            <w:r>
              <w:rPr>
                <w:rFonts w:hint="eastAsia"/>
                <w:color w:val="000000"/>
              </w:rPr>
              <w:t>号取水井外围</w:t>
            </w:r>
            <w:r>
              <w:rPr>
                <w:color w:val="000000"/>
              </w:rPr>
              <w:t>47</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lang w:eastAsia="zh-CN"/>
              </w:rPr>
              <w:t>（</w:t>
            </w:r>
            <w:r>
              <w:rPr>
                <w:rFonts w:hint="eastAsia"/>
                <w:color w:val="000000"/>
                <w:lang w:val="en-US" w:eastAsia="zh-CN"/>
              </w:rPr>
              <w:t>9</w:t>
            </w:r>
            <w:r>
              <w:rPr>
                <w:rFonts w:hint="eastAsia"/>
                <w:color w:val="000000"/>
                <w:lang w:eastAsia="zh-CN"/>
              </w:rPr>
              <w:t>）</w:t>
            </w:r>
            <w:r>
              <w:rPr>
                <w:rFonts w:hint="eastAsia"/>
                <w:color w:val="000000"/>
              </w:rPr>
              <w:t>鲁山县让河乡地下水井群</w:t>
            </w:r>
            <w:r>
              <w:rPr>
                <w:color w:val="000000"/>
              </w:rPr>
              <w:t>(</w:t>
            </w:r>
            <w:r>
              <w:rPr>
                <w:rFonts w:hint="eastAsia"/>
                <w:color w:val="000000"/>
              </w:rPr>
              <w:t>共</w:t>
            </w:r>
            <w:r>
              <w:rPr>
                <w:color w:val="000000"/>
              </w:rPr>
              <w:t>2</w:t>
            </w:r>
            <w:r>
              <w:rPr>
                <w:rFonts w:hint="eastAsia"/>
                <w:color w:val="000000"/>
              </w:rPr>
              <w:t>眼井</w:t>
            </w:r>
            <w:r>
              <w:rPr>
                <w:color w:val="000000"/>
              </w:rPr>
              <w:t>)</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rPr>
                <w:color w:val="000000"/>
              </w:rPr>
            </w:pPr>
            <w:r>
              <w:rPr>
                <w:rFonts w:hint="eastAsia"/>
                <w:color w:val="000000"/>
              </w:rPr>
              <w:t>一级保护区范围</w:t>
            </w:r>
            <w:r>
              <w:rPr>
                <w:rFonts w:hint="eastAsia"/>
                <w:color w:val="000000"/>
                <w:lang w:eastAsia="zh-CN"/>
              </w:rPr>
              <w:t>：</w:t>
            </w:r>
            <w:r>
              <w:rPr>
                <w:rFonts w:hint="eastAsia"/>
                <w:color w:val="000000"/>
              </w:rPr>
              <w:t>水厂厂区及外围</w:t>
            </w:r>
            <w:r>
              <w:rPr>
                <w:color w:val="000000"/>
              </w:rPr>
              <w:t>30</w:t>
            </w:r>
            <w:r>
              <w:rPr>
                <w:rFonts w:hint="eastAsia"/>
                <w:color w:val="000000"/>
              </w:rPr>
              <w:t>米的区域</w:t>
            </w:r>
            <w:r>
              <w:rPr>
                <w:color w:val="000000"/>
              </w:rPr>
              <w:t>(1</w:t>
            </w:r>
            <w:r>
              <w:rPr>
                <w:rFonts w:hint="eastAsia"/>
                <w:color w:val="000000"/>
              </w:rPr>
              <w:t>号取水井</w:t>
            </w:r>
            <w:r>
              <w:rPr>
                <w:color w:val="000000"/>
              </w:rPr>
              <w:t>)</w:t>
            </w:r>
            <w:r>
              <w:rPr>
                <w:rFonts w:hint="eastAsia"/>
                <w:color w:val="000000"/>
                <w:lang w:eastAsia="zh-CN"/>
              </w:rPr>
              <w:t>，</w:t>
            </w:r>
            <w:r>
              <w:rPr>
                <w:color w:val="000000"/>
              </w:rPr>
              <w:t>2</w:t>
            </w:r>
            <w:r>
              <w:rPr>
                <w:rFonts w:hint="eastAsia"/>
                <w:color w:val="000000"/>
              </w:rPr>
              <w:t>号取水井外围</w:t>
            </w:r>
            <w:r>
              <w:rPr>
                <w:color w:val="000000"/>
              </w:rPr>
              <w:t>30</w:t>
            </w:r>
            <w:r>
              <w:rPr>
                <w:rFonts w:hint="eastAsia"/>
                <w:color w:val="000000"/>
              </w:rPr>
              <w:t>米的区域。</w:t>
            </w:r>
          </w:p>
          <w:p>
            <w:pPr>
              <w:keepNext w:val="0"/>
              <w:keepLines w:val="0"/>
              <w:pageBreakBefore w:val="0"/>
              <w:widowControl w:val="0"/>
              <w:kinsoku/>
              <w:wordWrap/>
              <w:overflowPunct/>
              <w:topLinePunct w:val="0"/>
              <w:autoSpaceDE/>
              <w:autoSpaceDN/>
              <w:bidi w:val="0"/>
              <w:adjustRightInd/>
              <w:snapToGrid/>
              <w:spacing w:line="520" w:lineRule="exact"/>
              <w:ind w:firstLine="480"/>
              <w:textAlignment w:val="auto"/>
            </w:pPr>
            <w:r>
              <w:rPr>
                <w:rFonts w:hint="eastAsia"/>
                <w:color w:val="000000"/>
              </w:rPr>
              <w:t>本项目位于</w:t>
            </w:r>
            <w:r>
              <w:rPr>
                <w:rFonts w:hint="eastAsia"/>
                <w:sz w:val="24"/>
              </w:rPr>
              <w:t>平顶山市鲁山县</w:t>
            </w:r>
            <w:r>
              <w:rPr>
                <w:rFonts w:hint="eastAsia"/>
                <w:sz w:val="24"/>
                <w:lang w:val="en-US" w:eastAsia="zh-CN"/>
              </w:rPr>
              <w:t>张良镇福林村</w:t>
            </w:r>
            <w:r>
              <w:rPr>
                <w:rFonts w:hint="eastAsia"/>
                <w:color w:val="000000"/>
              </w:rPr>
              <w:t>，距离</w:t>
            </w:r>
            <w:r>
              <w:rPr>
                <w:rFonts w:hint="eastAsia"/>
                <w:color w:val="000000"/>
                <w:lang w:val="en-US" w:eastAsia="zh-CN"/>
              </w:rPr>
              <w:t>项目</w:t>
            </w:r>
            <w:r>
              <w:rPr>
                <w:rFonts w:hint="eastAsia"/>
                <w:color w:val="000000"/>
              </w:rPr>
              <w:t>最近饮用水水源保护区为鲁山县张良镇地下水井群饮用水水源保护区，位于本项目</w:t>
            </w:r>
            <w:r>
              <w:rPr>
                <w:rFonts w:hint="eastAsia"/>
                <w:color w:val="000000"/>
                <w:lang w:val="en-US" w:eastAsia="zh-CN"/>
              </w:rPr>
              <w:t>东</w:t>
            </w:r>
            <w:r>
              <w:rPr>
                <w:rFonts w:hint="eastAsia"/>
                <w:color w:val="000000"/>
              </w:rPr>
              <w:t>南侧约</w:t>
            </w:r>
            <w:r>
              <w:rPr>
                <w:rFonts w:hint="eastAsia"/>
                <w:color w:val="000000"/>
                <w:lang w:val="en-US" w:eastAsia="zh-CN"/>
              </w:rPr>
              <w:t>2</w:t>
            </w:r>
            <w:r>
              <w:rPr>
                <w:color w:val="000000"/>
              </w:rPr>
              <w:t>km</w:t>
            </w:r>
            <w:r>
              <w:rPr>
                <w:rFonts w:hint="eastAsia"/>
                <w:color w:val="000000"/>
              </w:rPr>
              <w:t>，不在</w:t>
            </w:r>
            <w:r>
              <w:rPr>
                <w:rFonts w:hint="eastAsia"/>
                <w:color w:val="000000"/>
                <w:lang w:val="en-US" w:eastAsia="zh-CN"/>
              </w:rPr>
              <w:t>其</w:t>
            </w:r>
            <w:r>
              <w:rPr>
                <w:rFonts w:hint="eastAsia"/>
                <w:color w:val="000000"/>
              </w:rPr>
              <w:t>保护区范围内。</w:t>
            </w:r>
          </w:p>
          <w:p>
            <w:pPr>
              <w:ind w:firstLine="482"/>
              <w:rPr>
                <w:b/>
                <w:bCs/>
              </w:rPr>
            </w:pPr>
            <w:r>
              <w:rPr>
                <w:rFonts w:hint="eastAsia"/>
                <w:b/>
                <w:bCs/>
                <w:lang w:val="en-US" w:eastAsia="zh-CN"/>
              </w:rPr>
              <w:t>7</w:t>
            </w:r>
            <w:r>
              <w:rPr>
                <w:b/>
                <w:bCs/>
              </w:rPr>
              <w:t>、项目</w:t>
            </w:r>
            <w:r>
              <w:rPr>
                <w:rFonts w:hint="eastAsia" w:ascii="Times New Roman" w:hAnsi="Times New Roman" w:cs="Times New Roman"/>
                <w:b/>
                <w:bCs/>
                <w:color w:val="auto"/>
              </w:rPr>
              <w:t>与</w:t>
            </w:r>
            <w:r>
              <w:rPr>
                <w:rFonts w:ascii="Times New Roman" w:hAnsi="Times New Roman" w:cs="Times New Roman"/>
                <w:b/>
                <w:bCs/>
                <w:color w:val="auto"/>
              </w:rPr>
              <w:t>南水北调中线工程饮用水水源保护区</w:t>
            </w:r>
            <w:r>
              <w:rPr>
                <w:rStyle w:val="25"/>
                <w:rFonts w:hint="eastAsia" w:ascii="Times New Roman" w:hAnsi="Times New Roman" w:cs="Times New Roman"/>
                <w:b/>
                <w:bCs/>
                <w:color w:val="auto"/>
                <w:sz w:val="24"/>
              </w:rPr>
              <w:t>的</w:t>
            </w:r>
            <w:r>
              <w:rPr>
                <w:rFonts w:hint="eastAsia" w:ascii="Times New Roman" w:hAnsi="Times New Roman" w:cs="Times New Roman"/>
                <w:b/>
                <w:bCs/>
                <w:color w:val="auto"/>
              </w:rPr>
              <w:t>相符性分析</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《河南省南水北调中线工程建设领导小组办公室</w:t>
            </w:r>
            <w:r>
              <w:rPr>
                <w:rFonts w:hint="eastAsia" w:ascii="Times New Roman" w:hAnsi="Times New Roman" w:eastAsia="宋体" w:cs="Times New Roman"/>
                <w:color w:val="auto"/>
                <w:highlight w:val="none"/>
                <w:u w:val="none"/>
                <w:lang w:val="en-US" w:eastAsia="zh-CN"/>
              </w:rPr>
              <w:t xml:space="preserve"> </w:t>
            </w:r>
            <w:r>
              <w:rPr>
                <w:rFonts w:hint="default" w:ascii="Times New Roman" w:hAnsi="Times New Roman" w:eastAsia="宋体" w:cs="Times New Roman"/>
                <w:color w:val="auto"/>
                <w:highlight w:val="none"/>
                <w:u w:val="none"/>
              </w:rPr>
              <w:t>河南省环境保护厅</w:t>
            </w:r>
            <w:r>
              <w:rPr>
                <w:rFonts w:hint="eastAsia" w:ascii="Times New Roman" w:hAnsi="Times New Roman" w:eastAsia="宋体" w:cs="Times New Roman"/>
                <w:color w:val="auto"/>
                <w:highlight w:val="none"/>
                <w:u w:val="none"/>
                <w:lang w:val="en-US" w:eastAsia="zh-CN"/>
              </w:rPr>
              <w:t xml:space="preserve"> </w:t>
            </w:r>
            <w:r>
              <w:rPr>
                <w:rFonts w:hint="default" w:ascii="Times New Roman" w:hAnsi="Times New Roman" w:eastAsia="宋体" w:cs="Times New Roman"/>
                <w:color w:val="auto"/>
                <w:highlight w:val="none"/>
                <w:u w:val="none"/>
              </w:rPr>
              <w:t>河南省水利厅</w:t>
            </w:r>
            <w:r>
              <w:rPr>
                <w:rFonts w:hint="eastAsia" w:ascii="Times New Roman" w:hAnsi="Times New Roman" w:eastAsia="宋体" w:cs="Times New Roman"/>
                <w:color w:val="auto"/>
                <w:highlight w:val="none"/>
                <w:u w:val="none"/>
                <w:lang w:val="en-US" w:eastAsia="zh-CN"/>
              </w:rPr>
              <w:t xml:space="preserve"> </w:t>
            </w:r>
            <w:r>
              <w:rPr>
                <w:rFonts w:hint="default" w:ascii="Times New Roman" w:hAnsi="Times New Roman" w:eastAsia="宋体" w:cs="Times New Roman"/>
                <w:color w:val="auto"/>
                <w:highlight w:val="none"/>
                <w:u w:val="none"/>
              </w:rPr>
              <w:t>河南省国土资源厅关于印发南水北调中线一期工程总干渠（河南段）两侧饮用水水源保护区划的通知》（豫调办[2018]56号）中规定如下：</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南水北调中线一期工程总干渠在河南省境内的工程类型分为建筑物段和总干渠明渠段。</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（一）建筑物段（渡槽、倒虹吸、暗涵、隧洞）</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一级保护区范围自总干渠管理范围边线（防护栏网）外延50m，不设二级保护区。</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（二）总干渠明渠段</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根据地下水水位与总干渠渠底高程的关系，分为以下几种类型：</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1、地下水水位低于总干渠渠底的渠段</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一级保护区范围自总干渠管理范围边线（防护栏网）外延50m；</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二级保护区范围自一级保护区边线外延150m。</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2、地下水水位高于总干渠渠底的渠段</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（1）微~弱透水性地层</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一级保护区范围自总干渠管理范围边线（防护栏网）外延50米；</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二级保护区范围自一级保护区边线外延500米。</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（2）弱~中等透水性地层</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一级保护区范围自总干渠管理范围边线（防护栏网）外延100米；</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二级保护区范围自一级保护区边线外延1000米。</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（3）强透水性地层</w:t>
            </w:r>
          </w:p>
          <w:p>
            <w:pPr>
              <w:keepNext w:val="0"/>
              <w:keepLines w:val="0"/>
              <w:pageBreakBefore w:val="0"/>
              <w:widowControl w:val="0"/>
              <w:tabs>
                <w:tab w:val="left" w:pos="8160"/>
              </w:tabs>
              <w:kinsoku/>
              <w:wordWrap/>
              <w:overflowPunct/>
              <w:topLinePunct w:val="0"/>
              <w:autoSpaceDE/>
              <w:autoSpaceDN/>
              <w:bidi w:val="0"/>
              <w:adjustRightInd/>
              <w:snapToGrid/>
              <w:spacing w:line="520" w:lineRule="exact"/>
              <w:ind w:firstLine="480" w:firstLineChars="200"/>
              <w:textAlignment w:val="baseline"/>
              <w:rPr>
                <w:rFonts w:hint="default" w:ascii="Times New Roman" w:hAnsi="Times New Roman" w:eastAsia="宋体" w:cs="Times New Roman"/>
                <w:color w:val="auto"/>
                <w:highlight w:val="none"/>
                <w:u w:val="none"/>
              </w:rPr>
            </w:pPr>
            <w:r>
              <w:rPr>
                <w:rFonts w:hint="default" w:ascii="Times New Roman" w:hAnsi="Times New Roman" w:eastAsia="宋体" w:cs="Times New Roman"/>
                <w:color w:val="auto"/>
                <w:highlight w:val="none"/>
                <w:u w:val="none"/>
              </w:rPr>
              <w:t>一级保护区范围自总干渠管理范围边线（防护栏网）外延200米；</w:t>
            </w:r>
          </w:p>
          <w:p>
            <w:pPr>
              <w:keepNext w:val="0"/>
              <w:keepLines w:val="0"/>
              <w:pageBreakBefore w:val="0"/>
              <w:widowControl w:val="0"/>
              <w:kinsoku/>
              <w:wordWrap/>
              <w:overflowPunct/>
              <w:topLinePunct w:val="0"/>
              <w:autoSpaceDE/>
              <w:autoSpaceDN/>
              <w:bidi w:val="0"/>
              <w:adjustRightInd/>
              <w:snapToGrid/>
              <w:spacing w:line="520" w:lineRule="exact"/>
              <w:ind w:firstLine="480"/>
            </w:pPr>
            <w:r>
              <w:rPr>
                <w:rFonts w:hint="default" w:ascii="Times New Roman" w:hAnsi="Times New Roman" w:eastAsia="宋体" w:cs="Times New Roman"/>
                <w:color w:val="auto"/>
                <w:highlight w:val="none"/>
                <w:u w:val="none"/>
              </w:rPr>
              <w:t>二级保护区范围自一级保护区边线外延2000米、1500米。</w:t>
            </w:r>
          </w:p>
          <w:p>
            <w:pPr>
              <w:ind w:firstLine="480"/>
            </w:pPr>
            <w:r>
              <w:rPr>
                <w:rFonts w:hint="eastAsia" w:ascii="Times New Roman" w:hAnsi="Times New Roman" w:cs="Times New Roman"/>
                <w:color w:val="auto"/>
              </w:rPr>
              <w:t>根据《南水北调中线一期工程总干渠（平顶山市段）两侧饮用水水源保护区图册》中水源保护距离划分，在SH23+703.2~SH35+844.2段一级保护区范围宽度为50m，二级保护区宽度为右岸500m，</w:t>
            </w:r>
            <w:r>
              <w:rPr>
                <w:rFonts w:hint="eastAsia" w:ascii="Times New Roman" w:hAnsi="Times New Roman" w:cs="Times New Roman"/>
                <w:color w:val="auto"/>
                <w:highlight w:val="none"/>
              </w:rPr>
              <w:t>本项目</w:t>
            </w:r>
            <w:r>
              <w:rPr>
                <w:rFonts w:hint="eastAsia" w:ascii="Times New Roman" w:hAnsi="Times New Roman" w:cs="Times New Roman"/>
                <w:color w:val="auto"/>
                <w:highlight w:val="none"/>
                <w:lang w:val="en-US" w:eastAsia="zh-CN"/>
              </w:rPr>
              <w:t>位于南水北调干渠北侧，</w:t>
            </w:r>
            <w:r>
              <w:rPr>
                <w:rFonts w:hint="eastAsia" w:ascii="Times New Roman" w:hAnsi="Times New Roman" w:cs="Times New Roman"/>
                <w:color w:val="auto"/>
                <w:highlight w:val="none"/>
              </w:rPr>
              <w:t>距离南</w:t>
            </w:r>
            <w:r>
              <w:rPr>
                <w:rFonts w:hint="eastAsia" w:ascii="Times New Roman" w:hAnsi="Times New Roman" w:cs="Times New Roman"/>
                <w:color w:val="auto"/>
              </w:rPr>
              <w:t>水北调干渠最</w:t>
            </w:r>
            <w:r>
              <w:rPr>
                <w:rFonts w:hint="eastAsia" w:ascii="Times New Roman" w:hAnsi="Times New Roman" w:cs="Times New Roman"/>
                <w:color w:val="auto"/>
                <w:lang w:val="en-US" w:eastAsia="zh-CN"/>
              </w:rPr>
              <w:t>近</w:t>
            </w:r>
            <w:r>
              <w:rPr>
                <w:rFonts w:hint="eastAsia" w:ascii="Times New Roman" w:hAnsi="Times New Roman" w:cs="Times New Roman"/>
                <w:color w:val="auto"/>
              </w:rPr>
              <w:t>距离约</w:t>
            </w:r>
            <w:r>
              <w:rPr>
                <w:rFonts w:hint="eastAsia" w:ascii="Times New Roman" w:cs="Times New Roman"/>
                <w:color w:val="auto"/>
                <w:lang w:val="en-US" w:eastAsia="zh-CN"/>
              </w:rPr>
              <w:t>3.5</w:t>
            </w:r>
            <w:r>
              <w:rPr>
                <w:rFonts w:hint="eastAsia" w:ascii="Times New Roman" w:hAnsi="Times New Roman" w:cs="Times New Roman"/>
                <w:color w:val="auto"/>
              </w:rPr>
              <w:t>km，不在南水北调一、二级保护区范围内。</w:t>
            </w:r>
          </w:p>
        </w:tc>
      </w:tr>
    </w:tbl>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黑体" w:cs="Times New Roman"/>
          <w:b/>
          <w:sz w:val="30"/>
          <w:szCs w:val="30"/>
        </w:rPr>
      </w:pPr>
      <w:r>
        <w:rPr>
          <w:rFonts w:hint="eastAsia" w:eastAsia="黑体" w:cs="Times New Roman"/>
          <w:b/>
          <w:sz w:val="30"/>
          <w:szCs w:val="30"/>
        </w:rPr>
        <w:t>建设项目工程分析</w:t>
      </w:r>
    </w:p>
    <w:tbl>
      <w:tblPr>
        <w:tblStyle w:val="22"/>
        <w:tblW w:w="963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54"/>
        <w:gridCol w:w="898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jc w:val="center"/>
        </w:trPr>
        <w:tc>
          <w:tcPr>
            <w:tcW w:w="704" w:type="dxa"/>
            <w:tcBorders>
              <w:tl2br w:val="nil"/>
              <w:tr2bl w:val="nil"/>
            </w:tcBorders>
            <w:vAlign w:val="center"/>
          </w:tcPr>
          <w:p>
            <w:pPr>
              <w:pStyle w:val="26"/>
              <w:rPr>
                <w:sz w:val="24"/>
                <w:szCs w:val="24"/>
              </w:rPr>
            </w:pPr>
            <w:r>
              <w:rPr>
                <w:rFonts w:hint="eastAsia"/>
                <w:sz w:val="24"/>
                <w:szCs w:val="24"/>
              </w:rPr>
              <w:t>建设内容</w:t>
            </w:r>
          </w:p>
        </w:tc>
        <w:tc>
          <w:tcPr>
            <w:tcW w:w="835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b/>
                <w:bCs/>
              </w:rPr>
            </w:pPr>
            <w:r>
              <w:rPr>
                <w:rFonts w:hint="eastAsia"/>
                <w:b/>
                <w:bCs/>
              </w:rPr>
              <w:t>1、项目概况</w:t>
            </w:r>
          </w:p>
          <w:p>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default" w:eastAsia="宋体"/>
                <w:vertAlign w:val="baseline"/>
                <w:lang w:val="en-US" w:eastAsia="zh-CN"/>
              </w:rPr>
            </w:pPr>
            <w:r>
              <w:rPr>
                <w:rFonts w:hint="eastAsia"/>
                <w:lang w:val="en-US" w:eastAsia="zh-CN"/>
              </w:rPr>
              <w:t>河南省佼佼者食品有限公司位于</w:t>
            </w:r>
            <w:r>
              <w:rPr>
                <w:rFonts w:hint="eastAsia"/>
                <w:sz w:val="24"/>
              </w:rPr>
              <w:t>平顶山市鲁山县</w:t>
            </w:r>
            <w:r>
              <w:rPr>
                <w:rFonts w:hint="eastAsia"/>
                <w:sz w:val="24"/>
                <w:lang w:val="en-US" w:eastAsia="zh-CN"/>
              </w:rPr>
              <w:t>张良镇福林村，拟投资101万元，租赁现有厂房（租赁协议见附件四）建设扶贫车间建设项目。项目使用三座钢结构厂房，其中两座仓库共1056m</w:t>
            </w:r>
            <w:r>
              <w:rPr>
                <w:rFonts w:hint="eastAsia"/>
                <w:sz w:val="24"/>
                <w:vertAlign w:val="superscript"/>
                <w:lang w:val="en-US" w:eastAsia="zh-CN"/>
              </w:rPr>
              <w:t>2</w:t>
            </w:r>
            <w:r>
              <w:rPr>
                <w:rFonts w:hint="eastAsia"/>
                <w:sz w:val="24"/>
                <w:lang w:val="en-US" w:eastAsia="zh-CN"/>
              </w:rPr>
              <w:t>（每座528m</w:t>
            </w:r>
            <w:r>
              <w:rPr>
                <w:rFonts w:hint="eastAsia"/>
                <w:sz w:val="24"/>
                <w:vertAlign w:val="superscript"/>
                <w:lang w:val="en-US" w:eastAsia="zh-CN"/>
              </w:rPr>
              <w:t>2</w:t>
            </w:r>
            <w:r>
              <w:rPr>
                <w:rFonts w:hint="eastAsia"/>
                <w:sz w:val="24"/>
                <w:lang w:val="en-US" w:eastAsia="zh-CN"/>
              </w:rPr>
              <w:t>），一座生产车间528m</w:t>
            </w:r>
            <w:r>
              <w:rPr>
                <w:rFonts w:hint="eastAsia"/>
                <w:sz w:val="24"/>
                <w:vertAlign w:val="superscript"/>
                <w:lang w:val="en-US" w:eastAsia="zh-CN"/>
              </w:rPr>
              <w:t>2</w:t>
            </w:r>
            <w:r>
              <w:rPr>
                <w:rFonts w:hint="eastAsia"/>
                <w:sz w:val="24"/>
                <w:vertAlign w:val="baseline"/>
                <w:lang w:val="en-US" w:eastAsia="zh-CN"/>
              </w:rPr>
              <w:t>，生产规模为年产360吨鸡精调味料。根据鲁山县自然资源局出具的土地利用现状类别查询结果说明（见附件三），本项目用地为工业用地。</w:t>
            </w:r>
          </w:p>
          <w:p>
            <w:pPr>
              <w:keepNext w:val="0"/>
              <w:keepLines w:val="0"/>
              <w:pageBreakBefore w:val="0"/>
              <w:widowControl w:val="0"/>
              <w:kinsoku/>
              <w:wordWrap/>
              <w:overflowPunct/>
              <w:topLinePunct w:val="0"/>
              <w:autoSpaceDE/>
              <w:autoSpaceDN/>
              <w:bidi w:val="0"/>
              <w:adjustRightInd/>
              <w:snapToGrid/>
              <w:spacing w:line="500" w:lineRule="exact"/>
              <w:ind w:firstLine="480"/>
              <w:textAlignment w:val="auto"/>
            </w:pPr>
            <w:r>
              <w:rPr>
                <w:rFonts w:hint="default" w:ascii="Times New Roman" w:hAnsi="Times New Roman" w:cs="Times New Roman"/>
                <w:color w:val="000000"/>
                <w:sz w:val="24"/>
              </w:rPr>
              <w:t>根据《建设项目环境影响评价分类管理名录》（2021版），</w:t>
            </w:r>
            <w:r>
              <w:rPr>
                <w:rFonts w:hint="default" w:ascii="Times New Roman" w:hAnsi="Times New Roman" w:cs="Times New Roman"/>
                <w:bCs/>
                <w:color w:val="000000"/>
                <w:sz w:val="24"/>
                <w:szCs w:val="28"/>
              </w:rPr>
              <w:t>本项目属于</w:t>
            </w:r>
            <w:r>
              <w:rPr>
                <w:rFonts w:hint="default" w:ascii="Times New Roman" w:hAnsi="Times New Roman" w:cs="Times New Roman"/>
                <w:color w:val="000000"/>
                <w:sz w:val="24"/>
              </w:rPr>
              <w:t>“</w:t>
            </w:r>
            <w:r>
              <w:rPr>
                <w:rFonts w:hint="eastAsia"/>
              </w:rPr>
              <w:t>十一、食品制造业</w:t>
            </w:r>
            <w:r>
              <w:t>14</w:t>
            </w:r>
            <w:r>
              <w:rPr>
                <w:rFonts w:hint="default" w:ascii="Times New Roman" w:hAnsi="Times New Roman" w:cs="Times New Roman"/>
                <w:color w:val="000000"/>
                <w:sz w:val="24"/>
              </w:rPr>
              <w:t>”中“</w:t>
            </w:r>
            <w:r>
              <w:rPr>
                <w:rFonts w:hint="eastAsia"/>
                <w:lang w:val="en-US" w:eastAsia="zh-CN"/>
              </w:rPr>
              <w:t>23调味品、发酵制品制造146</w:t>
            </w:r>
            <w:r>
              <w:rPr>
                <w:rFonts w:hint="default" w:ascii="Times New Roman" w:hAnsi="Times New Roman" w:cs="Times New Roman"/>
                <w:color w:val="000000"/>
                <w:sz w:val="24"/>
              </w:rPr>
              <w:t>”类别中的“</w:t>
            </w:r>
            <w:r>
              <w:rPr>
                <w:rFonts w:hint="eastAsia" w:ascii="Times New Roman" w:hAnsi="Times New Roman" w:cs="Times New Roman"/>
                <w:color w:val="000000"/>
                <w:sz w:val="24"/>
                <w:lang w:val="en-US" w:eastAsia="zh-CN"/>
              </w:rPr>
              <w:t>其他</w:t>
            </w:r>
            <w:r>
              <w:rPr>
                <w:rFonts w:hint="default" w:ascii="Times New Roman" w:hAnsi="Times New Roman" w:cs="Times New Roman"/>
                <w:color w:val="000000"/>
                <w:sz w:val="24"/>
              </w:rPr>
              <w:t>（</w:t>
            </w:r>
            <w:r>
              <w:rPr>
                <w:rFonts w:hint="eastAsia" w:ascii="Times New Roman" w:hAnsi="Times New Roman" w:cs="Times New Roman"/>
                <w:color w:val="000000"/>
                <w:sz w:val="24"/>
                <w:lang w:val="en-US" w:eastAsia="zh-CN"/>
              </w:rPr>
              <w:t>单纯混合、分装</w:t>
            </w:r>
            <w:r>
              <w:rPr>
                <w:rFonts w:hint="default" w:ascii="Times New Roman" w:hAnsi="Times New Roman" w:cs="Times New Roman"/>
                <w:color w:val="000000"/>
                <w:sz w:val="24"/>
              </w:rPr>
              <w:t>的除外）”，因此应编制环境影响报告表。</w:t>
            </w:r>
          </w:p>
          <w:p>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eastAsia="宋体"/>
                <w:lang w:eastAsia="zh-CN"/>
              </w:rPr>
            </w:pPr>
            <w:r>
              <w:rPr>
                <w:rFonts w:hint="eastAsia"/>
              </w:rPr>
              <w:t>受</w:t>
            </w:r>
            <w:r>
              <w:rPr>
                <w:rFonts w:hint="eastAsia"/>
                <w:lang w:val="en-US" w:eastAsia="zh-CN"/>
              </w:rPr>
              <w:t>河南省佼佼者食品有限公司的</w:t>
            </w:r>
            <w:r>
              <w:rPr>
                <w:rFonts w:hint="eastAsia"/>
              </w:rPr>
              <w:t>委托</w:t>
            </w:r>
            <w:r>
              <w:rPr>
                <w:rFonts w:hint="eastAsia"/>
                <w:lang w:eastAsia="zh-CN"/>
              </w:rPr>
              <w:t>（</w:t>
            </w:r>
            <w:r>
              <w:rPr>
                <w:rFonts w:hint="eastAsia"/>
                <w:lang w:val="en-US" w:eastAsia="zh-CN"/>
              </w:rPr>
              <w:t>委托书见附件一</w:t>
            </w:r>
            <w:r>
              <w:rPr>
                <w:rFonts w:hint="eastAsia"/>
                <w:lang w:eastAsia="zh-CN"/>
              </w:rPr>
              <w:t>）</w:t>
            </w:r>
            <w:r>
              <w:rPr>
                <w:rFonts w:hint="eastAsia"/>
              </w:rPr>
              <w:t>，我公司承担了该项目的环境影响评价工作。经过对现场调查，并查阅有关资料，本着“科学、公正、客观”的态度，编制了本项目的环境影响报告表</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b/>
                <w:bCs/>
              </w:rPr>
            </w:pPr>
            <w:r>
              <w:rPr>
                <w:b/>
                <w:bCs/>
              </w:rPr>
              <w:t>2</w:t>
            </w:r>
            <w:r>
              <w:rPr>
                <w:rFonts w:hint="eastAsia"/>
                <w:b/>
                <w:bCs/>
              </w:rPr>
              <w:t>、项目地理位置及周边环境概况</w:t>
            </w:r>
          </w:p>
          <w:p>
            <w:pPr>
              <w:keepNext w:val="0"/>
              <w:keepLines w:val="0"/>
              <w:pageBreakBefore w:val="0"/>
              <w:widowControl w:val="0"/>
              <w:kinsoku/>
              <w:wordWrap/>
              <w:overflowPunct/>
              <w:topLinePunct w:val="0"/>
              <w:autoSpaceDE/>
              <w:autoSpaceDN/>
              <w:bidi w:val="0"/>
              <w:adjustRightInd/>
              <w:snapToGrid/>
              <w:spacing w:line="500" w:lineRule="exact"/>
              <w:ind w:firstLine="480"/>
              <w:textAlignment w:val="auto"/>
            </w:pPr>
            <w:r>
              <w:rPr>
                <w:rFonts w:hint="eastAsia"/>
              </w:rPr>
              <w:t>项目位于</w:t>
            </w:r>
            <w:r>
              <w:rPr>
                <w:rFonts w:hint="eastAsia"/>
                <w:sz w:val="24"/>
              </w:rPr>
              <w:t>平顶山市鲁山县</w:t>
            </w:r>
            <w:r>
              <w:rPr>
                <w:rFonts w:hint="eastAsia"/>
                <w:sz w:val="24"/>
                <w:lang w:val="en-US" w:eastAsia="zh-CN"/>
              </w:rPr>
              <w:t>张良镇福林村</w:t>
            </w:r>
            <w:r>
              <w:rPr>
                <w:rFonts w:hint="eastAsia"/>
              </w:rPr>
              <w:t>，</w:t>
            </w:r>
            <w:r>
              <w:rPr>
                <w:rFonts w:hint="eastAsia"/>
                <w:lang w:val="en-US" w:eastAsia="zh-CN"/>
              </w:rPr>
              <w:t>南侧隔道路为平顶山市相杰混凝土有限公司和河南方基能化实业有限公司，西侧300m为金宝利树脂瓦钢材。</w:t>
            </w:r>
            <w:r>
              <w:rPr>
                <w:rFonts w:hint="eastAsia"/>
              </w:rPr>
              <w:t>经调查，项目</w:t>
            </w:r>
            <w:r>
              <w:rPr>
                <w:rFonts w:hint="eastAsia"/>
                <w:lang w:val="en-US" w:eastAsia="zh-CN"/>
              </w:rPr>
              <w:t>周边主要敏感目标为：东北侧约85m的消防站，</w:t>
            </w:r>
            <w:r>
              <w:rPr>
                <w:rFonts w:hint="eastAsia"/>
              </w:rPr>
              <w:t>北</w:t>
            </w:r>
            <w:r>
              <w:rPr>
                <w:rFonts w:hint="eastAsia"/>
                <w:lang w:val="en-US" w:eastAsia="zh-CN"/>
              </w:rPr>
              <w:t>侧</w:t>
            </w:r>
            <w:r>
              <w:rPr>
                <w:rFonts w:hint="eastAsia"/>
              </w:rPr>
              <w:t>约</w:t>
            </w:r>
            <w:r>
              <w:t>1</w:t>
            </w:r>
            <w:r>
              <w:rPr>
                <w:rFonts w:hint="eastAsia"/>
                <w:lang w:val="en-US" w:eastAsia="zh-CN"/>
              </w:rPr>
              <w:t>5</w:t>
            </w:r>
            <w:r>
              <w:t>0</w:t>
            </w:r>
            <w:r>
              <w:rPr>
                <w:rFonts w:hint="eastAsia"/>
              </w:rPr>
              <w:t>m</w:t>
            </w:r>
            <w:r>
              <w:rPr>
                <w:rFonts w:hint="eastAsia"/>
                <w:lang w:val="en-US" w:eastAsia="zh-CN"/>
              </w:rPr>
              <w:t>的福林庄村</w:t>
            </w:r>
            <w:r>
              <w:rPr>
                <w:rFonts w:hint="eastAsia"/>
                <w:lang w:eastAsia="zh-CN"/>
              </w:rPr>
              <w:t>，</w:t>
            </w:r>
            <w:r>
              <w:rPr>
                <w:rFonts w:hint="eastAsia"/>
              </w:rPr>
              <w:t>东</w:t>
            </w:r>
            <w:r>
              <w:rPr>
                <w:rFonts w:hint="eastAsia"/>
                <w:lang w:val="en-US" w:eastAsia="zh-CN"/>
              </w:rPr>
              <w:t>侧</w:t>
            </w:r>
            <w:r>
              <w:rPr>
                <w:rFonts w:hint="eastAsia"/>
              </w:rPr>
              <w:t>约</w:t>
            </w:r>
            <w:r>
              <w:rPr>
                <w:rFonts w:hint="eastAsia"/>
                <w:lang w:val="en-US" w:eastAsia="zh-CN"/>
              </w:rPr>
              <w:t>480</w:t>
            </w:r>
            <w:r>
              <w:rPr>
                <w:rFonts w:hint="eastAsia"/>
              </w:rPr>
              <w:t>m</w:t>
            </w:r>
            <w:r>
              <w:rPr>
                <w:rFonts w:hint="eastAsia"/>
                <w:lang w:val="en-US" w:eastAsia="zh-CN"/>
              </w:rPr>
              <w:t>的周楼村</w:t>
            </w:r>
            <w:r>
              <w:rPr>
                <w:rFonts w:hint="eastAsia"/>
              </w:rPr>
              <w:t>。距本项目最近的地表水体为</w:t>
            </w:r>
            <w:r>
              <w:rPr>
                <w:rFonts w:hint="eastAsia"/>
                <w:lang w:val="en-US" w:eastAsia="zh-CN"/>
              </w:rPr>
              <w:t>南</w:t>
            </w:r>
            <w:r>
              <w:rPr>
                <w:rFonts w:hint="eastAsia"/>
              </w:rPr>
              <w:t>侧约</w:t>
            </w:r>
            <w:r>
              <w:rPr>
                <w:rFonts w:hint="eastAsia"/>
                <w:lang w:val="en-US" w:eastAsia="zh-CN"/>
              </w:rPr>
              <w:t>54</w:t>
            </w:r>
            <w:r>
              <w:t>0</w:t>
            </w:r>
            <w:r>
              <w:rPr>
                <w:rFonts w:hint="eastAsia"/>
              </w:rPr>
              <w:t>m的</w:t>
            </w:r>
            <w:r>
              <w:rPr>
                <w:rFonts w:hint="eastAsia"/>
                <w:lang w:val="en-US" w:eastAsia="zh-CN"/>
              </w:rPr>
              <w:t>彭河</w:t>
            </w:r>
            <w:r>
              <w:rPr>
                <w:rFonts w:hint="eastAsia"/>
              </w:rPr>
              <w:t>。项目地理位置图见附图一，项目周围环境</w:t>
            </w:r>
            <w:r>
              <w:rPr>
                <w:rFonts w:hint="eastAsia"/>
                <w:lang w:val="en-US" w:eastAsia="zh-CN"/>
              </w:rPr>
              <w:t>概况示意图</w:t>
            </w:r>
            <w:r>
              <w:rPr>
                <w:rFonts w:hint="eastAsia"/>
              </w:rPr>
              <w:t>见附图二。</w:t>
            </w:r>
          </w:p>
          <w:p>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b/>
                <w:bCs/>
              </w:rPr>
            </w:pPr>
            <w:r>
              <w:rPr>
                <w:rFonts w:hint="eastAsia"/>
                <w:b/>
                <w:bCs/>
                <w:lang w:val="en-US" w:eastAsia="zh-CN"/>
              </w:rPr>
              <w:t>3</w:t>
            </w:r>
            <w:r>
              <w:rPr>
                <w:rFonts w:hint="eastAsia"/>
                <w:b/>
                <w:bCs/>
              </w:rPr>
              <w:t>、项目组成及建设内容</w:t>
            </w:r>
          </w:p>
          <w:p>
            <w:pPr>
              <w:keepNext w:val="0"/>
              <w:keepLines w:val="0"/>
              <w:pageBreakBefore w:val="0"/>
              <w:widowControl w:val="0"/>
              <w:kinsoku/>
              <w:wordWrap/>
              <w:overflowPunct/>
              <w:topLinePunct w:val="0"/>
              <w:autoSpaceDE/>
              <w:autoSpaceDN/>
              <w:bidi w:val="0"/>
              <w:adjustRightInd/>
              <w:snapToGrid/>
              <w:spacing w:line="500" w:lineRule="exact"/>
              <w:ind w:firstLine="480"/>
              <w:textAlignment w:val="auto"/>
            </w:pPr>
            <w:r>
              <w:rPr>
                <w:rFonts w:hint="eastAsia"/>
              </w:rPr>
              <w:t>本项目主要建设内容见下表。</w:t>
            </w:r>
          </w:p>
          <w:p>
            <w:pPr>
              <w:pStyle w:val="37"/>
              <w:adjustRightInd w:val="0"/>
              <w:snapToGrid w:val="0"/>
              <w:spacing w:after="62" w:afterLines="20" w:line="400" w:lineRule="exact"/>
              <w:ind w:firstLine="0" w:firstLineChars="0"/>
              <w:jc w:val="center"/>
              <w:rPr>
                <w:rFonts w:eastAsia="黑体" w:cs="Times New Roman"/>
                <w:bCs/>
                <w:szCs w:val="24"/>
              </w:rPr>
            </w:pPr>
            <w:r>
              <w:rPr>
                <w:rFonts w:hint="eastAsia" w:eastAsia="黑体" w:cs="Times New Roman"/>
                <w:bCs/>
                <w:szCs w:val="24"/>
              </w:rPr>
              <w:t>表2-</w:t>
            </w:r>
            <w:r>
              <w:rPr>
                <w:rFonts w:hint="eastAsia" w:eastAsia="黑体" w:cs="Times New Roman"/>
                <w:bCs/>
                <w:szCs w:val="24"/>
                <w:lang w:val="en-US" w:eastAsia="zh-CN"/>
              </w:rPr>
              <w:t>1</w:t>
            </w:r>
            <w:r>
              <w:rPr>
                <w:rFonts w:hint="eastAsia" w:eastAsia="黑体" w:cs="Times New Roman"/>
                <w:bCs/>
                <w:szCs w:val="24"/>
              </w:rPr>
              <w:t xml:space="preserve">  项目组成及主要建设内容</w:t>
            </w:r>
          </w:p>
          <w:tbl>
            <w:tblPr>
              <w:tblStyle w:val="22"/>
              <w:tblW w:w="86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97"/>
              <w:gridCol w:w="1215"/>
              <w:gridCol w:w="5915"/>
              <w:gridCol w:w="7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jc w:val="center"/>
              </w:trPr>
              <w:tc>
                <w:tcPr>
                  <w:tcW w:w="459" w:type="pct"/>
                  <w:tcBorders>
                    <w:tl2br w:val="nil"/>
                    <w:tr2bl w:val="nil"/>
                  </w:tcBorders>
                  <w:vAlign w:val="center"/>
                </w:tcPr>
                <w:p>
                  <w:pPr>
                    <w:widowControl/>
                    <w:spacing w:line="320" w:lineRule="exact"/>
                    <w:ind w:firstLine="0" w:firstLineChars="0"/>
                    <w:jc w:val="center"/>
                    <w:rPr>
                      <w:b/>
                      <w:sz w:val="21"/>
                    </w:rPr>
                  </w:pPr>
                  <w:r>
                    <w:rPr>
                      <w:b/>
                      <w:sz w:val="21"/>
                    </w:rPr>
                    <w:t>类别</w:t>
                  </w:r>
                </w:p>
              </w:tc>
              <w:tc>
                <w:tcPr>
                  <w:tcW w:w="700" w:type="pct"/>
                  <w:tcBorders>
                    <w:tl2br w:val="nil"/>
                    <w:tr2bl w:val="nil"/>
                  </w:tcBorders>
                  <w:vAlign w:val="center"/>
                </w:tcPr>
                <w:p>
                  <w:pPr>
                    <w:widowControl/>
                    <w:spacing w:line="320" w:lineRule="exact"/>
                    <w:ind w:firstLine="0" w:firstLineChars="0"/>
                    <w:jc w:val="center"/>
                    <w:rPr>
                      <w:b/>
                      <w:sz w:val="21"/>
                    </w:rPr>
                  </w:pPr>
                  <w:r>
                    <w:rPr>
                      <w:rFonts w:hint="eastAsia"/>
                      <w:b/>
                      <w:sz w:val="21"/>
                    </w:rPr>
                    <w:t>项目名称</w:t>
                  </w:r>
                </w:p>
              </w:tc>
              <w:tc>
                <w:tcPr>
                  <w:tcW w:w="3407" w:type="pct"/>
                  <w:tcBorders>
                    <w:tl2br w:val="nil"/>
                    <w:tr2bl w:val="nil"/>
                  </w:tcBorders>
                  <w:vAlign w:val="center"/>
                </w:tcPr>
                <w:p>
                  <w:pPr>
                    <w:widowControl/>
                    <w:spacing w:line="320" w:lineRule="exact"/>
                    <w:ind w:firstLine="0" w:firstLineChars="0"/>
                    <w:jc w:val="center"/>
                    <w:rPr>
                      <w:b/>
                      <w:sz w:val="21"/>
                    </w:rPr>
                  </w:pPr>
                  <w:r>
                    <w:rPr>
                      <w:rFonts w:hint="eastAsia"/>
                      <w:b/>
                      <w:sz w:val="21"/>
                    </w:rPr>
                    <w:t>建设内容</w:t>
                  </w:r>
                </w:p>
              </w:tc>
              <w:tc>
                <w:tcPr>
                  <w:tcW w:w="432" w:type="pct"/>
                  <w:tcBorders>
                    <w:tl2br w:val="nil"/>
                    <w:tr2bl w:val="nil"/>
                  </w:tcBorders>
                  <w:vAlign w:val="center"/>
                </w:tcPr>
                <w:p>
                  <w:pPr>
                    <w:widowControl/>
                    <w:spacing w:line="320" w:lineRule="exact"/>
                    <w:ind w:firstLine="0" w:firstLineChars="0"/>
                    <w:jc w:val="center"/>
                    <w:rPr>
                      <w:b/>
                      <w:sz w:val="21"/>
                    </w:rPr>
                  </w:pPr>
                  <w:r>
                    <w:rPr>
                      <w:rFonts w:hint="eastAsia"/>
                      <w:b/>
                      <w:sz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7" w:hRule="atLeast"/>
                <w:jc w:val="center"/>
              </w:trPr>
              <w:tc>
                <w:tcPr>
                  <w:tcW w:w="459" w:type="pct"/>
                  <w:tcBorders>
                    <w:tl2br w:val="nil"/>
                    <w:tr2bl w:val="nil"/>
                  </w:tcBorders>
                  <w:vAlign w:val="center"/>
                </w:tcPr>
                <w:p>
                  <w:pPr>
                    <w:widowControl/>
                    <w:spacing w:line="320" w:lineRule="exact"/>
                    <w:ind w:firstLine="0" w:firstLineChars="0"/>
                    <w:jc w:val="center"/>
                    <w:rPr>
                      <w:sz w:val="21"/>
                    </w:rPr>
                  </w:pPr>
                  <w:r>
                    <w:rPr>
                      <w:rFonts w:hint="eastAsia"/>
                      <w:sz w:val="21"/>
                    </w:rPr>
                    <w:t>生产</w:t>
                  </w:r>
                </w:p>
                <w:p>
                  <w:pPr>
                    <w:widowControl/>
                    <w:spacing w:line="320" w:lineRule="exact"/>
                    <w:ind w:firstLine="0" w:firstLineChars="0"/>
                    <w:jc w:val="center"/>
                    <w:rPr>
                      <w:sz w:val="21"/>
                    </w:rPr>
                  </w:pPr>
                  <w:r>
                    <w:rPr>
                      <w:rFonts w:hint="eastAsia"/>
                      <w:sz w:val="21"/>
                    </w:rPr>
                    <w:t>车间</w:t>
                  </w:r>
                </w:p>
              </w:tc>
              <w:tc>
                <w:tcPr>
                  <w:tcW w:w="700" w:type="pct"/>
                  <w:tcBorders>
                    <w:tl2br w:val="nil"/>
                    <w:tr2bl w:val="nil"/>
                  </w:tcBorders>
                  <w:vAlign w:val="center"/>
                </w:tcPr>
                <w:p>
                  <w:pPr>
                    <w:widowControl/>
                    <w:spacing w:line="320" w:lineRule="exact"/>
                    <w:ind w:firstLine="0" w:firstLineChars="0"/>
                    <w:jc w:val="center"/>
                    <w:rPr>
                      <w:sz w:val="21"/>
                    </w:rPr>
                  </w:pPr>
                  <w:r>
                    <w:rPr>
                      <w:rFonts w:hint="eastAsia"/>
                      <w:sz w:val="21"/>
                    </w:rPr>
                    <w:t>生产车间</w:t>
                  </w:r>
                </w:p>
              </w:tc>
              <w:tc>
                <w:tcPr>
                  <w:tcW w:w="3407" w:type="pct"/>
                  <w:tcBorders>
                    <w:tl2br w:val="nil"/>
                    <w:tr2bl w:val="nil"/>
                  </w:tcBorders>
                  <w:vAlign w:val="center"/>
                </w:tcPr>
                <w:p>
                  <w:pPr>
                    <w:pStyle w:val="26"/>
                  </w:pPr>
                  <w:r>
                    <w:rPr>
                      <w:rFonts w:hint="eastAsia"/>
                    </w:rPr>
                    <w:t>1座，1</w:t>
                  </w:r>
                  <w:r>
                    <w:t>F</w:t>
                  </w:r>
                  <w:r>
                    <w:rPr>
                      <w:rFonts w:hint="eastAsia"/>
                    </w:rPr>
                    <w:t>，占地面积</w:t>
                  </w:r>
                  <w:r>
                    <w:rPr>
                      <w:rFonts w:hint="eastAsia"/>
                      <w:lang w:val="en-US" w:eastAsia="zh-CN"/>
                    </w:rPr>
                    <w:t>528</w:t>
                  </w:r>
                  <w:r>
                    <w:rPr>
                      <w:rFonts w:hint="eastAsia"/>
                    </w:rPr>
                    <w:t>m</w:t>
                  </w:r>
                  <w:r>
                    <w:rPr>
                      <w:vertAlign w:val="superscript"/>
                    </w:rPr>
                    <w:t>2</w:t>
                  </w:r>
                  <w:r>
                    <w:rPr>
                      <w:rFonts w:hint="eastAsia"/>
                    </w:rPr>
                    <w:t>，</w:t>
                  </w:r>
                  <w:r>
                    <w:rPr>
                      <w:rFonts w:hint="eastAsia"/>
                      <w:lang w:val="en-US" w:eastAsia="zh-CN"/>
                    </w:rPr>
                    <w:t>设置混合间、干燥间、脱包间、内包间、外包间、成品库等，</w:t>
                  </w:r>
                  <w:r>
                    <w:rPr>
                      <w:rFonts w:hint="eastAsia"/>
                    </w:rPr>
                    <w:t>主要生产设备为</w:t>
                  </w:r>
                  <w:r>
                    <w:rPr>
                      <w:rFonts w:hint="eastAsia"/>
                      <w:lang w:val="en-US" w:eastAsia="zh-CN"/>
                    </w:rPr>
                    <w:t>混合机、制粒机、</w:t>
                  </w:r>
                  <w:r>
                    <w:rPr>
                      <w:rFonts w:hint="eastAsia" w:eastAsia="宋体"/>
                      <w:szCs w:val="21"/>
                      <w:lang w:eastAsia="zh-CN"/>
                    </w:rPr>
                    <w:t>直线干燥流化床</w:t>
                  </w:r>
                  <w:r>
                    <w:rPr>
                      <w:rFonts w:hint="eastAsia"/>
                      <w:szCs w:val="21"/>
                      <w:lang w:eastAsia="zh-CN"/>
                    </w:rPr>
                    <w:t>、</w:t>
                  </w:r>
                  <w:r>
                    <w:rPr>
                      <w:rFonts w:hint="eastAsia" w:eastAsia="宋体"/>
                      <w:szCs w:val="21"/>
                      <w:lang w:eastAsia="zh-CN"/>
                    </w:rPr>
                    <w:t>颗粒包装机</w:t>
                  </w:r>
                  <w:r>
                    <w:rPr>
                      <w:rFonts w:hint="eastAsia"/>
                      <w:szCs w:val="21"/>
                      <w:lang w:eastAsia="zh-CN"/>
                    </w:rPr>
                    <w:t>、</w:t>
                  </w:r>
                  <w:r>
                    <w:rPr>
                      <w:rFonts w:hint="eastAsia" w:eastAsia="宋体"/>
                      <w:szCs w:val="21"/>
                      <w:lang w:eastAsia="zh-CN"/>
                    </w:rPr>
                    <w:t>粉剂包装机</w:t>
                  </w:r>
                  <w:r>
                    <w:rPr>
                      <w:rFonts w:hint="eastAsia"/>
                      <w:szCs w:val="21"/>
                      <w:lang w:eastAsia="zh-CN"/>
                    </w:rPr>
                    <w:t>、</w:t>
                  </w:r>
                  <w:r>
                    <w:rPr>
                      <w:rFonts w:hint="eastAsia"/>
                      <w:szCs w:val="21"/>
                      <w:lang w:val="en-US" w:eastAsia="zh-CN"/>
                    </w:rPr>
                    <w:t>热风炉</w:t>
                  </w:r>
                  <w:r>
                    <w:rPr>
                      <w:rFonts w:hint="eastAsia"/>
                    </w:rPr>
                    <w:t>等。</w:t>
                  </w:r>
                </w:p>
              </w:tc>
              <w:tc>
                <w:tcPr>
                  <w:tcW w:w="432" w:type="pct"/>
                  <w:tcBorders>
                    <w:tl2br w:val="nil"/>
                    <w:tr2bl w:val="nil"/>
                  </w:tcBorders>
                  <w:vAlign w:val="center"/>
                </w:tcPr>
                <w:p>
                  <w:pPr>
                    <w:pStyle w:val="26"/>
                  </w:pPr>
                  <w:r>
                    <w:rPr>
                      <w:rFonts w:hint="eastAsia"/>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459" w:type="pct"/>
                  <w:vMerge w:val="restart"/>
                  <w:tcBorders>
                    <w:tl2br w:val="nil"/>
                    <w:tr2bl w:val="nil"/>
                  </w:tcBorders>
                  <w:vAlign w:val="center"/>
                </w:tcPr>
                <w:p>
                  <w:pPr>
                    <w:widowControl/>
                    <w:spacing w:line="320" w:lineRule="exact"/>
                    <w:ind w:firstLine="0" w:firstLineChars="0"/>
                    <w:jc w:val="center"/>
                    <w:rPr>
                      <w:sz w:val="21"/>
                    </w:rPr>
                  </w:pPr>
                  <w:r>
                    <w:rPr>
                      <w:rFonts w:hint="eastAsia"/>
                      <w:sz w:val="21"/>
                    </w:rPr>
                    <w:t>储运</w:t>
                  </w:r>
                </w:p>
                <w:p>
                  <w:pPr>
                    <w:widowControl/>
                    <w:spacing w:line="320" w:lineRule="exact"/>
                    <w:ind w:firstLine="0" w:firstLineChars="0"/>
                    <w:jc w:val="center"/>
                    <w:rPr>
                      <w:sz w:val="21"/>
                    </w:rPr>
                  </w:pPr>
                  <w:r>
                    <w:rPr>
                      <w:rFonts w:hint="eastAsia"/>
                      <w:sz w:val="21"/>
                    </w:rPr>
                    <w:t>工程</w:t>
                  </w:r>
                </w:p>
              </w:tc>
              <w:tc>
                <w:tcPr>
                  <w:tcW w:w="700" w:type="pct"/>
                  <w:tcBorders>
                    <w:tl2br w:val="nil"/>
                    <w:tr2bl w:val="nil"/>
                  </w:tcBorders>
                  <w:vAlign w:val="center"/>
                </w:tcPr>
                <w:p>
                  <w:pPr>
                    <w:pStyle w:val="26"/>
                    <w:rPr>
                      <w:rFonts w:hint="default" w:eastAsia="宋体"/>
                      <w:lang w:val="en-US" w:eastAsia="zh-CN"/>
                    </w:rPr>
                  </w:pPr>
                  <w:r>
                    <w:rPr>
                      <w:rFonts w:hint="eastAsia"/>
                      <w:lang w:val="en-US" w:eastAsia="zh-CN"/>
                    </w:rPr>
                    <w:t>原料库和包材库</w:t>
                  </w:r>
                </w:p>
              </w:tc>
              <w:tc>
                <w:tcPr>
                  <w:tcW w:w="3407" w:type="pct"/>
                  <w:tcBorders>
                    <w:tl2br w:val="nil"/>
                    <w:tr2bl w:val="nil"/>
                  </w:tcBorders>
                  <w:vAlign w:val="center"/>
                </w:tcPr>
                <w:p>
                  <w:pPr>
                    <w:pStyle w:val="26"/>
                    <w:rPr>
                      <w:rFonts w:hint="eastAsia" w:eastAsia="宋体"/>
                      <w:vertAlign w:val="baseline"/>
                      <w:lang w:eastAsia="zh-CN"/>
                    </w:rPr>
                  </w:pPr>
                  <w:r>
                    <w:rPr>
                      <w:kern w:val="0"/>
                    </w:rPr>
                    <w:t>1</w:t>
                  </w:r>
                  <w:r>
                    <w:rPr>
                      <w:rFonts w:hint="eastAsia"/>
                      <w:kern w:val="0"/>
                    </w:rPr>
                    <w:t>座，</w:t>
                  </w:r>
                  <w:r>
                    <w:rPr>
                      <w:kern w:val="0"/>
                    </w:rPr>
                    <w:t>1F</w:t>
                  </w:r>
                  <w:r>
                    <w:rPr>
                      <w:rFonts w:hint="eastAsia"/>
                      <w:kern w:val="0"/>
                    </w:rPr>
                    <w:t>，占地面积</w:t>
                  </w:r>
                  <w:r>
                    <w:rPr>
                      <w:rFonts w:hint="eastAsia"/>
                      <w:kern w:val="0"/>
                      <w:lang w:val="en-US" w:eastAsia="zh-CN"/>
                    </w:rPr>
                    <w:t>528</w:t>
                  </w:r>
                  <w:r>
                    <w:rPr>
                      <w:kern w:val="0"/>
                    </w:rPr>
                    <w:t>m</w:t>
                  </w:r>
                  <w:r>
                    <w:rPr>
                      <w:kern w:val="0"/>
                      <w:vertAlign w:val="superscript"/>
                    </w:rPr>
                    <w:t>2</w:t>
                  </w:r>
                  <w:r>
                    <w:rPr>
                      <w:rFonts w:hint="eastAsia"/>
                      <w:kern w:val="0"/>
                      <w:vertAlign w:val="baseline"/>
                      <w:lang w:eastAsia="zh-CN"/>
                    </w:rPr>
                    <w:t>，</w:t>
                  </w:r>
                  <w:r>
                    <w:rPr>
                      <w:rFonts w:hint="eastAsia"/>
                      <w:kern w:val="0"/>
                    </w:rPr>
                    <w:t>主要用于储存</w:t>
                  </w:r>
                  <w:r>
                    <w:rPr>
                      <w:rFonts w:hint="eastAsia"/>
                      <w:kern w:val="0"/>
                      <w:lang w:val="en-US" w:eastAsia="zh-CN"/>
                    </w:rPr>
                    <w:t>食用盐、淀粉、味精、鸡肉粉</w:t>
                  </w:r>
                  <w:r>
                    <w:rPr>
                      <w:rFonts w:hint="eastAsia"/>
                      <w:kern w:val="0"/>
                    </w:rPr>
                    <w:t>等</w:t>
                  </w:r>
                  <w:r>
                    <w:rPr>
                      <w:rFonts w:hint="eastAsia"/>
                      <w:kern w:val="0"/>
                      <w:lang w:val="en-US" w:eastAsia="zh-CN"/>
                    </w:rPr>
                    <w:t>原料和</w:t>
                  </w:r>
                  <w:r>
                    <w:rPr>
                      <w:rFonts w:hint="eastAsia"/>
                      <w:kern w:val="0"/>
                    </w:rPr>
                    <w:t>包装</w:t>
                  </w:r>
                  <w:r>
                    <w:rPr>
                      <w:rFonts w:hint="eastAsia"/>
                      <w:kern w:val="0"/>
                      <w:lang w:val="en-US" w:eastAsia="zh-CN"/>
                    </w:rPr>
                    <w:t>材料</w:t>
                  </w:r>
                  <w:r>
                    <w:rPr>
                      <w:rFonts w:hint="eastAsia"/>
                      <w:kern w:val="0"/>
                    </w:rPr>
                    <w:t>。</w:t>
                  </w:r>
                </w:p>
              </w:tc>
              <w:tc>
                <w:tcPr>
                  <w:tcW w:w="432" w:type="pct"/>
                  <w:tcBorders>
                    <w:tl2br w:val="nil"/>
                    <w:tr2bl w:val="nil"/>
                  </w:tcBorders>
                  <w:vAlign w:val="center"/>
                </w:tcPr>
                <w:p>
                  <w:pPr>
                    <w:pStyle w:val="26"/>
                  </w:pPr>
                  <w:r>
                    <w:rPr>
                      <w:rFonts w:hint="eastAsia"/>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tcBorders>
                    <w:tl2br w:val="nil"/>
                    <w:tr2bl w:val="nil"/>
                  </w:tcBorders>
                  <w:vAlign w:val="center"/>
                </w:tcPr>
                <w:p>
                  <w:pPr>
                    <w:pStyle w:val="26"/>
                    <w:rPr>
                      <w:rFonts w:hint="eastAsia" w:eastAsia="宋体"/>
                      <w:lang w:eastAsia="zh-CN"/>
                    </w:rPr>
                  </w:pPr>
                  <w:r>
                    <w:rPr>
                      <w:rFonts w:hint="eastAsia"/>
                      <w:lang w:val="en-US" w:eastAsia="zh-CN"/>
                    </w:rPr>
                    <w:t>仓库</w:t>
                  </w:r>
                </w:p>
              </w:tc>
              <w:tc>
                <w:tcPr>
                  <w:tcW w:w="3407" w:type="pct"/>
                  <w:tcBorders>
                    <w:tl2br w:val="nil"/>
                    <w:tr2bl w:val="nil"/>
                  </w:tcBorders>
                  <w:vAlign w:val="center"/>
                </w:tcPr>
                <w:p>
                  <w:pPr>
                    <w:pStyle w:val="26"/>
                  </w:pPr>
                  <w:r>
                    <w:rPr>
                      <w:kern w:val="0"/>
                    </w:rPr>
                    <w:t>1</w:t>
                  </w:r>
                  <w:r>
                    <w:rPr>
                      <w:rFonts w:hint="eastAsia"/>
                      <w:kern w:val="0"/>
                    </w:rPr>
                    <w:t>座，</w:t>
                  </w:r>
                  <w:r>
                    <w:rPr>
                      <w:kern w:val="0"/>
                    </w:rPr>
                    <w:t>1F</w:t>
                  </w:r>
                  <w:r>
                    <w:rPr>
                      <w:rFonts w:hint="eastAsia"/>
                      <w:kern w:val="0"/>
                    </w:rPr>
                    <w:t>，占地面积</w:t>
                  </w:r>
                  <w:r>
                    <w:rPr>
                      <w:rFonts w:hint="eastAsia"/>
                      <w:kern w:val="0"/>
                      <w:lang w:val="en-US" w:eastAsia="zh-CN"/>
                    </w:rPr>
                    <w:t>528</w:t>
                  </w:r>
                  <w:r>
                    <w:rPr>
                      <w:kern w:val="0"/>
                    </w:rPr>
                    <w:t>m</w:t>
                  </w:r>
                  <w:r>
                    <w:rPr>
                      <w:kern w:val="0"/>
                      <w:vertAlign w:val="superscript"/>
                    </w:rPr>
                    <w:t>2</w:t>
                  </w:r>
                  <w:r>
                    <w:rPr>
                      <w:rFonts w:hint="eastAsia"/>
                      <w:kern w:val="0"/>
                      <w:vertAlign w:val="baseline"/>
                      <w:lang w:eastAsia="zh-CN"/>
                    </w:rPr>
                    <w:t>，</w:t>
                  </w:r>
                  <w:r>
                    <w:rPr>
                      <w:rFonts w:hint="eastAsia"/>
                      <w:kern w:val="0"/>
                      <w:vertAlign w:val="baseline"/>
                      <w:lang w:val="en-US" w:eastAsia="zh-CN"/>
                    </w:rPr>
                    <w:t>作为备用仓库，</w:t>
                  </w:r>
                  <w:r>
                    <w:rPr>
                      <w:rFonts w:hint="eastAsia"/>
                      <w:kern w:val="0"/>
                    </w:rPr>
                    <w:t>主要用于</w:t>
                  </w:r>
                  <w:r>
                    <w:rPr>
                      <w:rFonts w:hint="eastAsia"/>
                      <w:kern w:val="0"/>
                      <w:lang w:val="en-US" w:eastAsia="zh-CN"/>
                    </w:rPr>
                    <w:t>原料和产品的储存</w:t>
                  </w:r>
                  <w:r>
                    <w:rPr>
                      <w:rFonts w:hint="eastAsia"/>
                      <w:kern w:val="0"/>
                    </w:rPr>
                    <w:t>。</w:t>
                  </w:r>
                </w:p>
              </w:tc>
              <w:tc>
                <w:tcPr>
                  <w:tcW w:w="432" w:type="pct"/>
                  <w:tcBorders>
                    <w:tl2br w:val="nil"/>
                    <w:tr2bl w:val="nil"/>
                  </w:tcBorders>
                  <w:vAlign w:val="center"/>
                </w:tcPr>
                <w:p>
                  <w:pPr>
                    <w:pStyle w:val="26"/>
                  </w:pPr>
                  <w:r>
                    <w:rPr>
                      <w:rFonts w:hint="eastAsia"/>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459" w:type="pct"/>
                  <w:tcBorders>
                    <w:tl2br w:val="nil"/>
                    <w:tr2bl w:val="nil"/>
                  </w:tcBorders>
                  <w:vAlign w:val="center"/>
                </w:tcPr>
                <w:p>
                  <w:pPr>
                    <w:widowControl/>
                    <w:spacing w:line="320" w:lineRule="exact"/>
                    <w:ind w:firstLine="0" w:firstLineChars="0"/>
                    <w:jc w:val="center"/>
                    <w:rPr>
                      <w:color w:val="auto"/>
                      <w:sz w:val="21"/>
                    </w:rPr>
                  </w:pPr>
                  <w:r>
                    <w:rPr>
                      <w:rFonts w:hint="eastAsia"/>
                      <w:color w:val="auto"/>
                      <w:sz w:val="21"/>
                    </w:rPr>
                    <w:t>办公</w:t>
                  </w:r>
                </w:p>
                <w:p>
                  <w:pPr>
                    <w:widowControl/>
                    <w:spacing w:line="320" w:lineRule="exact"/>
                    <w:ind w:firstLine="0" w:firstLineChars="0"/>
                    <w:jc w:val="center"/>
                    <w:rPr>
                      <w:color w:val="auto"/>
                      <w:sz w:val="21"/>
                    </w:rPr>
                  </w:pPr>
                  <w:r>
                    <w:rPr>
                      <w:rFonts w:hint="eastAsia"/>
                      <w:color w:val="auto"/>
                      <w:sz w:val="21"/>
                    </w:rPr>
                    <w:t>生活</w:t>
                  </w:r>
                </w:p>
              </w:tc>
              <w:tc>
                <w:tcPr>
                  <w:tcW w:w="700" w:type="pct"/>
                  <w:tcBorders>
                    <w:tl2br w:val="nil"/>
                    <w:tr2bl w:val="nil"/>
                  </w:tcBorders>
                  <w:vAlign w:val="center"/>
                </w:tcPr>
                <w:p>
                  <w:pPr>
                    <w:pStyle w:val="26"/>
                    <w:rPr>
                      <w:color w:val="auto"/>
                    </w:rPr>
                  </w:pPr>
                  <w:r>
                    <w:rPr>
                      <w:rFonts w:hint="eastAsia"/>
                      <w:color w:val="auto"/>
                    </w:rPr>
                    <w:t>办公室</w:t>
                  </w:r>
                </w:p>
              </w:tc>
              <w:tc>
                <w:tcPr>
                  <w:tcW w:w="3407" w:type="pct"/>
                  <w:tcBorders>
                    <w:tl2br w:val="nil"/>
                    <w:tr2bl w:val="nil"/>
                  </w:tcBorders>
                  <w:vAlign w:val="center"/>
                </w:tcPr>
                <w:p>
                  <w:pPr>
                    <w:pStyle w:val="26"/>
                    <w:rPr>
                      <w:color w:val="auto"/>
                    </w:rPr>
                  </w:pPr>
                  <w:r>
                    <w:rPr>
                      <w:color w:val="auto"/>
                      <w:kern w:val="0"/>
                    </w:rPr>
                    <w:t>1</w:t>
                  </w:r>
                  <w:r>
                    <w:rPr>
                      <w:rFonts w:hint="eastAsia"/>
                      <w:color w:val="auto"/>
                      <w:kern w:val="0"/>
                    </w:rPr>
                    <w:t>座，</w:t>
                  </w:r>
                  <w:r>
                    <w:rPr>
                      <w:color w:val="auto"/>
                      <w:kern w:val="0"/>
                    </w:rPr>
                    <w:t>2F</w:t>
                  </w:r>
                  <w:r>
                    <w:rPr>
                      <w:rFonts w:hint="eastAsia"/>
                      <w:color w:val="auto"/>
                      <w:kern w:val="0"/>
                    </w:rPr>
                    <w:t>，</w:t>
                  </w:r>
                  <w:r>
                    <w:rPr>
                      <w:rFonts w:hint="eastAsia"/>
                      <w:color w:val="auto"/>
                      <w:kern w:val="0"/>
                      <w:lang w:val="en-US" w:eastAsia="zh-CN"/>
                    </w:rPr>
                    <w:t>建筑</w:t>
                  </w:r>
                  <w:r>
                    <w:rPr>
                      <w:rFonts w:hint="eastAsia"/>
                      <w:color w:val="auto"/>
                      <w:kern w:val="0"/>
                    </w:rPr>
                    <w:t>面积</w:t>
                  </w:r>
                  <w:r>
                    <w:rPr>
                      <w:rFonts w:hint="eastAsia"/>
                      <w:color w:val="auto"/>
                      <w:kern w:val="0"/>
                      <w:lang w:val="en-US" w:eastAsia="zh-CN"/>
                    </w:rPr>
                    <w:t>6</w:t>
                  </w:r>
                  <w:r>
                    <w:rPr>
                      <w:color w:val="auto"/>
                      <w:kern w:val="0"/>
                    </w:rPr>
                    <w:t>00m</w:t>
                  </w:r>
                  <w:r>
                    <w:rPr>
                      <w:color w:val="auto"/>
                      <w:kern w:val="0"/>
                      <w:vertAlign w:val="superscript"/>
                    </w:rPr>
                    <w:t>2</w:t>
                  </w:r>
                  <w:r>
                    <w:rPr>
                      <w:rFonts w:hint="eastAsia"/>
                      <w:color w:val="auto"/>
                      <w:kern w:val="0"/>
                    </w:rPr>
                    <w:t>，</w:t>
                  </w:r>
                  <w:r>
                    <w:rPr>
                      <w:rFonts w:hint="eastAsia"/>
                      <w:color w:val="auto"/>
                      <w:kern w:val="0"/>
                      <w:lang w:val="en-US" w:eastAsia="zh-CN"/>
                    </w:rPr>
                    <w:t>主要用于人员</w:t>
                  </w:r>
                  <w:r>
                    <w:rPr>
                      <w:rFonts w:hint="eastAsia"/>
                      <w:color w:val="auto"/>
                      <w:kern w:val="0"/>
                    </w:rPr>
                    <w:t>办公。</w:t>
                  </w:r>
                </w:p>
              </w:tc>
              <w:tc>
                <w:tcPr>
                  <w:tcW w:w="432" w:type="pct"/>
                  <w:tcBorders>
                    <w:tl2br w:val="nil"/>
                    <w:tr2bl w:val="nil"/>
                  </w:tcBorders>
                  <w:vAlign w:val="center"/>
                </w:tcPr>
                <w:p>
                  <w:pPr>
                    <w:pStyle w:val="26"/>
                    <w:rPr>
                      <w:color w:val="FF0000"/>
                    </w:rPr>
                  </w:pPr>
                  <w:r>
                    <w:rPr>
                      <w:rFonts w:hint="eastAsia"/>
                      <w:color w:val="auto"/>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restart"/>
                  <w:tcBorders>
                    <w:tl2br w:val="nil"/>
                    <w:tr2bl w:val="nil"/>
                  </w:tcBorders>
                  <w:vAlign w:val="center"/>
                </w:tcPr>
                <w:p>
                  <w:pPr>
                    <w:widowControl/>
                    <w:spacing w:line="320" w:lineRule="exact"/>
                    <w:ind w:firstLine="0" w:firstLineChars="0"/>
                    <w:jc w:val="center"/>
                    <w:rPr>
                      <w:sz w:val="21"/>
                    </w:rPr>
                  </w:pPr>
                  <w:r>
                    <w:rPr>
                      <w:rFonts w:hint="eastAsia"/>
                      <w:sz w:val="21"/>
                    </w:rPr>
                    <w:t>公用</w:t>
                  </w:r>
                </w:p>
                <w:p>
                  <w:pPr>
                    <w:widowControl/>
                    <w:spacing w:line="320" w:lineRule="exact"/>
                    <w:ind w:firstLine="0" w:firstLineChars="0"/>
                    <w:jc w:val="center"/>
                    <w:rPr>
                      <w:sz w:val="21"/>
                    </w:rPr>
                  </w:pPr>
                  <w:r>
                    <w:rPr>
                      <w:rFonts w:hint="eastAsia"/>
                      <w:sz w:val="21"/>
                    </w:rPr>
                    <w:t>工程</w:t>
                  </w:r>
                </w:p>
              </w:tc>
              <w:tc>
                <w:tcPr>
                  <w:tcW w:w="700" w:type="pct"/>
                  <w:tcBorders>
                    <w:tl2br w:val="nil"/>
                    <w:tr2bl w:val="nil"/>
                  </w:tcBorders>
                  <w:vAlign w:val="center"/>
                </w:tcPr>
                <w:p>
                  <w:pPr>
                    <w:pStyle w:val="26"/>
                  </w:pPr>
                  <w:r>
                    <w:t>供电</w:t>
                  </w:r>
                </w:p>
              </w:tc>
              <w:tc>
                <w:tcPr>
                  <w:tcW w:w="3407" w:type="pct"/>
                  <w:tcBorders>
                    <w:tl2br w:val="nil"/>
                    <w:tr2bl w:val="nil"/>
                  </w:tcBorders>
                  <w:vAlign w:val="center"/>
                </w:tcPr>
                <w:p>
                  <w:pPr>
                    <w:pStyle w:val="26"/>
                    <w:rPr>
                      <w:rFonts w:hint="default"/>
                      <w:lang w:val="en-US"/>
                    </w:rPr>
                  </w:pPr>
                  <w:r>
                    <w:rPr>
                      <w:rFonts w:hint="eastAsia"/>
                      <w:sz w:val="21"/>
                      <w:szCs w:val="21"/>
                    </w:rPr>
                    <w:t>由</w:t>
                  </w:r>
                  <w:r>
                    <w:rPr>
                      <w:rFonts w:hint="eastAsia"/>
                      <w:sz w:val="21"/>
                      <w:szCs w:val="21"/>
                      <w:lang w:val="en-US" w:eastAsia="zh-CN"/>
                    </w:rPr>
                    <w:t>张良镇电网供电</w:t>
                  </w:r>
                </w:p>
              </w:tc>
              <w:tc>
                <w:tcPr>
                  <w:tcW w:w="432" w:type="pct"/>
                  <w:tcBorders>
                    <w:tl2br w:val="nil"/>
                    <w:tr2bl w:val="nil"/>
                  </w:tcBorders>
                  <w:vAlign w:val="center"/>
                </w:tcPr>
                <w:p>
                  <w:pPr>
                    <w:pStyle w:val="26"/>
                    <w:rPr>
                      <w:rFonts w:hint="eastAsia" w:eastAsia="宋体"/>
                      <w:lang w:val="en-US" w:eastAsia="zh-CN"/>
                    </w:rPr>
                  </w:pPr>
                  <w:r>
                    <w:rPr>
                      <w:rFonts w:hint="eastAsia"/>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tcBorders>
                    <w:tl2br w:val="nil"/>
                    <w:tr2bl w:val="nil"/>
                  </w:tcBorders>
                  <w:vAlign w:val="center"/>
                </w:tcPr>
                <w:p>
                  <w:pPr>
                    <w:pStyle w:val="26"/>
                  </w:pPr>
                  <w:r>
                    <w:t>供水</w:t>
                  </w:r>
                </w:p>
              </w:tc>
              <w:tc>
                <w:tcPr>
                  <w:tcW w:w="3407" w:type="pct"/>
                  <w:tcBorders>
                    <w:tl2br w:val="nil"/>
                    <w:tr2bl w:val="nil"/>
                  </w:tcBorders>
                  <w:vAlign w:val="center"/>
                </w:tcPr>
                <w:p>
                  <w:pPr>
                    <w:pStyle w:val="26"/>
                    <w:rPr>
                      <w:rFonts w:hint="default"/>
                      <w:lang w:val="en-US"/>
                    </w:rPr>
                  </w:pPr>
                  <w:r>
                    <w:rPr>
                      <w:rFonts w:hint="eastAsia"/>
                      <w:sz w:val="21"/>
                      <w:szCs w:val="21"/>
                    </w:rPr>
                    <w:t>由</w:t>
                  </w:r>
                  <w:r>
                    <w:rPr>
                      <w:rFonts w:hint="eastAsia"/>
                      <w:sz w:val="21"/>
                      <w:szCs w:val="21"/>
                      <w:lang w:val="en-US" w:eastAsia="zh-CN"/>
                    </w:rPr>
                    <w:t>张良镇集中供水管网供水</w:t>
                  </w:r>
                </w:p>
              </w:tc>
              <w:tc>
                <w:tcPr>
                  <w:tcW w:w="432" w:type="pct"/>
                  <w:tcBorders>
                    <w:tl2br w:val="nil"/>
                    <w:tr2bl w:val="nil"/>
                  </w:tcBorders>
                  <w:vAlign w:val="center"/>
                </w:tcPr>
                <w:p>
                  <w:pPr>
                    <w:pStyle w:val="26"/>
                    <w:rPr>
                      <w:rFonts w:hint="eastAsia" w:eastAsia="宋体"/>
                      <w:lang w:val="en-US" w:eastAsia="zh-CN"/>
                    </w:rPr>
                  </w:pPr>
                  <w:r>
                    <w:rPr>
                      <w:rFonts w:hint="eastAsia"/>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tcBorders>
                    <w:tl2br w:val="nil"/>
                    <w:tr2bl w:val="nil"/>
                  </w:tcBorders>
                  <w:vAlign w:val="center"/>
                </w:tcPr>
                <w:p>
                  <w:pPr>
                    <w:pStyle w:val="26"/>
                  </w:pPr>
                  <w:r>
                    <w:t>排水</w:t>
                  </w:r>
                </w:p>
              </w:tc>
              <w:tc>
                <w:tcPr>
                  <w:tcW w:w="3407" w:type="pct"/>
                  <w:tcBorders>
                    <w:tl2br w:val="nil"/>
                    <w:tr2bl w:val="nil"/>
                  </w:tcBorders>
                  <w:vAlign w:val="center"/>
                </w:tcPr>
                <w:p>
                  <w:pPr>
                    <w:pStyle w:val="26"/>
                    <w:jc w:val="center"/>
                    <w:rPr>
                      <w:rFonts w:hint="default" w:eastAsia="宋体"/>
                      <w:lang w:val="en-US" w:eastAsia="zh-CN"/>
                    </w:rPr>
                  </w:pPr>
                  <w:r>
                    <w:rPr>
                      <w:rFonts w:hint="eastAsia"/>
                    </w:rPr>
                    <w:t>生活污水经厂区</w:t>
                  </w:r>
                  <w:r>
                    <w:rPr>
                      <w:rFonts w:hint="eastAsia"/>
                      <w:lang w:val="en-US" w:eastAsia="zh-CN"/>
                    </w:rPr>
                    <w:t>化粪池（容积为3m</w:t>
                  </w:r>
                  <w:r>
                    <w:rPr>
                      <w:rFonts w:hint="eastAsia"/>
                      <w:vertAlign w:val="superscript"/>
                      <w:lang w:val="en-US" w:eastAsia="zh-CN"/>
                    </w:rPr>
                    <w:t>3</w:t>
                  </w:r>
                  <w:r>
                    <w:rPr>
                      <w:rFonts w:hint="eastAsia"/>
                      <w:lang w:val="en-US" w:eastAsia="zh-CN"/>
                    </w:rPr>
                    <w:t>）处理后，定期清掏肥田。</w:t>
                  </w:r>
                </w:p>
              </w:tc>
              <w:tc>
                <w:tcPr>
                  <w:tcW w:w="432" w:type="pct"/>
                  <w:vMerge w:val="restart"/>
                  <w:tcBorders>
                    <w:tl2br w:val="nil"/>
                    <w:tr2bl w:val="nil"/>
                  </w:tcBorders>
                  <w:vAlign w:val="center"/>
                </w:tcPr>
                <w:p>
                  <w:pPr>
                    <w:pStyle w:val="26"/>
                  </w:pPr>
                  <w:r>
                    <w:rPr>
                      <w:rFonts w:hint="eastAsia"/>
                    </w:rPr>
                    <w:t>新建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5" w:hRule="atLeast"/>
                <w:jc w:val="center"/>
              </w:trPr>
              <w:tc>
                <w:tcPr>
                  <w:tcW w:w="459" w:type="pct"/>
                  <w:vMerge w:val="restart"/>
                  <w:tcBorders>
                    <w:tl2br w:val="nil"/>
                    <w:tr2bl w:val="nil"/>
                  </w:tcBorders>
                  <w:vAlign w:val="center"/>
                </w:tcPr>
                <w:p>
                  <w:pPr>
                    <w:spacing w:line="320" w:lineRule="exact"/>
                    <w:ind w:firstLine="0" w:firstLineChars="0"/>
                    <w:jc w:val="center"/>
                    <w:rPr>
                      <w:sz w:val="21"/>
                    </w:rPr>
                  </w:pPr>
                  <w:r>
                    <w:rPr>
                      <w:rFonts w:hint="eastAsia"/>
                      <w:sz w:val="21"/>
                    </w:rPr>
                    <w:t>环保</w:t>
                  </w:r>
                </w:p>
                <w:p>
                  <w:pPr>
                    <w:spacing w:line="320" w:lineRule="exact"/>
                    <w:ind w:firstLine="0" w:firstLineChars="0"/>
                    <w:jc w:val="center"/>
                    <w:rPr>
                      <w:sz w:val="21"/>
                    </w:rPr>
                  </w:pPr>
                  <w:r>
                    <w:rPr>
                      <w:rFonts w:hint="eastAsia"/>
                      <w:sz w:val="21"/>
                    </w:rPr>
                    <w:t>工程</w:t>
                  </w:r>
                </w:p>
              </w:tc>
              <w:tc>
                <w:tcPr>
                  <w:tcW w:w="700" w:type="pct"/>
                  <w:vMerge w:val="restart"/>
                  <w:tcBorders>
                    <w:tl2br w:val="nil"/>
                    <w:tr2bl w:val="nil"/>
                  </w:tcBorders>
                  <w:vAlign w:val="center"/>
                </w:tcPr>
                <w:p>
                  <w:pPr>
                    <w:pStyle w:val="26"/>
                  </w:pPr>
                  <w:r>
                    <w:rPr>
                      <w:rFonts w:hint="eastAsia"/>
                    </w:rPr>
                    <w:t>废气治理</w:t>
                  </w:r>
                </w:p>
              </w:tc>
              <w:tc>
                <w:tcPr>
                  <w:tcW w:w="3407" w:type="pct"/>
                  <w:tcBorders>
                    <w:tl2br w:val="nil"/>
                    <w:tr2bl w:val="nil"/>
                  </w:tcBorders>
                  <w:vAlign w:val="center"/>
                </w:tcPr>
                <w:p>
                  <w:pPr>
                    <w:pStyle w:val="26"/>
                  </w:pPr>
                  <w:r>
                    <w:rPr>
                      <w:rFonts w:hint="eastAsia"/>
                      <w:sz w:val="21"/>
                      <w:szCs w:val="21"/>
                      <w:lang w:val="en-US" w:eastAsia="zh-CN"/>
                    </w:rPr>
                    <w:t>调味料生产线工艺粉尘（投料、粉碎、混合搅拌、制粒、干燥、筛分、包装粉尘）</w:t>
                  </w:r>
                  <w:r>
                    <w:rPr>
                      <w:rFonts w:hint="eastAsia"/>
                      <w:lang w:val="en-US" w:eastAsia="zh-CN"/>
                    </w:rPr>
                    <w:t>，经集气措施收集后，引至一套袋式除尘器，</w:t>
                  </w:r>
                  <w:r>
                    <w:rPr>
                      <w:rFonts w:hint="eastAsia"/>
                    </w:rPr>
                    <w:t>处理后</w:t>
                  </w:r>
                  <w:r>
                    <w:rPr>
                      <w:rFonts w:hint="eastAsia"/>
                      <w:lang w:val="en-US" w:eastAsia="zh-CN"/>
                    </w:rPr>
                    <w:t>经一根15m高排气筒排放（DA001）</w:t>
                  </w:r>
                </w:p>
              </w:tc>
              <w:tc>
                <w:tcPr>
                  <w:tcW w:w="432" w:type="pct"/>
                  <w:vMerge w:val="continue"/>
                  <w:tcBorders>
                    <w:tl2br w:val="nil"/>
                    <w:tr2bl w:val="nil"/>
                  </w:tcBorders>
                  <w:vAlign w:val="center"/>
                </w:tcPr>
                <w:p>
                  <w:pPr>
                    <w:widowControl/>
                    <w:spacing w:line="320" w:lineRule="exact"/>
                    <w:ind w:firstLine="0" w:firstLineChars="0"/>
                    <w:jc w:val="center"/>
                    <w:rPr>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7" w:hRule="atLeast"/>
                <w:jc w:val="center"/>
              </w:trPr>
              <w:tc>
                <w:tcPr>
                  <w:tcW w:w="459" w:type="pct"/>
                  <w:vMerge w:val="continue"/>
                  <w:tcBorders>
                    <w:tl2br w:val="nil"/>
                    <w:tr2bl w:val="nil"/>
                  </w:tcBorders>
                  <w:vAlign w:val="center"/>
                </w:tcPr>
                <w:p>
                  <w:pPr>
                    <w:spacing w:line="320" w:lineRule="exact"/>
                    <w:ind w:firstLine="0" w:firstLineChars="0"/>
                    <w:jc w:val="center"/>
                    <w:rPr>
                      <w:sz w:val="21"/>
                    </w:rPr>
                  </w:pPr>
                </w:p>
              </w:tc>
              <w:tc>
                <w:tcPr>
                  <w:tcW w:w="700" w:type="pct"/>
                  <w:vMerge w:val="continue"/>
                  <w:tcBorders>
                    <w:tl2br w:val="nil"/>
                    <w:tr2bl w:val="nil"/>
                  </w:tcBorders>
                  <w:vAlign w:val="center"/>
                </w:tcPr>
                <w:p>
                  <w:pPr>
                    <w:pStyle w:val="26"/>
                  </w:pPr>
                </w:p>
              </w:tc>
              <w:tc>
                <w:tcPr>
                  <w:tcW w:w="3407" w:type="pct"/>
                  <w:tcBorders>
                    <w:tl2br w:val="nil"/>
                    <w:tr2bl w:val="nil"/>
                  </w:tcBorders>
                  <w:vAlign w:val="center"/>
                </w:tcPr>
                <w:p>
                  <w:pPr>
                    <w:pStyle w:val="26"/>
                    <w:rPr>
                      <w:rFonts w:hint="default" w:eastAsia="宋体"/>
                      <w:lang w:val="en-US" w:eastAsia="zh-CN"/>
                    </w:rPr>
                  </w:pPr>
                  <w:r>
                    <w:rPr>
                      <w:rFonts w:hint="eastAsia"/>
                      <w:lang w:val="en-US" w:eastAsia="zh-CN"/>
                    </w:rPr>
                    <w:t>天然气热风炉安装低氮燃烧器，废气经一根15m高排气筒排放（DA002）</w:t>
                  </w:r>
                </w:p>
              </w:tc>
              <w:tc>
                <w:tcPr>
                  <w:tcW w:w="432" w:type="pct"/>
                  <w:vMerge w:val="continue"/>
                  <w:tcBorders>
                    <w:tl2br w:val="nil"/>
                    <w:tr2bl w:val="nil"/>
                  </w:tcBorders>
                  <w:vAlign w:val="center"/>
                </w:tcPr>
                <w:p>
                  <w:pPr>
                    <w:widowControl/>
                    <w:spacing w:line="320" w:lineRule="exact"/>
                    <w:ind w:firstLine="0" w:firstLineChars="0"/>
                    <w:jc w:val="center"/>
                    <w:rPr>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continue"/>
                  <w:tcBorders>
                    <w:tl2br w:val="nil"/>
                    <w:tr2bl w:val="nil"/>
                  </w:tcBorders>
                  <w:vAlign w:val="center"/>
                </w:tcPr>
                <w:p>
                  <w:pPr>
                    <w:spacing w:line="320" w:lineRule="exact"/>
                    <w:ind w:firstLine="0" w:firstLineChars="0"/>
                    <w:jc w:val="center"/>
                    <w:rPr>
                      <w:sz w:val="21"/>
                    </w:rPr>
                  </w:pPr>
                </w:p>
              </w:tc>
              <w:tc>
                <w:tcPr>
                  <w:tcW w:w="700" w:type="pct"/>
                  <w:tcBorders>
                    <w:tl2br w:val="nil"/>
                    <w:tr2bl w:val="nil"/>
                  </w:tcBorders>
                  <w:vAlign w:val="center"/>
                </w:tcPr>
                <w:p>
                  <w:pPr>
                    <w:pStyle w:val="26"/>
                  </w:pPr>
                  <w:r>
                    <w:rPr>
                      <w:rFonts w:hint="eastAsia"/>
                    </w:rPr>
                    <w:t>废水</w:t>
                  </w:r>
                </w:p>
              </w:tc>
              <w:tc>
                <w:tcPr>
                  <w:tcW w:w="3407" w:type="pct"/>
                  <w:tcBorders>
                    <w:tl2br w:val="nil"/>
                    <w:tr2bl w:val="nil"/>
                  </w:tcBorders>
                  <w:vAlign w:val="center"/>
                </w:tcPr>
                <w:p>
                  <w:pPr>
                    <w:pStyle w:val="26"/>
                    <w:jc w:val="center"/>
                  </w:pPr>
                  <w:r>
                    <w:rPr>
                      <w:rFonts w:hint="eastAsia"/>
                    </w:rPr>
                    <w:t>生活污水经厂区</w:t>
                  </w:r>
                  <w:r>
                    <w:rPr>
                      <w:rFonts w:hint="eastAsia"/>
                      <w:lang w:val="en-US" w:eastAsia="zh-CN"/>
                    </w:rPr>
                    <w:t>化粪池（容积为3m</w:t>
                  </w:r>
                  <w:r>
                    <w:rPr>
                      <w:rFonts w:hint="eastAsia"/>
                      <w:vertAlign w:val="superscript"/>
                      <w:lang w:val="en-US" w:eastAsia="zh-CN"/>
                    </w:rPr>
                    <w:t>3</w:t>
                  </w:r>
                  <w:r>
                    <w:rPr>
                      <w:rFonts w:hint="eastAsia"/>
                      <w:lang w:val="en-US" w:eastAsia="zh-CN"/>
                    </w:rPr>
                    <w:t>）处理后，定期清掏肥田。</w:t>
                  </w:r>
                </w:p>
              </w:tc>
              <w:tc>
                <w:tcPr>
                  <w:tcW w:w="432" w:type="pct"/>
                  <w:vMerge w:val="continue"/>
                  <w:tcBorders>
                    <w:tl2br w:val="nil"/>
                    <w:tr2bl w:val="nil"/>
                  </w:tcBorders>
                  <w:vAlign w:val="center"/>
                </w:tcPr>
                <w:p>
                  <w:pPr>
                    <w:widowControl/>
                    <w:spacing w:line="320" w:lineRule="exact"/>
                    <w:ind w:firstLine="0" w:firstLineChars="0"/>
                    <w:jc w:val="center"/>
                    <w:rPr>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tcBorders>
                    <w:tl2br w:val="nil"/>
                    <w:tr2bl w:val="nil"/>
                  </w:tcBorders>
                  <w:vAlign w:val="center"/>
                </w:tcPr>
                <w:p>
                  <w:pPr>
                    <w:pStyle w:val="26"/>
                  </w:pPr>
                  <w:r>
                    <w:t>噪声控制</w:t>
                  </w:r>
                </w:p>
              </w:tc>
              <w:tc>
                <w:tcPr>
                  <w:tcW w:w="3407" w:type="pct"/>
                  <w:tcBorders>
                    <w:tl2br w:val="nil"/>
                    <w:tr2bl w:val="nil"/>
                  </w:tcBorders>
                  <w:vAlign w:val="center"/>
                </w:tcPr>
                <w:p>
                  <w:pPr>
                    <w:pStyle w:val="26"/>
                  </w:pPr>
                  <w:r>
                    <w:rPr>
                      <w:snapToGrid w:val="0"/>
                      <w:kern w:val="0"/>
                    </w:rPr>
                    <w:t>基础减振，厂房隔声</w:t>
                  </w:r>
                </w:p>
              </w:tc>
              <w:tc>
                <w:tcPr>
                  <w:tcW w:w="432" w:type="pct"/>
                  <w:vMerge w:val="continue"/>
                  <w:tcBorders>
                    <w:tl2br w:val="nil"/>
                    <w:tr2bl w:val="nil"/>
                  </w:tcBorders>
                  <w:vAlign w:val="center"/>
                </w:tcPr>
                <w:p>
                  <w:pPr>
                    <w:widowControl/>
                    <w:spacing w:line="320" w:lineRule="exact"/>
                    <w:ind w:firstLine="0" w:firstLineChars="0"/>
                    <w:jc w:val="center"/>
                    <w:rPr>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vMerge w:val="restart"/>
                  <w:tcBorders>
                    <w:tl2br w:val="nil"/>
                    <w:tr2bl w:val="nil"/>
                  </w:tcBorders>
                  <w:vAlign w:val="center"/>
                </w:tcPr>
                <w:p>
                  <w:pPr>
                    <w:widowControl/>
                    <w:spacing w:line="320" w:lineRule="exact"/>
                    <w:ind w:firstLine="0" w:firstLineChars="0"/>
                    <w:jc w:val="center"/>
                    <w:rPr>
                      <w:sz w:val="21"/>
                    </w:rPr>
                  </w:pPr>
                  <w:r>
                    <w:rPr>
                      <w:rFonts w:hint="eastAsia"/>
                      <w:sz w:val="21"/>
                    </w:rPr>
                    <w:t>固体废物</w:t>
                  </w:r>
                </w:p>
              </w:tc>
              <w:tc>
                <w:tcPr>
                  <w:tcW w:w="3407" w:type="pct"/>
                  <w:tcBorders>
                    <w:tl2br w:val="nil"/>
                    <w:tr2bl w:val="nil"/>
                  </w:tcBorders>
                  <w:vAlign w:val="center"/>
                </w:tcPr>
                <w:p>
                  <w:pPr>
                    <w:widowControl/>
                    <w:spacing w:line="320" w:lineRule="exact"/>
                    <w:ind w:firstLine="0" w:firstLineChars="0"/>
                    <w:jc w:val="center"/>
                    <w:rPr>
                      <w:sz w:val="21"/>
                    </w:rPr>
                  </w:pPr>
                  <w:r>
                    <w:rPr>
                      <w:rFonts w:hint="eastAsia"/>
                      <w:sz w:val="21"/>
                    </w:rPr>
                    <w:t>废包装材料经收集后暂存</w:t>
                  </w:r>
                  <w:r>
                    <w:rPr>
                      <w:rFonts w:hint="eastAsia"/>
                      <w:sz w:val="21"/>
                      <w:lang w:val="en-US" w:eastAsia="zh-CN"/>
                    </w:rPr>
                    <w:t>于</w:t>
                  </w:r>
                  <w:r>
                    <w:rPr>
                      <w:rFonts w:hint="eastAsia"/>
                      <w:sz w:val="21"/>
                    </w:rPr>
                    <w:t>一般固废</w:t>
                  </w:r>
                  <w:r>
                    <w:rPr>
                      <w:rFonts w:hint="eastAsia"/>
                      <w:sz w:val="21"/>
                      <w:lang w:val="en-US" w:eastAsia="zh-CN"/>
                    </w:rPr>
                    <w:t>暂存</w:t>
                  </w:r>
                  <w:r>
                    <w:rPr>
                      <w:rFonts w:hint="eastAsia"/>
                      <w:sz w:val="21"/>
                    </w:rPr>
                    <w:t>间，定期外售</w:t>
                  </w:r>
                </w:p>
              </w:tc>
              <w:tc>
                <w:tcPr>
                  <w:tcW w:w="432" w:type="pct"/>
                  <w:vMerge w:val="continue"/>
                  <w:tcBorders>
                    <w:tl2br w:val="nil"/>
                    <w:tr2bl w:val="nil"/>
                  </w:tcBorders>
                </w:tcPr>
                <w:p>
                  <w:pPr>
                    <w:pStyle w:val="26"/>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vMerge w:val="continue"/>
                  <w:tcBorders>
                    <w:tl2br w:val="nil"/>
                    <w:tr2bl w:val="nil"/>
                  </w:tcBorders>
                  <w:vAlign w:val="center"/>
                </w:tcPr>
                <w:p>
                  <w:pPr>
                    <w:widowControl/>
                    <w:spacing w:line="320" w:lineRule="exact"/>
                    <w:ind w:firstLine="0" w:firstLineChars="0"/>
                    <w:jc w:val="center"/>
                    <w:rPr>
                      <w:sz w:val="21"/>
                    </w:rPr>
                  </w:pPr>
                </w:p>
              </w:tc>
              <w:tc>
                <w:tcPr>
                  <w:tcW w:w="3407" w:type="pct"/>
                  <w:tcBorders>
                    <w:tl2br w:val="nil"/>
                    <w:tr2bl w:val="nil"/>
                  </w:tcBorders>
                  <w:vAlign w:val="center"/>
                </w:tcPr>
                <w:p>
                  <w:pPr>
                    <w:widowControl/>
                    <w:spacing w:line="320" w:lineRule="exact"/>
                    <w:ind w:firstLine="0" w:firstLineChars="0"/>
                    <w:jc w:val="center"/>
                    <w:rPr>
                      <w:rFonts w:hint="default" w:eastAsia="宋体"/>
                      <w:sz w:val="21"/>
                      <w:lang w:val="en-US" w:eastAsia="zh-CN"/>
                    </w:rPr>
                  </w:pPr>
                  <w:r>
                    <w:rPr>
                      <w:rFonts w:hint="eastAsia"/>
                      <w:sz w:val="21"/>
                      <w:lang w:val="en-US" w:eastAsia="zh-CN"/>
                    </w:rPr>
                    <w:t>袋式除尘器收尘，经收集后外售综合利用</w:t>
                  </w:r>
                </w:p>
              </w:tc>
              <w:tc>
                <w:tcPr>
                  <w:tcW w:w="432" w:type="pct"/>
                  <w:vMerge w:val="continue"/>
                  <w:tcBorders>
                    <w:tl2br w:val="nil"/>
                    <w:tr2bl w:val="nil"/>
                  </w:tcBorders>
                </w:tcPr>
                <w:p>
                  <w:pPr>
                    <w:pStyle w:val="26"/>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8" w:hRule="atLeast"/>
                <w:jc w:val="center"/>
              </w:trPr>
              <w:tc>
                <w:tcPr>
                  <w:tcW w:w="459" w:type="pct"/>
                  <w:vMerge w:val="continue"/>
                  <w:tcBorders>
                    <w:tl2br w:val="nil"/>
                    <w:tr2bl w:val="nil"/>
                  </w:tcBorders>
                  <w:vAlign w:val="center"/>
                </w:tcPr>
                <w:p>
                  <w:pPr>
                    <w:widowControl/>
                    <w:spacing w:line="320" w:lineRule="exact"/>
                    <w:ind w:firstLine="0" w:firstLineChars="0"/>
                    <w:jc w:val="center"/>
                    <w:rPr>
                      <w:sz w:val="21"/>
                    </w:rPr>
                  </w:pPr>
                </w:p>
              </w:tc>
              <w:tc>
                <w:tcPr>
                  <w:tcW w:w="700" w:type="pct"/>
                  <w:vMerge w:val="continue"/>
                  <w:tcBorders>
                    <w:tl2br w:val="nil"/>
                    <w:tr2bl w:val="nil"/>
                  </w:tcBorders>
                  <w:vAlign w:val="center"/>
                </w:tcPr>
                <w:p>
                  <w:pPr>
                    <w:widowControl/>
                    <w:spacing w:line="320" w:lineRule="exact"/>
                    <w:ind w:firstLine="0" w:firstLineChars="0"/>
                    <w:jc w:val="center"/>
                    <w:rPr>
                      <w:sz w:val="21"/>
                    </w:rPr>
                  </w:pPr>
                </w:p>
              </w:tc>
              <w:tc>
                <w:tcPr>
                  <w:tcW w:w="3407" w:type="pct"/>
                  <w:tcBorders>
                    <w:tl2br w:val="nil"/>
                    <w:tr2bl w:val="nil"/>
                  </w:tcBorders>
                  <w:vAlign w:val="center"/>
                </w:tcPr>
                <w:p>
                  <w:pPr>
                    <w:widowControl/>
                    <w:spacing w:line="320" w:lineRule="exact"/>
                    <w:ind w:firstLine="0" w:firstLineChars="0"/>
                    <w:jc w:val="center"/>
                    <w:rPr>
                      <w:sz w:val="21"/>
                    </w:rPr>
                  </w:pPr>
                  <w:r>
                    <w:rPr>
                      <w:rFonts w:hint="eastAsia"/>
                      <w:sz w:val="21"/>
                    </w:rPr>
                    <w:t>生活垃圾经厂区内垃圾桶收集后，由环卫部门处理。</w:t>
                  </w:r>
                </w:p>
              </w:tc>
              <w:tc>
                <w:tcPr>
                  <w:tcW w:w="432" w:type="pct"/>
                  <w:vMerge w:val="continue"/>
                  <w:tcBorders>
                    <w:tl2br w:val="nil"/>
                    <w:tr2bl w:val="nil"/>
                  </w:tcBorders>
                </w:tcPr>
                <w:p>
                  <w:pPr>
                    <w:pStyle w:val="26"/>
                  </w:pPr>
                </w:p>
              </w:tc>
            </w:tr>
          </w:tbl>
          <w:p>
            <w:pPr>
              <w:ind w:firstLine="482"/>
              <w:rPr>
                <w:b/>
                <w:bCs/>
              </w:rPr>
            </w:pPr>
            <w:r>
              <w:rPr>
                <w:rFonts w:hint="eastAsia"/>
                <w:b/>
                <w:bCs/>
                <w:lang w:val="en-US" w:eastAsia="zh-CN"/>
              </w:rPr>
              <w:t>4</w:t>
            </w:r>
            <w:r>
              <w:rPr>
                <w:rFonts w:hint="eastAsia"/>
                <w:b/>
                <w:bCs/>
              </w:rPr>
              <w:t>、产品方案及生产规模</w:t>
            </w:r>
          </w:p>
          <w:p>
            <w:pPr>
              <w:ind w:firstLine="480"/>
              <w:rPr>
                <w:sz w:val="24"/>
                <w:szCs w:val="24"/>
              </w:rPr>
            </w:pPr>
            <w:r>
              <w:rPr>
                <w:rFonts w:hint="eastAsia"/>
              </w:rPr>
              <w:t>本项目</w:t>
            </w:r>
            <w:r>
              <w:rPr>
                <w:rFonts w:hint="eastAsia"/>
                <w:sz w:val="24"/>
                <w:szCs w:val="24"/>
              </w:rPr>
              <w:t>产品为</w:t>
            </w:r>
            <w:r>
              <w:rPr>
                <w:rFonts w:hint="eastAsia" w:ascii="宋体" w:hAnsi="宋体" w:eastAsia="宋体"/>
                <w:b w:val="0"/>
                <w:bCs/>
                <w:sz w:val="24"/>
                <w:szCs w:val="24"/>
                <w:u w:val="none"/>
                <w:lang w:eastAsia="zh-CN"/>
              </w:rPr>
              <w:t>鸡精调味料</w:t>
            </w:r>
            <w:r>
              <w:rPr>
                <w:rFonts w:hint="eastAsia"/>
                <w:sz w:val="24"/>
                <w:szCs w:val="24"/>
              </w:rPr>
              <w:t>，生产规模见下表。</w:t>
            </w:r>
          </w:p>
          <w:p>
            <w:pPr>
              <w:pStyle w:val="37"/>
              <w:adjustRightInd w:val="0"/>
              <w:snapToGrid w:val="0"/>
              <w:spacing w:after="62" w:afterLines="20" w:line="400" w:lineRule="exact"/>
              <w:ind w:firstLine="0" w:firstLineChars="0"/>
              <w:jc w:val="center"/>
              <w:rPr>
                <w:rFonts w:eastAsia="黑体" w:cs="Times New Roman"/>
                <w:bCs/>
                <w:szCs w:val="24"/>
              </w:rPr>
            </w:pPr>
            <w:r>
              <w:rPr>
                <w:rFonts w:hint="eastAsia" w:eastAsia="黑体" w:cs="Times New Roman"/>
                <w:bCs/>
                <w:szCs w:val="24"/>
              </w:rPr>
              <w:t>表2-</w:t>
            </w:r>
            <w:r>
              <w:rPr>
                <w:rFonts w:hint="eastAsia" w:eastAsia="黑体" w:cs="Times New Roman"/>
                <w:bCs/>
                <w:szCs w:val="24"/>
                <w:lang w:val="en-US" w:eastAsia="zh-CN"/>
              </w:rPr>
              <w:t>2</w:t>
            </w:r>
            <w:r>
              <w:rPr>
                <w:rFonts w:hint="eastAsia" w:eastAsia="黑体" w:cs="Times New Roman"/>
                <w:bCs/>
                <w:szCs w:val="24"/>
              </w:rPr>
              <w:t xml:space="preserve">  项目产品方案一览表</w:t>
            </w:r>
          </w:p>
          <w:tbl>
            <w:tblPr>
              <w:tblStyle w:val="22"/>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962"/>
              <w:gridCol w:w="2545"/>
              <w:gridCol w:w="2528"/>
              <w:gridCol w:w="27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jc w:val="center"/>
              </w:trPr>
              <w:tc>
                <w:tcPr>
                  <w:tcW w:w="550" w:type="pct"/>
                  <w:tcBorders>
                    <w:tl2br w:val="nil"/>
                    <w:tr2bl w:val="nil"/>
                  </w:tcBorders>
                  <w:vAlign w:val="center"/>
                </w:tcPr>
                <w:p>
                  <w:pPr>
                    <w:pStyle w:val="26"/>
                    <w:rPr>
                      <w:b/>
                      <w:bCs/>
                    </w:rPr>
                  </w:pPr>
                  <w:r>
                    <w:rPr>
                      <w:rFonts w:hint="eastAsia"/>
                      <w:b/>
                      <w:bCs/>
                    </w:rPr>
                    <w:t>序号</w:t>
                  </w:r>
                </w:p>
              </w:tc>
              <w:tc>
                <w:tcPr>
                  <w:tcW w:w="1456" w:type="pct"/>
                  <w:tcBorders>
                    <w:tl2br w:val="nil"/>
                    <w:tr2bl w:val="nil"/>
                  </w:tcBorders>
                  <w:vAlign w:val="center"/>
                </w:tcPr>
                <w:p>
                  <w:pPr>
                    <w:pStyle w:val="26"/>
                    <w:rPr>
                      <w:b/>
                      <w:bCs/>
                    </w:rPr>
                  </w:pPr>
                  <w:r>
                    <w:rPr>
                      <w:rFonts w:hint="eastAsia"/>
                      <w:b/>
                      <w:bCs/>
                    </w:rPr>
                    <w:t>产品名称</w:t>
                  </w:r>
                </w:p>
              </w:tc>
              <w:tc>
                <w:tcPr>
                  <w:tcW w:w="1446" w:type="pct"/>
                  <w:tcBorders>
                    <w:tl2br w:val="nil"/>
                    <w:tr2bl w:val="nil"/>
                  </w:tcBorders>
                  <w:vAlign w:val="center"/>
                </w:tcPr>
                <w:p>
                  <w:pPr>
                    <w:pStyle w:val="26"/>
                    <w:rPr>
                      <w:b/>
                      <w:bCs/>
                    </w:rPr>
                  </w:pPr>
                  <w:r>
                    <w:rPr>
                      <w:rFonts w:hint="eastAsia"/>
                      <w:b/>
                      <w:bCs/>
                    </w:rPr>
                    <w:t>规格</w:t>
                  </w:r>
                </w:p>
              </w:tc>
              <w:tc>
                <w:tcPr>
                  <w:tcW w:w="1546" w:type="pct"/>
                  <w:tcBorders>
                    <w:tl2br w:val="nil"/>
                    <w:tr2bl w:val="nil"/>
                  </w:tcBorders>
                  <w:vAlign w:val="center"/>
                </w:tcPr>
                <w:p>
                  <w:pPr>
                    <w:pStyle w:val="26"/>
                    <w:rPr>
                      <w:b/>
                      <w:bCs/>
                    </w:rPr>
                  </w:pPr>
                  <w:r>
                    <w:rPr>
                      <w:rFonts w:hint="eastAsia"/>
                      <w:b/>
                      <w:bCs/>
                    </w:rPr>
                    <w:t>产量（t/a）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jc w:val="center"/>
              </w:trPr>
              <w:tc>
                <w:tcPr>
                  <w:tcW w:w="550" w:type="pct"/>
                  <w:tcBorders>
                    <w:tl2br w:val="nil"/>
                    <w:tr2bl w:val="nil"/>
                  </w:tcBorders>
                  <w:vAlign w:val="center"/>
                </w:tcPr>
                <w:p>
                  <w:pPr>
                    <w:pStyle w:val="26"/>
                  </w:pPr>
                  <w:r>
                    <w:rPr>
                      <w:rFonts w:hint="eastAsia"/>
                    </w:rPr>
                    <w:t>1</w:t>
                  </w:r>
                </w:p>
              </w:tc>
              <w:tc>
                <w:tcPr>
                  <w:tcW w:w="1456" w:type="pct"/>
                  <w:tcBorders>
                    <w:tl2br w:val="nil"/>
                    <w:tr2bl w:val="nil"/>
                  </w:tcBorders>
                  <w:vAlign w:val="center"/>
                </w:tcPr>
                <w:p>
                  <w:pPr>
                    <w:pStyle w:val="26"/>
                  </w:pPr>
                  <w:r>
                    <w:rPr>
                      <w:rFonts w:hint="eastAsia" w:ascii="宋体" w:hAnsi="宋体" w:eastAsia="宋体"/>
                      <w:b w:val="0"/>
                      <w:bCs/>
                      <w:sz w:val="21"/>
                      <w:szCs w:val="21"/>
                      <w:u w:val="none"/>
                      <w:lang w:eastAsia="zh-CN"/>
                    </w:rPr>
                    <w:t>鸡精调味料</w:t>
                  </w:r>
                </w:p>
              </w:tc>
              <w:tc>
                <w:tcPr>
                  <w:tcW w:w="1446" w:type="pct"/>
                  <w:tcBorders>
                    <w:tl2br w:val="nil"/>
                    <w:tr2bl w:val="nil"/>
                  </w:tcBorders>
                  <w:vAlign w:val="center"/>
                </w:tcPr>
                <w:p>
                  <w:pPr>
                    <w:pStyle w:val="26"/>
                  </w:pPr>
                  <w:r>
                    <w:t>500</w:t>
                  </w:r>
                  <w:r>
                    <w:rPr>
                      <w:rFonts w:hint="eastAsia"/>
                    </w:rPr>
                    <w:t>g/袋</w:t>
                  </w:r>
                </w:p>
              </w:tc>
              <w:tc>
                <w:tcPr>
                  <w:tcW w:w="1546" w:type="pct"/>
                  <w:tcBorders>
                    <w:tl2br w:val="nil"/>
                    <w:tr2bl w:val="nil"/>
                  </w:tcBorders>
                  <w:vAlign w:val="center"/>
                </w:tcPr>
                <w:p>
                  <w:pPr>
                    <w:pStyle w:val="26"/>
                    <w:rPr>
                      <w:rFonts w:hint="default" w:eastAsia="宋体"/>
                      <w:lang w:val="en-US" w:eastAsia="zh-CN"/>
                    </w:rPr>
                  </w:pPr>
                  <w:r>
                    <w:rPr>
                      <w:rFonts w:hint="eastAsia"/>
                      <w:lang w:val="en-US" w:eastAsia="zh-CN"/>
                    </w:rPr>
                    <w:t>360</w:t>
                  </w:r>
                </w:p>
              </w:tc>
            </w:tr>
          </w:tbl>
          <w:p>
            <w:pPr>
              <w:ind w:firstLine="482"/>
              <w:rPr>
                <w:b/>
                <w:bCs/>
              </w:rPr>
            </w:pPr>
            <w:r>
              <w:rPr>
                <w:rFonts w:hint="eastAsia"/>
                <w:b/>
                <w:bCs/>
                <w:lang w:val="en-US" w:eastAsia="zh-CN"/>
              </w:rPr>
              <w:t>5</w:t>
            </w:r>
            <w:r>
              <w:rPr>
                <w:rFonts w:hint="eastAsia"/>
                <w:b/>
                <w:bCs/>
              </w:rPr>
              <w:t>、项目营运期主要原辅材料及能源消耗</w:t>
            </w:r>
          </w:p>
          <w:p>
            <w:pPr>
              <w:ind w:firstLine="480"/>
            </w:pPr>
            <w:r>
              <w:rPr>
                <w:rFonts w:hint="eastAsia"/>
              </w:rPr>
              <w:t>根据建设单位提供的资料，本项目原、辅材料及能源消耗情况见下表。</w:t>
            </w:r>
          </w:p>
          <w:p>
            <w:pPr>
              <w:pStyle w:val="37"/>
              <w:adjustRightInd w:val="0"/>
              <w:snapToGrid w:val="0"/>
              <w:spacing w:after="62" w:afterLines="20" w:line="400" w:lineRule="exact"/>
              <w:ind w:firstLine="0" w:firstLineChars="0"/>
              <w:jc w:val="center"/>
              <w:rPr>
                <w:rFonts w:eastAsia="黑体" w:cs="Times New Roman"/>
                <w:bCs/>
                <w:szCs w:val="24"/>
              </w:rPr>
            </w:pPr>
            <w:r>
              <w:rPr>
                <w:rFonts w:hint="eastAsia" w:eastAsia="黑体" w:cs="Times New Roman"/>
                <w:bCs/>
                <w:szCs w:val="24"/>
              </w:rPr>
              <w:t>表2-</w:t>
            </w:r>
            <w:r>
              <w:rPr>
                <w:rFonts w:hint="eastAsia" w:eastAsia="黑体" w:cs="Times New Roman"/>
                <w:bCs/>
                <w:szCs w:val="24"/>
                <w:lang w:val="en-US" w:eastAsia="zh-CN"/>
              </w:rPr>
              <w:t>3</w:t>
            </w:r>
            <w:r>
              <w:rPr>
                <w:rFonts w:hint="eastAsia" w:eastAsia="黑体" w:cs="Times New Roman"/>
                <w:bCs/>
                <w:szCs w:val="24"/>
              </w:rPr>
              <w:t xml:space="preserve">  主要原辅材料及能源用量一览表</w:t>
            </w:r>
          </w:p>
          <w:tbl>
            <w:tblPr>
              <w:tblStyle w:val="33"/>
              <w:tblW w:w="505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26"/>
              <w:gridCol w:w="1641"/>
              <w:gridCol w:w="1130"/>
              <w:gridCol w:w="1491"/>
              <w:gridCol w:w="1509"/>
              <w:gridCol w:w="23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411" w:type="pct"/>
                  <w:tcBorders>
                    <w:tl2br w:val="nil"/>
                    <w:tr2bl w:val="nil"/>
                  </w:tcBorders>
                  <w:vAlign w:val="center"/>
                </w:tcPr>
                <w:p>
                  <w:pPr>
                    <w:pStyle w:val="26"/>
                    <w:spacing w:line="240" w:lineRule="auto"/>
                    <w:rPr>
                      <w:b/>
                      <w:bCs/>
                    </w:rPr>
                  </w:pPr>
                  <w:r>
                    <w:rPr>
                      <w:rFonts w:hint="eastAsia"/>
                      <w:b/>
                      <w:bCs/>
                    </w:rPr>
                    <w:t>序号</w:t>
                  </w:r>
                </w:p>
              </w:tc>
              <w:tc>
                <w:tcPr>
                  <w:tcW w:w="929" w:type="pct"/>
                  <w:tcBorders>
                    <w:tl2br w:val="nil"/>
                    <w:tr2bl w:val="nil"/>
                  </w:tcBorders>
                  <w:vAlign w:val="center"/>
                </w:tcPr>
                <w:p>
                  <w:pPr>
                    <w:pStyle w:val="26"/>
                    <w:spacing w:line="240" w:lineRule="auto"/>
                    <w:rPr>
                      <w:b/>
                      <w:bCs/>
                    </w:rPr>
                  </w:pPr>
                  <w:r>
                    <w:rPr>
                      <w:rFonts w:hint="eastAsia"/>
                      <w:b/>
                      <w:bCs/>
                    </w:rPr>
                    <w:t>原辅料名称</w:t>
                  </w:r>
                </w:p>
              </w:tc>
              <w:tc>
                <w:tcPr>
                  <w:tcW w:w="640" w:type="pct"/>
                  <w:tcBorders>
                    <w:tl2br w:val="nil"/>
                    <w:tr2bl w:val="nil"/>
                  </w:tcBorders>
                  <w:vAlign w:val="center"/>
                </w:tcPr>
                <w:p>
                  <w:pPr>
                    <w:pStyle w:val="26"/>
                    <w:spacing w:line="240" w:lineRule="auto"/>
                    <w:rPr>
                      <w:b/>
                      <w:bCs/>
                    </w:rPr>
                  </w:pPr>
                  <w:r>
                    <w:rPr>
                      <w:rFonts w:hint="eastAsia"/>
                      <w:b/>
                      <w:bCs/>
                    </w:rPr>
                    <w:t>规格</w:t>
                  </w:r>
                </w:p>
              </w:tc>
              <w:tc>
                <w:tcPr>
                  <w:tcW w:w="844" w:type="pct"/>
                  <w:tcBorders>
                    <w:tl2br w:val="nil"/>
                    <w:tr2bl w:val="nil"/>
                  </w:tcBorders>
                  <w:vAlign w:val="center"/>
                </w:tcPr>
                <w:p>
                  <w:pPr>
                    <w:pStyle w:val="26"/>
                    <w:spacing w:line="240" w:lineRule="auto"/>
                    <w:rPr>
                      <w:b/>
                      <w:bCs/>
                    </w:rPr>
                  </w:pPr>
                  <w:r>
                    <w:rPr>
                      <w:rFonts w:hint="eastAsia"/>
                      <w:b/>
                      <w:bCs/>
                    </w:rPr>
                    <w:t>年用量</w:t>
                  </w:r>
                </w:p>
              </w:tc>
              <w:tc>
                <w:tcPr>
                  <w:tcW w:w="854" w:type="pct"/>
                  <w:tcBorders>
                    <w:tl2br w:val="nil"/>
                    <w:tr2bl w:val="nil"/>
                  </w:tcBorders>
                  <w:vAlign w:val="center"/>
                </w:tcPr>
                <w:p>
                  <w:pPr>
                    <w:pStyle w:val="26"/>
                    <w:spacing w:line="240" w:lineRule="auto"/>
                    <w:rPr>
                      <w:b/>
                      <w:bCs/>
                    </w:rPr>
                  </w:pPr>
                  <w:r>
                    <w:rPr>
                      <w:rFonts w:hint="eastAsia"/>
                      <w:b/>
                      <w:bCs/>
                    </w:rPr>
                    <w:t>单位</w:t>
                  </w:r>
                </w:p>
              </w:tc>
              <w:tc>
                <w:tcPr>
                  <w:tcW w:w="1319" w:type="pct"/>
                  <w:tcBorders>
                    <w:tl2br w:val="nil"/>
                    <w:tr2bl w:val="nil"/>
                  </w:tcBorders>
                  <w:vAlign w:val="center"/>
                </w:tcPr>
                <w:p>
                  <w:pPr>
                    <w:pStyle w:val="26"/>
                    <w:spacing w:line="240" w:lineRule="auto"/>
                    <w:rPr>
                      <w:b/>
                      <w:bCs/>
                    </w:rPr>
                  </w:pPr>
                  <w:r>
                    <w:rPr>
                      <w:rFonts w:hint="eastAsia"/>
                      <w:b/>
                      <w:bCs/>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6" w:hRule="atLeast"/>
                <w:jc w:val="center"/>
              </w:trPr>
              <w:tc>
                <w:tcPr>
                  <w:tcW w:w="411" w:type="pct"/>
                  <w:tcBorders>
                    <w:tl2br w:val="nil"/>
                    <w:tr2bl w:val="nil"/>
                  </w:tcBorders>
                  <w:vAlign w:val="center"/>
                </w:tcPr>
                <w:p>
                  <w:pPr>
                    <w:pStyle w:val="26"/>
                    <w:spacing w:line="240" w:lineRule="auto"/>
                  </w:pPr>
                  <w:r>
                    <w:t>1</w:t>
                  </w:r>
                </w:p>
              </w:tc>
              <w:tc>
                <w:tcPr>
                  <w:tcW w:w="929" w:type="pct"/>
                  <w:tcBorders>
                    <w:tl2br w:val="nil"/>
                    <w:tr2bl w:val="nil"/>
                  </w:tcBorders>
                  <w:vAlign w:val="center"/>
                </w:tcPr>
                <w:p>
                  <w:pPr>
                    <w:pStyle w:val="26"/>
                    <w:spacing w:line="240" w:lineRule="auto"/>
                    <w:rPr>
                      <w:rFonts w:hint="eastAsia" w:ascii="Times New Roman" w:hAnsi="Times New Roman" w:eastAsia="宋体" w:cs="Times New Roman"/>
                      <w:lang w:val="en-US" w:eastAsia="zh-CN"/>
                    </w:rPr>
                  </w:pPr>
                  <w:r>
                    <w:rPr>
                      <w:rFonts w:hint="eastAsia" w:ascii="Times New Roman" w:hAnsi="Times New Roman" w:eastAsia="宋体" w:cs="Times New Roman"/>
                      <w:lang w:eastAsia="zh-CN"/>
                    </w:rPr>
                    <w:t>食用盐</w:t>
                  </w:r>
                </w:p>
              </w:tc>
              <w:tc>
                <w:tcPr>
                  <w:tcW w:w="640" w:type="pct"/>
                  <w:tcBorders>
                    <w:tl2br w:val="nil"/>
                    <w:tr2bl w:val="nil"/>
                  </w:tcBorders>
                  <w:vAlign w:val="center"/>
                </w:tcPr>
                <w:p>
                  <w:pPr>
                    <w:pStyle w:val="26"/>
                    <w:spacing w:line="240" w:lineRule="auto"/>
                  </w:pPr>
                  <w:r>
                    <w:rPr>
                      <w:rFonts w:hint="eastAsia"/>
                    </w:rPr>
                    <w:t>/</w:t>
                  </w:r>
                </w:p>
              </w:tc>
              <w:tc>
                <w:tcPr>
                  <w:tcW w:w="844"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r>
                    <w:rPr>
                      <w:rFonts w:hint="eastAsia" w:cs="Times New Roman"/>
                      <w:lang w:val="en-US" w:eastAsia="zh-CN"/>
                    </w:rPr>
                    <w:t>10</w:t>
                  </w:r>
                </w:p>
              </w:tc>
              <w:tc>
                <w:tcPr>
                  <w:tcW w:w="854" w:type="pct"/>
                  <w:tcBorders>
                    <w:tl2br w:val="nil"/>
                    <w:tr2bl w:val="nil"/>
                  </w:tcBorders>
                  <w:vAlign w:val="center"/>
                </w:tcPr>
                <w:p>
                  <w:pPr>
                    <w:pStyle w:val="26"/>
                    <w:spacing w:line="240" w:lineRule="auto"/>
                  </w:pPr>
                  <w:r>
                    <w:rPr>
                      <w:rFonts w:hint="eastAsia"/>
                    </w:rPr>
                    <w:t>t/a</w:t>
                  </w:r>
                </w:p>
              </w:tc>
              <w:tc>
                <w:tcPr>
                  <w:tcW w:w="1319" w:type="pct"/>
                  <w:tcBorders>
                    <w:tl2br w:val="nil"/>
                    <w:tr2bl w:val="nil"/>
                  </w:tcBorders>
                  <w:vAlign w:val="center"/>
                </w:tcPr>
                <w:p>
                  <w:pPr>
                    <w:pStyle w:val="26"/>
                    <w:spacing w:line="240" w:lineRule="auto"/>
                  </w:pPr>
                  <w:r>
                    <w:rPr>
                      <w:rFonts w:hint="eastAsia"/>
                    </w:rPr>
                    <w:t>外购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411" w:type="pct"/>
                  <w:tcBorders>
                    <w:tl2br w:val="nil"/>
                    <w:tr2bl w:val="nil"/>
                  </w:tcBorders>
                  <w:vAlign w:val="center"/>
                </w:tcPr>
                <w:p>
                  <w:pPr>
                    <w:pStyle w:val="26"/>
                    <w:spacing w:line="240" w:lineRule="auto"/>
                  </w:pPr>
                  <w:r>
                    <w:t>2</w:t>
                  </w:r>
                </w:p>
              </w:tc>
              <w:tc>
                <w:tcPr>
                  <w:tcW w:w="929" w:type="pct"/>
                  <w:tcBorders>
                    <w:tl2br w:val="nil"/>
                    <w:tr2bl w:val="nil"/>
                  </w:tcBorders>
                  <w:vAlign w:val="center"/>
                </w:tcPr>
                <w:p>
                  <w:pPr>
                    <w:pStyle w:val="26"/>
                    <w:spacing w:line="240" w:lineRule="auto"/>
                    <w:rPr>
                      <w:rFonts w:ascii="Times New Roman" w:hAnsi="Times New Roman" w:eastAsia="宋体" w:cs="Times New Roman"/>
                    </w:rPr>
                  </w:pPr>
                  <w:r>
                    <w:rPr>
                      <w:rFonts w:hint="eastAsia" w:ascii="Times New Roman" w:hAnsi="Times New Roman" w:eastAsia="宋体" w:cs="Times New Roman"/>
                      <w:lang w:eastAsia="zh-CN"/>
                    </w:rPr>
                    <w:t>淀粉</w:t>
                  </w:r>
                </w:p>
              </w:tc>
              <w:tc>
                <w:tcPr>
                  <w:tcW w:w="640" w:type="pct"/>
                  <w:tcBorders>
                    <w:tl2br w:val="nil"/>
                    <w:tr2bl w:val="nil"/>
                  </w:tcBorders>
                  <w:vAlign w:val="center"/>
                </w:tcPr>
                <w:p>
                  <w:pPr>
                    <w:pStyle w:val="26"/>
                    <w:spacing w:line="240" w:lineRule="auto"/>
                  </w:pPr>
                  <w:r>
                    <w:rPr>
                      <w:rFonts w:hint="eastAsia"/>
                    </w:rPr>
                    <w:t>/</w:t>
                  </w:r>
                </w:p>
              </w:tc>
              <w:tc>
                <w:tcPr>
                  <w:tcW w:w="844" w:type="pct"/>
                  <w:tcBorders>
                    <w:tl2br w:val="nil"/>
                    <w:tr2bl w:val="nil"/>
                  </w:tcBorders>
                  <w:vAlign w:val="center"/>
                </w:tcPr>
                <w:p>
                  <w:pPr>
                    <w:pStyle w:val="26"/>
                    <w:spacing w:line="240" w:lineRule="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7</w:t>
                  </w:r>
                  <w:r>
                    <w:rPr>
                      <w:rFonts w:hint="eastAsia" w:cs="Times New Roman"/>
                      <w:lang w:val="en-US" w:eastAsia="zh-CN"/>
                    </w:rPr>
                    <w:t>5</w:t>
                  </w:r>
                </w:p>
              </w:tc>
              <w:tc>
                <w:tcPr>
                  <w:tcW w:w="854" w:type="pct"/>
                  <w:tcBorders>
                    <w:tl2br w:val="nil"/>
                    <w:tr2bl w:val="nil"/>
                  </w:tcBorders>
                  <w:vAlign w:val="center"/>
                </w:tcPr>
                <w:p>
                  <w:pPr>
                    <w:pStyle w:val="26"/>
                    <w:spacing w:line="240" w:lineRule="auto"/>
                  </w:pPr>
                  <w:r>
                    <w:rPr>
                      <w:rFonts w:hint="eastAsia"/>
                    </w:rPr>
                    <w:t>t/a</w:t>
                  </w:r>
                </w:p>
              </w:tc>
              <w:tc>
                <w:tcPr>
                  <w:tcW w:w="1319" w:type="pct"/>
                  <w:tcBorders>
                    <w:tl2br w:val="nil"/>
                    <w:tr2bl w:val="nil"/>
                  </w:tcBorders>
                  <w:vAlign w:val="center"/>
                </w:tcPr>
                <w:p>
                  <w:pPr>
                    <w:pStyle w:val="26"/>
                    <w:spacing w:line="240" w:lineRule="auto"/>
                  </w:pPr>
                  <w:r>
                    <w:rPr>
                      <w:rFonts w:hint="eastAsia"/>
                    </w:rPr>
                    <w:t>外购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411" w:type="pct"/>
                  <w:tcBorders>
                    <w:tl2br w:val="nil"/>
                    <w:tr2bl w:val="nil"/>
                  </w:tcBorders>
                  <w:vAlign w:val="center"/>
                </w:tcPr>
                <w:p>
                  <w:pPr>
                    <w:pStyle w:val="26"/>
                    <w:spacing w:line="240" w:lineRule="auto"/>
                  </w:pPr>
                  <w:r>
                    <w:t>3</w:t>
                  </w:r>
                </w:p>
              </w:tc>
              <w:tc>
                <w:tcPr>
                  <w:tcW w:w="929" w:type="pct"/>
                  <w:tcBorders>
                    <w:tl2br w:val="nil"/>
                    <w:tr2bl w:val="nil"/>
                  </w:tcBorders>
                  <w:vAlign w:val="center"/>
                </w:tcPr>
                <w:p>
                  <w:pPr>
                    <w:pStyle w:val="26"/>
                    <w:spacing w:line="240" w:lineRule="auto"/>
                    <w:rPr>
                      <w:rFonts w:ascii="Times New Roman" w:hAnsi="Times New Roman" w:eastAsia="宋体" w:cs="Times New Roman"/>
                    </w:rPr>
                  </w:pPr>
                  <w:r>
                    <w:rPr>
                      <w:rFonts w:hint="eastAsia" w:ascii="Times New Roman" w:hAnsi="Times New Roman" w:eastAsia="宋体" w:cs="Times New Roman"/>
                      <w:lang w:eastAsia="zh-CN"/>
                    </w:rPr>
                    <w:t>味精</w:t>
                  </w:r>
                </w:p>
              </w:tc>
              <w:tc>
                <w:tcPr>
                  <w:tcW w:w="640" w:type="pct"/>
                  <w:tcBorders>
                    <w:tl2br w:val="nil"/>
                    <w:tr2bl w:val="nil"/>
                  </w:tcBorders>
                  <w:vAlign w:val="center"/>
                </w:tcPr>
                <w:p>
                  <w:pPr>
                    <w:pStyle w:val="26"/>
                    <w:spacing w:line="240" w:lineRule="auto"/>
                  </w:pPr>
                  <w:r>
                    <w:rPr>
                      <w:rFonts w:hint="eastAsia"/>
                    </w:rPr>
                    <w:t>/</w:t>
                  </w:r>
                </w:p>
              </w:tc>
              <w:tc>
                <w:tcPr>
                  <w:tcW w:w="844" w:type="pct"/>
                  <w:tcBorders>
                    <w:tl2br w:val="nil"/>
                    <w:tr2bl w:val="nil"/>
                  </w:tcBorders>
                  <w:vAlign w:val="center"/>
                </w:tcPr>
                <w:p>
                  <w:pPr>
                    <w:pStyle w:val="26"/>
                    <w:spacing w:line="240" w:lineRule="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14</w:t>
                  </w:r>
                  <w:r>
                    <w:rPr>
                      <w:rFonts w:hint="eastAsia" w:cs="Times New Roman"/>
                      <w:lang w:val="en-US" w:eastAsia="zh-CN"/>
                    </w:rPr>
                    <w:t>6</w:t>
                  </w:r>
                </w:p>
              </w:tc>
              <w:tc>
                <w:tcPr>
                  <w:tcW w:w="854" w:type="pct"/>
                  <w:tcBorders>
                    <w:tl2br w:val="nil"/>
                    <w:tr2bl w:val="nil"/>
                  </w:tcBorders>
                  <w:vAlign w:val="center"/>
                </w:tcPr>
                <w:p>
                  <w:pPr>
                    <w:pStyle w:val="26"/>
                    <w:spacing w:line="240" w:lineRule="auto"/>
                  </w:pPr>
                  <w:r>
                    <w:rPr>
                      <w:rFonts w:hint="eastAsia"/>
                    </w:rPr>
                    <w:t>t/a</w:t>
                  </w:r>
                </w:p>
              </w:tc>
              <w:tc>
                <w:tcPr>
                  <w:tcW w:w="1319" w:type="pct"/>
                  <w:tcBorders>
                    <w:tl2br w:val="nil"/>
                    <w:tr2bl w:val="nil"/>
                  </w:tcBorders>
                  <w:vAlign w:val="center"/>
                </w:tcPr>
                <w:p>
                  <w:pPr>
                    <w:pStyle w:val="26"/>
                    <w:spacing w:line="240" w:lineRule="auto"/>
                  </w:pPr>
                  <w:r>
                    <w:rPr>
                      <w:rFonts w:hint="eastAsia"/>
                    </w:rPr>
                    <w:t>外购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411" w:type="pct"/>
                  <w:tcBorders>
                    <w:tl2br w:val="nil"/>
                    <w:tr2bl w:val="nil"/>
                  </w:tcBorders>
                  <w:vAlign w:val="center"/>
                </w:tcPr>
                <w:p>
                  <w:pPr>
                    <w:pStyle w:val="26"/>
                    <w:spacing w:line="240" w:lineRule="auto"/>
                  </w:pPr>
                  <w:r>
                    <w:t>4</w:t>
                  </w:r>
                </w:p>
              </w:tc>
              <w:tc>
                <w:tcPr>
                  <w:tcW w:w="929" w:type="pct"/>
                  <w:tcBorders>
                    <w:tl2br w:val="nil"/>
                    <w:tr2bl w:val="nil"/>
                  </w:tcBorders>
                  <w:vAlign w:val="center"/>
                </w:tcPr>
                <w:p>
                  <w:pPr>
                    <w:pStyle w:val="26"/>
                    <w:spacing w:line="240" w:lineRule="auto"/>
                    <w:rPr>
                      <w:rFonts w:ascii="Times New Roman" w:hAnsi="Times New Roman" w:eastAsia="宋体" w:cs="Times New Roman"/>
                    </w:rPr>
                  </w:pPr>
                  <w:r>
                    <w:rPr>
                      <w:rFonts w:hint="eastAsia" w:ascii="Times New Roman" w:hAnsi="Times New Roman" w:eastAsia="宋体" w:cs="Times New Roman"/>
                      <w:lang w:eastAsia="zh-CN"/>
                    </w:rPr>
                    <w:t>鸡肉粉</w:t>
                  </w:r>
                </w:p>
              </w:tc>
              <w:tc>
                <w:tcPr>
                  <w:tcW w:w="640" w:type="pct"/>
                  <w:tcBorders>
                    <w:tl2br w:val="nil"/>
                    <w:tr2bl w:val="nil"/>
                  </w:tcBorders>
                  <w:vAlign w:val="center"/>
                </w:tcPr>
                <w:p>
                  <w:pPr>
                    <w:pStyle w:val="26"/>
                    <w:spacing w:line="240" w:lineRule="auto"/>
                  </w:pPr>
                  <w:r>
                    <w:rPr>
                      <w:rFonts w:hint="eastAsia"/>
                    </w:rPr>
                    <w:t>/</w:t>
                  </w:r>
                </w:p>
              </w:tc>
              <w:tc>
                <w:tcPr>
                  <w:tcW w:w="844" w:type="pct"/>
                  <w:tcBorders>
                    <w:tl2br w:val="nil"/>
                    <w:tr2bl w:val="nil"/>
                  </w:tcBorders>
                  <w:vAlign w:val="center"/>
                </w:tcPr>
                <w:p>
                  <w:pPr>
                    <w:pStyle w:val="26"/>
                    <w:spacing w:line="240" w:lineRule="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36</w:t>
                  </w:r>
                </w:p>
              </w:tc>
              <w:tc>
                <w:tcPr>
                  <w:tcW w:w="854" w:type="pct"/>
                  <w:tcBorders>
                    <w:tl2br w:val="nil"/>
                    <w:tr2bl w:val="nil"/>
                  </w:tcBorders>
                  <w:vAlign w:val="center"/>
                </w:tcPr>
                <w:p>
                  <w:pPr>
                    <w:pStyle w:val="26"/>
                    <w:spacing w:line="240" w:lineRule="auto"/>
                  </w:pPr>
                  <w:r>
                    <w:rPr>
                      <w:rFonts w:hint="eastAsia"/>
                    </w:rPr>
                    <w:t>t/a</w:t>
                  </w:r>
                </w:p>
              </w:tc>
              <w:tc>
                <w:tcPr>
                  <w:tcW w:w="1319" w:type="pct"/>
                  <w:tcBorders>
                    <w:tl2br w:val="nil"/>
                    <w:tr2bl w:val="nil"/>
                  </w:tcBorders>
                  <w:vAlign w:val="center"/>
                </w:tcPr>
                <w:p>
                  <w:pPr>
                    <w:pStyle w:val="26"/>
                    <w:spacing w:line="240" w:lineRule="auto"/>
                  </w:pPr>
                  <w:r>
                    <w:rPr>
                      <w:rFonts w:hint="eastAsia"/>
                    </w:rPr>
                    <w:t>外购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411" w:type="pct"/>
                  <w:tcBorders>
                    <w:tl2br w:val="nil"/>
                    <w:tr2bl w:val="nil"/>
                  </w:tcBorders>
                  <w:vAlign w:val="center"/>
                </w:tcPr>
                <w:p>
                  <w:pPr>
                    <w:pStyle w:val="26"/>
                    <w:spacing w:line="240" w:lineRule="auto"/>
                    <w:rPr>
                      <w:rFonts w:hint="eastAsia" w:ascii="Times New Roman" w:hAnsi="Times New Roman" w:eastAsia="宋体" w:cs="Times New Roman"/>
                      <w:kern w:val="2"/>
                      <w:sz w:val="21"/>
                      <w:szCs w:val="21"/>
                      <w:lang w:val="en-US" w:eastAsia="zh-CN" w:bidi="ar-SA"/>
                    </w:rPr>
                  </w:pPr>
                  <w:r>
                    <w:rPr>
                      <w:rFonts w:hint="eastAsia"/>
                      <w:lang w:val="en-US" w:eastAsia="zh-CN"/>
                    </w:rPr>
                    <w:t>5</w:t>
                  </w:r>
                </w:p>
              </w:tc>
              <w:tc>
                <w:tcPr>
                  <w:tcW w:w="929"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包装材料</w:t>
                  </w:r>
                </w:p>
              </w:tc>
              <w:tc>
                <w:tcPr>
                  <w:tcW w:w="640" w:type="pct"/>
                  <w:tcBorders>
                    <w:tl2br w:val="nil"/>
                    <w:tr2bl w:val="nil"/>
                  </w:tcBorders>
                  <w:vAlign w:val="center"/>
                </w:tcPr>
                <w:p>
                  <w:pPr>
                    <w:pStyle w:val="26"/>
                    <w:spacing w:line="240" w:lineRule="auto"/>
                    <w:rPr>
                      <w:rFonts w:hint="eastAsia" w:eastAsia="宋体"/>
                      <w:lang w:val="en-US" w:eastAsia="zh-CN"/>
                    </w:rPr>
                  </w:pPr>
                  <w:r>
                    <w:rPr>
                      <w:rFonts w:hint="eastAsia"/>
                      <w:lang w:val="en-US" w:eastAsia="zh-CN"/>
                    </w:rPr>
                    <w:t>/</w:t>
                  </w:r>
                </w:p>
              </w:tc>
              <w:tc>
                <w:tcPr>
                  <w:tcW w:w="844"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1.2</w:t>
                  </w:r>
                </w:p>
              </w:tc>
              <w:tc>
                <w:tcPr>
                  <w:tcW w:w="854" w:type="pct"/>
                  <w:tcBorders>
                    <w:tl2br w:val="nil"/>
                    <w:tr2bl w:val="nil"/>
                  </w:tcBorders>
                  <w:vAlign w:val="center"/>
                </w:tcPr>
                <w:p>
                  <w:pPr>
                    <w:pStyle w:val="26"/>
                    <w:spacing w:line="240" w:lineRule="auto"/>
                    <w:rPr>
                      <w:rFonts w:hint="default" w:eastAsia="宋体"/>
                      <w:lang w:val="en-US" w:eastAsia="zh-CN"/>
                    </w:rPr>
                  </w:pPr>
                  <w:r>
                    <w:rPr>
                      <w:rFonts w:hint="eastAsia"/>
                      <w:lang w:val="en-US" w:eastAsia="zh-CN"/>
                    </w:rPr>
                    <w:t>t/a</w:t>
                  </w:r>
                </w:p>
              </w:tc>
              <w:tc>
                <w:tcPr>
                  <w:tcW w:w="1319" w:type="pct"/>
                  <w:tcBorders>
                    <w:tl2br w:val="nil"/>
                    <w:tr2bl w:val="nil"/>
                  </w:tcBorders>
                  <w:vAlign w:val="center"/>
                </w:tcPr>
                <w:p>
                  <w:pPr>
                    <w:pStyle w:val="26"/>
                    <w:spacing w:line="240" w:lineRule="auto"/>
                    <w:rPr>
                      <w:rFonts w:hint="eastAsia"/>
                    </w:rPr>
                  </w:pPr>
                  <w:r>
                    <w:rPr>
                      <w:rFonts w:hint="eastAsia"/>
                    </w:rPr>
                    <w:t>外购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411" w:type="pct"/>
                  <w:tcBorders>
                    <w:tl2br w:val="nil"/>
                    <w:tr2bl w:val="nil"/>
                  </w:tcBorders>
                  <w:vAlign w:val="center"/>
                </w:tcPr>
                <w:p>
                  <w:pPr>
                    <w:pStyle w:val="26"/>
                    <w:spacing w:line="240" w:lineRule="auto"/>
                    <w:rPr>
                      <w:rFonts w:hint="eastAsia" w:ascii="Times New Roman" w:hAnsi="Times New Roman" w:eastAsia="宋体" w:cs="Times New Roman"/>
                      <w:kern w:val="2"/>
                      <w:sz w:val="21"/>
                      <w:szCs w:val="21"/>
                      <w:lang w:val="en-US" w:eastAsia="zh-CN" w:bidi="ar-SA"/>
                    </w:rPr>
                  </w:pPr>
                  <w:r>
                    <w:rPr>
                      <w:rFonts w:hint="eastAsia"/>
                      <w:lang w:val="en-US" w:eastAsia="zh-CN"/>
                    </w:rPr>
                    <w:t>6</w:t>
                  </w:r>
                </w:p>
              </w:tc>
              <w:tc>
                <w:tcPr>
                  <w:tcW w:w="929"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水</w:t>
                  </w:r>
                </w:p>
              </w:tc>
              <w:tc>
                <w:tcPr>
                  <w:tcW w:w="640" w:type="pct"/>
                  <w:tcBorders>
                    <w:tl2br w:val="nil"/>
                    <w:tr2bl w:val="nil"/>
                  </w:tcBorders>
                  <w:vAlign w:val="center"/>
                </w:tcPr>
                <w:p>
                  <w:pPr>
                    <w:pStyle w:val="26"/>
                    <w:spacing w:line="240" w:lineRule="auto"/>
                    <w:rPr>
                      <w:rFonts w:hint="eastAsia"/>
                    </w:rPr>
                  </w:pPr>
                  <w:r>
                    <w:rPr>
                      <w:rFonts w:hint="eastAsia"/>
                      <w:lang w:val="en-US" w:eastAsia="zh-CN"/>
                    </w:rPr>
                    <w:t>/</w:t>
                  </w:r>
                </w:p>
              </w:tc>
              <w:tc>
                <w:tcPr>
                  <w:tcW w:w="844"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112</w:t>
                  </w:r>
                </w:p>
              </w:tc>
              <w:tc>
                <w:tcPr>
                  <w:tcW w:w="854" w:type="pct"/>
                  <w:tcBorders>
                    <w:tl2br w:val="nil"/>
                    <w:tr2bl w:val="nil"/>
                  </w:tcBorders>
                  <w:vAlign w:val="center"/>
                </w:tcPr>
                <w:p>
                  <w:pPr>
                    <w:pStyle w:val="26"/>
                    <w:spacing w:line="240" w:lineRule="auto"/>
                    <w:rPr>
                      <w:rFonts w:hint="eastAsia"/>
                    </w:rPr>
                  </w:pPr>
                  <w:r>
                    <w:rPr>
                      <w:rFonts w:hint="eastAsia"/>
                    </w:rPr>
                    <w:t>t/a</w:t>
                  </w:r>
                </w:p>
              </w:tc>
              <w:tc>
                <w:tcPr>
                  <w:tcW w:w="1319" w:type="pct"/>
                  <w:tcBorders>
                    <w:tl2br w:val="nil"/>
                    <w:tr2bl w:val="nil"/>
                  </w:tcBorders>
                  <w:vAlign w:val="center"/>
                </w:tcPr>
                <w:p>
                  <w:pPr>
                    <w:pStyle w:val="26"/>
                    <w:spacing w:line="240" w:lineRule="auto"/>
                    <w:rPr>
                      <w:rFonts w:hint="default" w:eastAsia="宋体"/>
                      <w:lang w:val="en-US" w:eastAsia="zh-CN"/>
                    </w:rPr>
                  </w:pPr>
                  <w:r>
                    <w:rPr>
                      <w:rFonts w:hint="eastAsia"/>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6" w:hRule="atLeast"/>
                <w:jc w:val="center"/>
              </w:trPr>
              <w:tc>
                <w:tcPr>
                  <w:tcW w:w="411" w:type="pct"/>
                  <w:tcBorders>
                    <w:tl2br w:val="nil"/>
                    <w:tr2bl w:val="nil"/>
                  </w:tcBorders>
                  <w:vAlign w:val="center"/>
                </w:tcPr>
                <w:p>
                  <w:pPr>
                    <w:pStyle w:val="26"/>
                    <w:spacing w:line="240" w:lineRule="auto"/>
                    <w:rPr>
                      <w:rFonts w:hint="eastAsia" w:ascii="Times New Roman" w:hAnsi="Times New Roman" w:eastAsia="宋体" w:cs="Times New Roman"/>
                      <w:kern w:val="2"/>
                      <w:sz w:val="21"/>
                      <w:szCs w:val="21"/>
                      <w:lang w:val="en-US" w:eastAsia="zh-CN" w:bidi="ar-SA"/>
                    </w:rPr>
                  </w:pPr>
                  <w:r>
                    <w:rPr>
                      <w:rFonts w:hint="eastAsia"/>
                      <w:lang w:val="en-US" w:eastAsia="zh-CN"/>
                    </w:rPr>
                    <w:t>7</w:t>
                  </w:r>
                </w:p>
              </w:tc>
              <w:tc>
                <w:tcPr>
                  <w:tcW w:w="929"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电</w:t>
                  </w:r>
                </w:p>
              </w:tc>
              <w:tc>
                <w:tcPr>
                  <w:tcW w:w="640" w:type="pct"/>
                  <w:tcBorders>
                    <w:tl2br w:val="nil"/>
                    <w:tr2bl w:val="nil"/>
                  </w:tcBorders>
                  <w:vAlign w:val="center"/>
                </w:tcPr>
                <w:p>
                  <w:pPr>
                    <w:pStyle w:val="26"/>
                    <w:spacing w:line="240" w:lineRule="auto"/>
                    <w:rPr>
                      <w:rFonts w:hint="eastAsia"/>
                    </w:rPr>
                  </w:pPr>
                  <w:r>
                    <w:rPr>
                      <w:rFonts w:hint="eastAsia"/>
                      <w:lang w:val="en-US" w:eastAsia="zh-CN"/>
                    </w:rPr>
                    <w:t>/</w:t>
                  </w:r>
                </w:p>
              </w:tc>
              <w:tc>
                <w:tcPr>
                  <w:tcW w:w="844"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50</w:t>
                  </w:r>
                </w:p>
              </w:tc>
              <w:tc>
                <w:tcPr>
                  <w:tcW w:w="854" w:type="pct"/>
                  <w:tcBorders>
                    <w:tl2br w:val="nil"/>
                    <w:tr2bl w:val="nil"/>
                  </w:tcBorders>
                  <w:vAlign w:val="center"/>
                </w:tcPr>
                <w:p>
                  <w:pPr>
                    <w:pStyle w:val="26"/>
                    <w:spacing w:line="240" w:lineRule="auto"/>
                    <w:rPr>
                      <w:rFonts w:hint="default" w:eastAsia="宋体"/>
                      <w:lang w:val="en-US" w:eastAsia="zh-CN"/>
                    </w:rPr>
                  </w:pPr>
                  <w:r>
                    <w:rPr>
                      <w:rFonts w:hint="eastAsia"/>
                      <w:lang w:val="en-US" w:eastAsia="zh-CN"/>
                    </w:rPr>
                    <w:t>万kWh/a</w:t>
                  </w:r>
                </w:p>
              </w:tc>
              <w:tc>
                <w:tcPr>
                  <w:tcW w:w="1319" w:type="pct"/>
                  <w:tcBorders>
                    <w:tl2br w:val="nil"/>
                    <w:tr2bl w:val="nil"/>
                  </w:tcBorders>
                  <w:vAlign w:val="center"/>
                </w:tcPr>
                <w:p>
                  <w:pPr>
                    <w:pStyle w:val="26"/>
                    <w:spacing w:line="240" w:lineRule="auto"/>
                    <w:rPr>
                      <w:rFonts w:hint="default" w:eastAsia="宋体"/>
                      <w:lang w:val="en-US" w:eastAsia="zh-CN"/>
                    </w:rPr>
                  </w:pPr>
                  <w:r>
                    <w:rPr>
                      <w:rFonts w:hint="eastAsia"/>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atLeast"/>
                <w:jc w:val="center"/>
              </w:trPr>
              <w:tc>
                <w:tcPr>
                  <w:tcW w:w="411" w:type="pct"/>
                  <w:tcBorders>
                    <w:tl2br w:val="nil"/>
                    <w:tr2bl w:val="nil"/>
                  </w:tcBorders>
                  <w:vAlign w:val="center"/>
                </w:tcPr>
                <w:p>
                  <w:pPr>
                    <w:pStyle w:val="26"/>
                    <w:spacing w:line="240" w:lineRule="auto"/>
                    <w:rPr>
                      <w:rFonts w:hint="default" w:eastAsia="宋体"/>
                      <w:lang w:val="en-US" w:eastAsia="zh-CN"/>
                    </w:rPr>
                  </w:pPr>
                  <w:r>
                    <w:rPr>
                      <w:rFonts w:hint="eastAsia"/>
                      <w:lang w:val="en-US" w:eastAsia="zh-CN"/>
                    </w:rPr>
                    <w:t>8</w:t>
                  </w:r>
                </w:p>
              </w:tc>
              <w:tc>
                <w:tcPr>
                  <w:tcW w:w="929"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天然气</w:t>
                  </w:r>
                </w:p>
              </w:tc>
              <w:tc>
                <w:tcPr>
                  <w:tcW w:w="640" w:type="pct"/>
                  <w:tcBorders>
                    <w:tl2br w:val="nil"/>
                    <w:tr2bl w:val="nil"/>
                  </w:tcBorders>
                  <w:vAlign w:val="center"/>
                </w:tcPr>
                <w:p>
                  <w:pPr>
                    <w:pStyle w:val="26"/>
                    <w:spacing w:line="240" w:lineRule="auto"/>
                    <w:rPr>
                      <w:rFonts w:hint="eastAsia"/>
                    </w:rPr>
                  </w:pPr>
                  <w:r>
                    <w:rPr>
                      <w:rFonts w:hint="eastAsia"/>
                      <w:lang w:val="en-US" w:eastAsia="zh-CN"/>
                    </w:rPr>
                    <w:t>/</w:t>
                  </w:r>
                </w:p>
              </w:tc>
              <w:tc>
                <w:tcPr>
                  <w:tcW w:w="844" w:type="pct"/>
                  <w:tcBorders>
                    <w:tl2br w:val="nil"/>
                    <w:tr2bl w:val="nil"/>
                  </w:tcBorders>
                  <w:vAlign w:val="center"/>
                </w:tcPr>
                <w:p>
                  <w:pPr>
                    <w:pStyle w:val="26"/>
                    <w:spacing w:line="240" w:lineRule="auto"/>
                    <w:rPr>
                      <w:rFonts w:hint="default" w:ascii="Times New Roman" w:hAnsi="Times New Roman" w:eastAsia="宋体" w:cs="Times New Roman"/>
                      <w:lang w:val="en-US" w:eastAsia="zh-CN"/>
                    </w:rPr>
                  </w:pPr>
                  <w:r>
                    <w:rPr>
                      <w:rFonts w:hint="eastAsia" w:cs="Times New Roman"/>
                      <w:lang w:val="en-US" w:eastAsia="zh-CN"/>
                    </w:rPr>
                    <w:t>20</w:t>
                  </w:r>
                </w:p>
              </w:tc>
              <w:tc>
                <w:tcPr>
                  <w:tcW w:w="854" w:type="pct"/>
                  <w:tcBorders>
                    <w:tl2br w:val="nil"/>
                    <w:tr2bl w:val="nil"/>
                  </w:tcBorders>
                  <w:vAlign w:val="center"/>
                </w:tcPr>
                <w:p>
                  <w:pPr>
                    <w:pStyle w:val="26"/>
                    <w:spacing w:line="240" w:lineRule="auto"/>
                    <w:rPr>
                      <w:rFonts w:hint="eastAsia"/>
                    </w:rPr>
                  </w:pPr>
                  <w:r>
                    <w:rPr>
                      <w:rFonts w:hint="eastAsia"/>
                      <w:lang w:val="en-US" w:eastAsia="zh-CN"/>
                    </w:rPr>
                    <w:t>万m</w:t>
                  </w:r>
                  <w:r>
                    <w:rPr>
                      <w:rFonts w:hint="eastAsia"/>
                      <w:vertAlign w:val="superscript"/>
                      <w:lang w:val="en-US" w:eastAsia="zh-CN"/>
                    </w:rPr>
                    <w:t>3</w:t>
                  </w:r>
                  <w:r>
                    <w:rPr>
                      <w:rFonts w:hint="eastAsia"/>
                      <w:lang w:val="en-US" w:eastAsia="zh-CN"/>
                    </w:rPr>
                    <w:t>/a</w:t>
                  </w:r>
                </w:p>
              </w:tc>
              <w:tc>
                <w:tcPr>
                  <w:tcW w:w="1319" w:type="pct"/>
                  <w:tcBorders>
                    <w:tl2br w:val="nil"/>
                    <w:tr2bl w:val="nil"/>
                  </w:tcBorders>
                  <w:vAlign w:val="center"/>
                </w:tcPr>
                <w:p>
                  <w:pPr>
                    <w:pStyle w:val="26"/>
                    <w:spacing w:line="240" w:lineRule="auto"/>
                    <w:rPr>
                      <w:rFonts w:hint="default" w:eastAsia="宋体"/>
                      <w:lang w:val="en-US" w:eastAsia="zh-CN"/>
                    </w:rPr>
                  </w:pPr>
                  <w:r>
                    <w:rPr>
                      <w:rFonts w:hint="eastAsia"/>
                      <w:lang w:val="en-US" w:eastAsia="zh-CN"/>
                    </w:rPr>
                    <w:t>/</w:t>
                  </w:r>
                </w:p>
              </w:tc>
            </w:tr>
          </w:tbl>
          <w:p>
            <w:pPr>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味精</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味精是调味料的一种</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主要成分为谷氨酸钠</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化学式C</w:t>
            </w:r>
            <w:r>
              <w:rPr>
                <w:rFonts w:hint="eastAsia" w:cs="Times New Roman"/>
                <w:color w:val="auto"/>
                <w:sz w:val="24"/>
                <w:szCs w:val="24"/>
                <w:vertAlign w:val="subscript"/>
                <w:lang w:val="en-US" w:eastAsia="zh-CN"/>
              </w:rPr>
              <w:t>5</w:t>
            </w:r>
            <w:r>
              <w:rPr>
                <w:rFonts w:hint="default" w:ascii="Times New Roman" w:hAnsi="Times New Roman" w:eastAsia="宋体" w:cs="Times New Roman"/>
                <w:color w:val="auto"/>
                <w:sz w:val="24"/>
                <w:szCs w:val="24"/>
              </w:rPr>
              <w:t>H</w:t>
            </w:r>
            <w:r>
              <w:rPr>
                <w:rFonts w:hint="eastAsia" w:cs="Times New Roman"/>
                <w:color w:val="auto"/>
                <w:sz w:val="24"/>
                <w:szCs w:val="24"/>
                <w:vertAlign w:val="subscript"/>
                <w:lang w:val="en-US" w:eastAsia="zh-CN"/>
              </w:rPr>
              <w:t>8</w:t>
            </w:r>
            <w:r>
              <w:rPr>
                <w:rFonts w:hint="default" w:ascii="Times New Roman" w:hAnsi="Times New Roman" w:eastAsia="宋体" w:cs="Times New Roman"/>
                <w:color w:val="auto"/>
                <w:sz w:val="24"/>
                <w:szCs w:val="24"/>
              </w:rPr>
              <w:t>NO</w:t>
            </w:r>
            <w:r>
              <w:rPr>
                <w:rFonts w:hint="default" w:ascii="Times New Roman" w:hAnsi="Times New Roman" w:eastAsia="宋体" w:cs="Times New Roman"/>
                <w:color w:val="auto"/>
                <w:sz w:val="24"/>
                <w:szCs w:val="24"/>
                <w:vertAlign w:val="subscript"/>
              </w:rPr>
              <w:t>4</w:t>
            </w:r>
            <w:r>
              <w:rPr>
                <w:rFonts w:hint="default" w:ascii="Times New Roman" w:hAnsi="Times New Roman" w:eastAsia="宋体" w:cs="Times New Roman"/>
                <w:color w:val="auto"/>
                <w:sz w:val="24"/>
                <w:szCs w:val="24"/>
              </w:rPr>
              <w:t>Na</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易溶于水，20</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时溶解度为71.7g/100ml</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微溶于无水乙醇。谷氨酸钠是一种氨基酸谷氨酸的钠盐。是一种无嗅无色的晶体</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在232</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时解体熔化。谷氨酸钠的水溶性很好，在100毫升水中可以溶解72克谷氨酸钠。</w:t>
            </w:r>
          </w:p>
          <w:p>
            <w:pPr>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淀粉</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是葡萄糖分子聚合而成的，它是细胞中碳水化合物最普遍的储藏形式。外观为白色，无嗅无味粉末</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有吸湿性</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不溶于冷水</w:t>
            </w:r>
            <w:r>
              <w:rPr>
                <w:rFonts w:hint="eastAsia" w:cs="Times New Roman"/>
                <w:color w:val="auto"/>
                <w:sz w:val="24"/>
                <w:szCs w:val="24"/>
                <w:lang w:eastAsia="zh-CN"/>
              </w:rPr>
              <w:t>、</w:t>
            </w:r>
            <w:r>
              <w:rPr>
                <w:rFonts w:hint="default" w:ascii="Times New Roman" w:hAnsi="Times New Roman" w:eastAsia="宋体" w:cs="Times New Roman"/>
                <w:color w:val="auto"/>
                <w:sz w:val="24"/>
                <w:szCs w:val="24"/>
              </w:rPr>
              <w:t>乙醇和乙醚。熔点256-258</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密度1.5g/mL</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沸点357.8°C淀粉在餐饮业中又称芡粉，通式是(C</w:t>
            </w:r>
            <w:r>
              <w:rPr>
                <w:rFonts w:hint="default" w:ascii="Times New Roman" w:hAnsi="Times New Roman" w:eastAsia="宋体" w:cs="Times New Roman"/>
                <w:color w:val="auto"/>
                <w:sz w:val="24"/>
                <w:szCs w:val="24"/>
                <w:vertAlign w:val="subscript"/>
              </w:rPr>
              <w:t>6</w:t>
            </w:r>
            <w:r>
              <w:rPr>
                <w:rFonts w:hint="default" w:ascii="Times New Roman" w:hAnsi="Times New Roman" w:eastAsia="宋体" w:cs="Times New Roman"/>
                <w:color w:val="auto"/>
                <w:sz w:val="24"/>
                <w:szCs w:val="24"/>
              </w:rPr>
              <w:t>H</w:t>
            </w:r>
            <w:r>
              <w:rPr>
                <w:rFonts w:hint="eastAsia" w:cs="Times New Roman"/>
                <w:color w:val="auto"/>
                <w:sz w:val="24"/>
                <w:szCs w:val="24"/>
                <w:vertAlign w:val="subscript"/>
                <w:lang w:val="en-US" w:eastAsia="zh-CN"/>
              </w:rPr>
              <w:t>10</w:t>
            </w:r>
            <w:r>
              <w:rPr>
                <w:rFonts w:hint="default" w:ascii="Times New Roman" w:hAnsi="Times New Roman" w:eastAsia="宋体" w:cs="Times New Roman"/>
                <w:color w:val="auto"/>
                <w:sz w:val="24"/>
                <w:szCs w:val="24"/>
              </w:rPr>
              <w:t>O</w:t>
            </w:r>
            <w:r>
              <w:rPr>
                <w:rFonts w:hint="eastAsia" w:cs="Times New Roman"/>
                <w:color w:val="auto"/>
                <w:sz w:val="24"/>
                <w:szCs w:val="24"/>
                <w:vertAlign w:val="subscript"/>
                <w:lang w:val="en-US" w:eastAsia="zh-CN"/>
              </w:rPr>
              <w:t>5</w:t>
            </w:r>
            <w:r>
              <w:rPr>
                <w:rFonts w:hint="default" w:ascii="Times New Roman" w:hAnsi="Times New Roman" w:eastAsia="宋体" w:cs="Times New Roman"/>
                <w:color w:val="auto"/>
                <w:sz w:val="24"/>
                <w:szCs w:val="24"/>
              </w:rPr>
              <w:t>)n。</w:t>
            </w:r>
          </w:p>
          <w:p>
            <w:pPr>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食</w:t>
            </w:r>
            <w:r>
              <w:rPr>
                <w:rFonts w:hint="eastAsia" w:ascii="Times New Roman" w:hAnsi="Times New Roman" w:eastAsia="宋体" w:cs="Times New Roman"/>
                <w:color w:val="auto"/>
                <w:sz w:val="24"/>
                <w:szCs w:val="24"/>
                <w:lang w:val="en-US" w:eastAsia="zh-CN"/>
              </w:rPr>
              <w:t>用</w:t>
            </w:r>
            <w:r>
              <w:rPr>
                <w:rFonts w:hint="default" w:ascii="Times New Roman" w:hAnsi="Times New Roman" w:eastAsia="宋体" w:cs="Times New Roman"/>
                <w:color w:val="auto"/>
                <w:sz w:val="24"/>
                <w:szCs w:val="24"/>
              </w:rPr>
              <w:t>盐</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是指从海水、地下岩(矿)盐沉积物、天然卤(咸)水获得的以氯化钠为主要成分的经过加工的食用盐，不包括低钠盐。无色透明的立方晶体，熔点为801℃，沸点为1413℃，相对密度为2.165。食用盐的主要成分是氯化钠(NaCl)，同时含有少量水份和杂质及其他铁、磷、碘等元素</w:t>
            </w:r>
            <w:r>
              <w:rPr>
                <w:rFonts w:hint="eastAsia" w:ascii="Times New Roman" w:hAnsi="Times New Roman" w:eastAsia="宋体" w:cs="Times New Roman"/>
                <w:color w:val="auto"/>
                <w:sz w:val="24"/>
                <w:szCs w:val="24"/>
                <w:lang w:eastAsia="zh-CN"/>
              </w:rPr>
              <w:t>。</w:t>
            </w:r>
          </w:p>
          <w:p>
            <w:pPr>
              <w:ind w:firstLine="480"/>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lang w:eastAsia="zh-CN"/>
              </w:rPr>
              <w:t>鸡肉粉：鸡肉粉是选取剥离骨头的鸡肉，采用高温高压的现代工艺经烹饪、淬取、风干，不添加任何调香、调鲜、调味成分，有效保留天然鸡肉的风味、滋味和营养成分制成的。</w:t>
            </w:r>
          </w:p>
          <w:p>
            <w:pPr>
              <w:ind w:firstLine="482"/>
              <w:rPr>
                <w:b/>
                <w:bCs/>
              </w:rPr>
            </w:pPr>
            <w:r>
              <w:rPr>
                <w:rFonts w:hint="eastAsia"/>
                <w:b/>
                <w:bCs/>
                <w:lang w:val="en-US" w:eastAsia="zh-CN"/>
              </w:rPr>
              <w:t>6</w:t>
            </w:r>
            <w:r>
              <w:rPr>
                <w:rFonts w:hint="eastAsia"/>
                <w:b/>
                <w:bCs/>
              </w:rPr>
              <w:t>、项目运营期主要生产设备</w:t>
            </w:r>
          </w:p>
          <w:p>
            <w:pPr>
              <w:ind w:firstLine="480"/>
            </w:pPr>
            <w:r>
              <w:rPr>
                <w:rFonts w:hint="eastAsia"/>
              </w:rPr>
              <w:t>根据建设单位提供设计资料，本项目主要生产设备见下表。</w:t>
            </w:r>
          </w:p>
          <w:p>
            <w:pPr>
              <w:pStyle w:val="37"/>
              <w:keepNext w:val="0"/>
              <w:keepLines w:val="0"/>
              <w:pageBreakBefore w:val="0"/>
              <w:widowControl w:val="0"/>
              <w:kinsoku/>
              <w:wordWrap/>
              <w:overflowPunct/>
              <w:topLinePunct w:val="0"/>
              <w:autoSpaceDE/>
              <w:autoSpaceDN/>
              <w:bidi w:val="0"/>
              <w:adjustRightInd w:val="0"/>
              <w:snapToGrid w:val="0"/>
              <w:spacing w:after="62" w:afterLines="20" w:line="400" w:lineRule="exact"/>
              <w:ind w:firstLine="0" w:firstLineChars="0"/>
              <w:jc w:val="center"/>
              <w:textAlignment w:val="auto"/>
              <w:rPr>
                <w:rFonts w:eastAsia="黑体" w:cs="Times New Roman"/>
                <w:bCs/>
                <w:szCs w:val="24"/>
              </w:rPr>
            </w:pPr>
            <w:r>
              <w:rPr>
                <w:rFonts w:hint="eastAsia" w:eastAsia="黑体" w:cs="Times New Roman"/>
                <w:bCs/>
                <w:szCs w:val="24"/>
              </w:rPr>
              <w:t>表2-</w:t>
            </w:r>
            <w:r>
              <w:rPr>
                <w:rFonts w:hint="eastAsia" w:eastAsia="黑体" w:cs="Times New Roman"/>
                <w:bCs/>
                <w:szCs w:val="24"/>
                <w:lang w:val="en-US" w:eastAsia="zh-CN"/>
              </w:rPr>
              <w:t>4</w:t>
            </w:r>
            <w:r>
              <w:rPr>
                <w:rFonts w:hint="eastAsia" w:eastAsia="黑体" w:cs="Times New Roman"/>
                <w:bCs/>
                <w:szCs w:val="24"/>
              </w:rPr>
              <w:t xml:space="preserve">  项目主要生产设备一览表</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1070"/>
              <w:gridCol w:w="2871"/>
              <w:gridCol w:w="1530"/>
              <w:gridCol w:w="1768"/>
              <w:gridCol w:w="14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b w:val="0"/>
                      <w:bCs/>
                      <w:u w:val="none"/>
                    </w:rPr>
                  </w:pPr>
                  <w:r>
                    <w:rPr>
                      <w:rFonts w:hint="eastAsia"/>
                      <w:b w:val="0"/>
                      <w:bCs/>
                      <w:u w:val="none"/>
                    </w:rPr>
                    <w:t>序号</w:t>
                  </w:r>
                </w:p>
              </w:tc>
              <w:tc>
                <w:tcPr>
                  <w:tcW w:w="1642" w:type="pct"/>
                  <w:tcBorders>
                    <w:tl2br w:val="nil"/>
                    <w:tr2bl w:val="nil"/>
                  </w:tcBorders>
                  <w:vAlign w:val="center"/>
                </w:tcPr>
                <w:p>
                  <w:pPr>
                    <w:pStyle w:val="26"/>
                    <w:rPr>
                      <w:b w:val="0"/>
                      <w:bCs/>
                      <w:u w:val="none"/>
                    </w:rPr>
                  </w:pPr>
                  <w:r>
                    <w:rPr>
                      <w:rFonts w:hint="eastAsia"/>
                      <w:b w:val="0"/>
                      <w:bCs/>
                      <w:u w:val="none"/>
                    </w:rPr>
                    <w:t>设备名称</w:t>
                  </w:r>
                </w:p>
              </w:tc>
              <w:tc>
                <w:tcPr>
                  <w:tcW w:w="875" w:type="pct"/>
                  <w:tcBorders>
                    <w:tl2br w:val="nil"/>
                    <w:tr2bl w:val="nil"/>
                  </w:tcBorders>
                  <w:vAlign w:val="center"/>
                </w:tcPr>
                <w:p>
                  <w:pPr>
                    <w:pStyle w:val="26"/>
                    <w:rPr>
                      <w:b w:val="0"/>
                      <w:bCs/>
                      <w:u w:val="none"/>
                    </w:rPr>
                  </w:pPr>
                  <w:r>
                    <w:rPr>
                      <w:rFonts w:hint="eastAsia"/>
                      <w:b w:val="0"/>
                      <w:bCs/>
                      <w:u w:val="none"/>
                    </w:rPr>
                    <w:t>规格</w:t>
                  </w:r>
                </w:p>
              </w:tc>
              <w:tc>
                <w:tcPr>
                  <w:tcW w:w="1011" w:type="pct"/>
                  <w:tcBorders>
                    <w:tl2br w:val="nil"/>
                    <w:tr2bl w:val="nil"/>
                  </w:tcBorders>
                  <w:vAlign w:val="center"/>
                </w:tcPr>
                <w:p>
                  <w:pPr>
                    <w:pStyle w:val="26"/>
                    <w:rPr>
                      <w:b w:val="0"/>
                      <w:bCs/>
                      <w:u w:val="none"/>
                    </w:rPr>
                  </w:pPr>
                  <w:r>
                    <w:rPr>
                      <w:rFonts w:hint="eastAsia"/>
                      <w:b w:val="0"/>
                      <w:bCs/>
                      <w:u w:val="none"/>
                    </w:rPr>
                    <w:t>数量</w:t>
                  </w:r>
                </w:p>
              </w:tc>
              <w:tc>
                <w:tcPr>
                  <w:tcW w:w="857" w:type="pct"/>
                  <w:tcBorders>
                    <w:tl2br w:val="nil"/>
                    <w:tr2bl w:val="nil"/>
                  </w:tcBorders>
                  <w:vAlign w:val="center"/>
                </w:tcPr>
                <w:p>
                  <w:pPr>
                    <w:pStyle w:val="26"/>
                    <w:rPr>
                      <w:b w:val="0"/>
                      <w:bCs/>
                      <w:u w:val="none"/>
                    </w:rPr>
                  </w:pPr>
                  <w:r>
                    <w:rPr>
                      <w:rFonts w:hint="eastAsia"/>
                      <w:b w:val="0"/>
                      <w:bCs/>
                      <w:u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b w:val="0"/>
                      <w:bCs/>
                      <w:u w:val="none"/>
                    </w:rPr>
                  </w:pPr>
                  <w:r>
                    <w:rPr>
                      <w:rFonts w:hint="eastAsia"/>
                      <w:b w:val="0"/>
                      <w:bCs/>
                      <w:u w:val="none"/>
                    </w:rPr>
                    <w:t>1</w:t>
                  </w:r>
                </w:p>
              </w:tc>
              <w:tc>
                <w:tcPr>
                  <w:tcW w:w="1642" w:type="pct"/>
                  <w:tcBorders>
                    <w:tl2br w:val="nil"/>
                    <w:tr2bl w:val="nil"/>
                  </w:tcBorders>
                  <w:vAlign w:val="center"/>
                </w:tcPr>
                <w:p>
                  <w:pPr>
                    <w:pStyle w:val="26"/>
                    <w:rPr>
                      <w:rFonts w:hint="default" w:ascii="Times New Roman" w:hAnsi="Times New Roman" w:eastAsia="宋体" w:cs="Times New Roman"/>
                      <w:b w:val="0"/>
                      <w:bCs/>
                      <w:u w:val="none"/>
                      <w:lang w:val="en-US" w:eastAsia="zh-CN"/>
                    </w:rPr>
                  </w:pPr>
                  <w:r>
                    <w:rPr>
                      <w:rFonts w:hint="eastAsia" w:cs="Times New Roman"/>
                      <w:b w:val="0"/>
                      <w:bCs/>
                      <w:u w:val="none"/>
                      <w:lang w:val="en-US" w:eastAsia="zh-CN"/>
                    </w:rPr>
                    <w:t>粉碎机</w:t>
                  </w:r>
                </w:p>
              </w:tc>
              <w:tc>
                <w:tcPr>
                  <w:tcW w:w="875" w:type="pct"/>
                  <w:tcBorders>
                    <w:tl2br w:val="nil"/>
                    <w:tr2bl w:val="nil"/>
                  </w:tcBorders>
                  <w:vAlign w:val="center"/>
                </w:tcPr>
                <w:p>
                  <w:pPr>
                    <w:pStyle w:val="26"/>
                    <w:rPr>
                      <w:rFonts w:hint="default" w:ascii="Times New Roman" w:hAnsi="Times New Roman" w:eastAsia="宋体" w:cs="Times New Roman"/>
                      <w:b w:val="0"/>
                      <w:bCs/>
                      <w:u w:val="none"/>
                      <w:lang w:val="en-US" w:eastAsia="zh-CN"/>
                    </w:rPr>
                  </w:pPr>
                  <w:r>
                    <w:rPr>
                      <w:rFonts w:hint="eastAsia" w:cs="Times New Roman"/>
                      <w:b w:val="0"/>
                      <w:bCs/>
                      <w:u w:val="none"/>
                      <w:lang w:val="en-US" w:eastAsia="zh-CN"/>
                    </w:rPr>
                    <w:t>/</w:t>
                  </w:r>
                </w:p>
              </w:tc>
              <w:tc>
                <w:tcPr>
                  <w:tcW w:w="1011" w:type="pct"/>
                  <w:tcBorders>
                    <w:tl2br w:val="nil"/>
                    <w:tr2bl w:val="nil"/>
                  </w:tcBorders>
                  <w:vAlign w:val="center"/>
                </w:tcPr>
                <w:p>
                  <w:pPr>
                    <w:pStyle w:val="26"/>
                    <w:rPr>
                      <w:rFonts w:hint="eastAsia"/>
                      <w:b w:val="0"/>
                      <w:bCs/>
                      <w:u w:val="none"/>
                      <w:lang w:val="en-US" w:eastAsia="zh-CN"/>
                    </w:rPr>
                  </w:pPr>
                  <w:r>
                    <w:rPr>
                      <w:rFonts w:hint="eastAsia"/>
                      <w:b w:val="0"/>
                      <w:bCs/>
                      <w:u w:val="none"/>
                      <w:lang w:val="en-US" w:eastAsia="zh-CN"/>
                    </w:rPr>
                    <w:t>1</w:t>
                  </w:r>
                  <w:r>
                    <w:rPr>
                      <w:rFonts w:hint="eastAsia"/>
                      <w:b w:val="0"/>
                      <w:bCs/>
                      <w:u w:val="none"/>
                    </w:rPr>
                    <w:t>台</w:t>
                  </w:r>
                </w:p>
              </w:tc>
              <w:tc>
                <w:tcPr>
                  <w:tcW w:w="857" w:type="pct"/>
                  <w:vMerge w:val="restart"/>
                  <w:tcBorders>
                    <w:tl2br w:val="nil"/>
                    <w:tr2bl w:val="nil"/>
                  </w:tcBorders>
                  <w:vAlign w:val="center"/>
                </w:tcPr>
                <w:p>
                  <w:pPr>
                    <w:pStyle w:val="26"/>
                    <w:rPr>
                      <w:b w:val="0"/>
                      <w:bCs/>
                      <w:u w:val="none"/>
                    </w:rPr>
                  </w:pPr>
                  <w:r>
                    <w:rPr>
                      <w:rFonts w:hint="eastAsia"/>
                      <w:b w:val="0"/>
                      <w:bCs/>
                      <w:u w:val="none"/>
                    </w:rPr>
                    <w:t>位于生产车间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b w:val="0"/>
                      <w:bCs/>
                      <w:u w:val="none"/>
                    </w:rPr>
                  </w:pPr>
                  <w:r>
                    <w:rPr>
                      <w:rFonts w:hint="eastAsia"/>
                      <w:b w:val="0"/>
                      <w:bCs/>
                      <w:u w:val="none"/>
                    </w:rPr>
                    <w:t>2</w:t>
                  </w:r>
                </w:p>
              </w:tc>
              <w:tc>
                <w:tcPr>
                  <w:tcW w:w="1642" w:type="pct"/>
                  <w:tcBorders>
                    <w:tl2br w:val="nil"/>
                    <w:tr2bl w:val="nil"/>
                  </w:tcBorders>
                  <w:vAlign w:val="center"/>
                </w:tcPr>
                <w:p>
                  <w:pPr>
                    <w:pStyle w:val="26"/>
                    <w:rPr>
                      <w:rFonts w:hint="eastAsia" w:ascii="Times New Roman" w:hAnsi="Times New Roman" w:eastAsia="宋体" w:cs="Times New Roman"/>
                      <w:b w:val="0"/>
                      <w:bCs/>
                      <w:u w:val="none"/>
                    </w:rPr>
                  </w:pPr>
                  <w:r>
                    <w:rPr>
                      <w:rFonts w:hint="eastAsia" w:ascii="Times New Roman" w:hAnsi="Times New Roman" w:eastAsia="宋体" w:cs="Times New Roman"/>
                      <w:b w:val="0"/>
                      <w:bCs/>
                      <w:u w:val="none"/>
                      <w:lang w:eastAsia="zh-CN"/>
                    </w:rPr>
                    <w:t>混合机</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eastAsia="zh-CN"/>
                    </w:rPr>
                  </w:pPr>
                  <w:r>
                    <w:rPr>
                      <w:rFonts w:hint="eastAsia" w:ascii="Times New Roman" w:hAnsi="Times New Roman" w:eastAsia="宋体" w:cs="Times New Roman"/>
                      <w:b w:val="0"/>
                      <w:bCs/>
                      <w:u w:val="none"/>
                      <w:lang w:val="en-US" w:eastAsia="zh-CN"/>
                    </w:rPr>
                    <w:t>LGH400</w:t>
                  </w:r>
                </w:p>
              </w:tc>
              <w:tc>
                <w:tcPr>
                  <w:tcW w:w="1011" w:type="pct"/>
                  <w:tcBorders>
                    <w:tl2br w:val="nil"/>
                    <w:tr2bl w:val="nil"/>
                  </w:tcBorders>
                  <w:vAlign w:val="center"/>
                </w:tcPr>
                <w:p>
                  <w:pPr>
                    <w:pStyle w:val="26"/>
                    <w:rPr>
                      <w:b w:val="0"/>
                      <w:bCs/>
                      <w:u w:val="none"/>
                    </w:rPr>
                  </w:pPr>
                  <w:r>
                    <w:rPr>
                      <w:rFonts w:hint="eastAsia"/>
                      <w:b w:val="0"/>
                      <w:bCs/>
                      <w:u w:val="none"/>
                      <w:lang w:val="en-US" w:eastAsia="zh-CN"/>
                    </w:rPr>
                    <w:t>1</w:t>
                  </w:r>
                  <w:r>
                    <w:rPr>
                      <w:rFonts w:hint="eastAsia"/>
                      <w:b w:val="0"/>
                      <w:bCs/>
                      <w:u w:val="none"/>
                    </w:rPr>
                    <w:t>台</w:t>
                  </w:r>
                </w:p>
              </w:tc>
              <w:tc>
                <w:tcPr>
                  <w:tcW w:w="857" w:type="pct"/>
                  <w:vMerge w:val="continue"/>
                  <w:tcBorders>
                    <w:tl2br w:val="nil"/>
                    <w:tr2bl w:val="nil"/>
                  </w:tcBorders>
                  <w:vAlign w:val="center"/>
                </w:tcPr>
                <w:p>
                  <w:pPr>
                    <w:pStyle w:val="26"/>
                    <w:rPr>
                      <w:b w:val="0"/>
                      <w:bCs/>
                      <w:u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b w:val="0"/>
                      <w:bCs/>
                      <w:u w:val="none"/>
                    </w:rPr>
                  </w:pPr>
                  <w:r>
                    <w:rPr>
                      <w:rFonts w:hint="eastAsia"/>
                      <w:b w:val="0"/>
                      <w:bCs/>
                      <w:u w:val="none"/>
                    </w:rPr>
                    <w:t>3</w:t>
                  </w:r>
                </w:p>
              </w:tc>
              <w:tc>
                <w:tcPr>
                  <w:tcW w:w="1642" w:type="pct"/>
                  <w:tcBorders>
                    <w:tl2br w:val="nil"/>
                    <w:tr2bl w:val="nil"/>
                  </w:tcBorders>
                  <w:vAlign w:val="center"/>
                </w:tcPr>
                <w:p>
                  <w:pPr>
                    <w:pStyle w:val="26"/>
                    <w:rPr>
                      <w:rFonts w:hint="eastAsia" w:ascii="Times New Roman" w:hAnsi="Times New Roman" w:eastAsia="宋体" w:cs="Times New Roman"/>
                      <w:b w:val="0"/>
                      <w:bCs/>
                      <w:u w:val="none"/>
                    </w:rPr>
                  </w:pPr>
                  <w:r>
                    <w:rPr>
                      <w:rFonts w:hint="eastAsia" w:ascii="Times New Roman" w:hAnsi="Times New Roman" w:eastAsia="宋体" w:cs="Times New Roman"/>
                      <w:b w:val="0"/>
                      <w:bCs/>
                      <w:u w:val="none"/>
                      <w:lang w:eastAsia="zh-CN"/>
                    </w:rPr>
                    <w:t>制粒机</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eastAsia="zh-CN"/>
                    </w:rPr>
                  </w:pPr>
                  <w:r>
                    <w:rPr>
                      <w:rFonts w:hint="eastAsia" w:cs="Times New Roman"/>
                      <w:b w:val="0"/>
                      <w:bCs/>
                      <w:u w:val="none"/>
                      <w:lang w:val="en-US" w:eastAsia="zh-CN"/>
                    </w:rPr>
                    <w:t>/</w:t>
                  </w:r>
                </w:p>
              </w:tc>
              <w:tc>
                <w:tcPr>
                  <w:tcW w:w="1011" w:type="pct"/>
                  <w:tcBorders>
                    <w:tl2br w:val="nil"/>
                    <w:tr2bl w:val="nil"/>
                  </w:tcBorders>
                  <w:vAlign w:val="center"/>
                </w:tcPr>
                <w:p>
                  <w:pPr>
                    <w:pStyle w:val="26"/>
                    <w:rPr>
                      <w:rFonts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1</w:t>
                  </w:r>
                  <w:r>
                    <w:rPr>
                      <w:rFonts w:hint="eastAsia" w:ascii="Times New Roman" w:hAnsi="Times New Roman" w:eastAsia="宋体" w:cs="Times New Roman"/>
                      <w:b w:val="0"/>
                      <w:bCs/>
                      <w:u w:val="none"/>
                    </w:rPr>
                    <w:t>台</w:t>
                  </w:r>
                </w:p>
              </w:tc>
              <w:tc>
                <w:tcPr>
                  <w:tcW w:w="857" w:type="pct"/>
                  <w:vMerge w:val="continue"/>
                  <w:tcBorders>
                    <w:tl2br w:val="nil"/>
                    <w:tr2bl w:val="nil"/>
                  </w:tcBorders>
                  <w:vAlign w:val="center"/>
                </w:tcPr>
                <w:p>
                  <w:pPr>
                    <w:pStyle w:val="26"/>
                    <w:rPr>
                      <w:b w:val="0"/>
                      <w:bCs/>
                      <w:u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b w:val="0"/>
                      <w:bCs/>
                      <w:u w:val="none"/>
                    </w:rPr>
                  </w:pPr>
                  <w:r>
                    <w:rPr>
                      <w:rFonts w:hint="eastAsia"/>
                      <w:b w:val="0"/>
                      <w:bCs/>
                      <w:u w:val="none"/>
                    </w:rPr>
                    <w:t>4</w:t>
                  </w:r>
                </w:p>
              </w:tc>
              <w:tc>
                <w:tcPr>
                  <w:tcW w:w="1642" w:type="pct"/>
                  <w:tcBorders>
                    <w:tl2br w:val="nil"/>
                    <w:tr2bl w:val="nil"/>
                  </w:tcBorders>
                  <w:vAlign w:val="center"/>
                </w:tcPr>
                <w:p>
                  <w:pPr>
                    <w:pStyle w:val="26"/>
                    <w:rPr>
                      <w:rFonts w:hint="eastAsia" w:ascii="Times New Roman" w:hAnsi="Times New Roman" w:eastAsia="宋体" w:cs="Times New Roman"/>
                      <w:b w:val="0"/>
                      <w:bCs/>
                      <w:u w:val="none"/>
                    </w:rPr>
                  </w:pPr>
                  <w:r>
                    <w:rPr>
                      <w:rFonts w:hint="eastAsia" w:ascii="Times New Roman" w:hAnsi="Times New Roman" w:eastAsia="宋体" w:cs="Times New Roman"/>
                      <w:b w:val="0"/>
                      <w:bCs/>
                      <w:u w:val="none"/>
                      <w:lang w:eastAsia="zh-CN"/>
                    </w:rPr>
                    <w:t>直线干燥流化床</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eastAsia="zh-CN"/>
                    </w:rPr>
                  </w:pPr>
                  <w:r>
                    <w:rPr>
                      <w:rFonts w:hint="eastAsia" w:ascii="Times New Roman" w:hAnsi="Times New Roman" w:eastAsia="宋体" w:cs="Times New Roman"/>
                      <w:b w:val="0"/>
                      <w:bCs/>
                      <w:u w:val="none"/>
                      <w:lang w:val="en-US" w:eastAsia="zh-CN"/>
                    </w:rPr>
                    <w:t>ZLG-0.75*7.5</w:t>
                  </w:r>
                </w:p>
              </w:tc>
              <w:tc>
                <w:tcPr>
                  <w:tcW w:w="1011" w:type="pct"/>
                  <w:tcBorders>
                    <w:tl2br w:val="nil"/>
                    <w:tr2bl w:val="nil"/>
                  </w:tcBorders>
                  <w:vAlign w:val="center"/>
                </w:tcPr>
                <w:p>
                  <w:pPr>
                    <w:pStyle w:val="26"/>
                    <w:rPr>
                      <w:rFonts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1</w:t>
                  </w:r>
                  <w:r>
                    <w:rPr>
                      <w:rFonts w:hint="eastAsia" w:ascii="Times New Roman" w:hAnsi="Times New Roman" w:eastAsia="宋体" w:cs="Times New Roman"/>
                      <w:b w:val="0"/>
                      <w:bCs/>
                      <w:u w:val="none"/>
                    </w:rPr>
                    <w:t>台</w:t>
                  </w:r>
                </w:p>
              </w:tc>
              <w:tc>
                <w:tcPr>
                  <w:tcW w:w="857" w:type="pct"/>
                  <w:vMerge w:val="continue"/>
                  <w:tcBorders>
                    <w:tl2br w:val="nil"/>
                    <w:tr2bl w:val="nil"/>
                  </w:tcBorders>
                  <w:vAlign w:val="center"/>
                </w:tcPr>
                <w:p>
                  <w:pPr>
                    <w:pStyle w:val="26"/>
                    <w:rPr>
                      <w:b w:val="0"/>
                      <w:bCs/>
                      <w:u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rFonts w:hint="eastAsia" w:ascii="Times New Roman" w:hAnsi="Times New Roman" w:eastAsia="宋体" w:cs="Times New Roman"/>
                      <w:b w:val="0"/>
                      <w:bCs/>
                      <w:kern w:val="2"/>
                      <w:sz w:val="21"/>
                      <w:szCs w:val="21"/>
                      <w:u w:val="none"/>
                      <w:lang w:val="en-US" w:eastAsia="zh-CN" w:bidi="ar-SA"/>
                    </w:rPr>
                  </w:pPr>
                  <w:r>
                    <w:rPr>
                      <w:rFonts w:hint="eastAsia"/>
                      <w:b w:val="0"/>
                      <w:bCs/>
                      <w:u w:val="none"/>
                    </w:rPr>
                    <w:t>5</w:t>
                  </w:r>
                </w:p>
              </w:tc>
              <w:tc>
                <w:tcPr>
                  <w:tcW w:w="1642" w:type="pct"/>
                  <w:tcBorders>
                    <w:tl2br w:val="nil"/>
                    <w:tr2bl w:val="nil"/>
                  </w:tcBorders>
                  <w:vAlign w:val="center"/>
                </w:tcPr>
                <w:p>
                  <w:pPr>
                    <w:pStyle w:val="26"/>
                    <w:rPr>
                      <w:rFonts w:hint="default" w:ascii="Times New Roman" w:hAnsi="Times New Roman" w:eastAsia="宋体" w:cs="Times New Roman"/>
                      <w:b w:val="0"/>
                      <w:bCs/>
                      <w:u w:val="none"/>
                      <w:lang w:val="en-US" w:eastAsia="zh-CN"/>
                    </w:rPr>
                  </w:pPr>
                  <w:r>
                    <w:rPr>
                      <w:rFonts w:hint="eastAsia" w:cs="Times New Roman"/>
                      <w:b w:val="0"/>
                      <w:bCs/>
                      <w:u w:val="none"/>
                      <w:lang w:val="en-US" w:eastAsia="zh-CN"/>
                    </w:rPr>
                    <w:t>直线振动筛</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val="en-US" w:eastAsia="zh-CN"/>
                    </w:rPr>
                  </w:pPr>
                  <w:r>
                    <w:rPr>
                      <w:rFonts w:hint="eastAsia" w:ascii="Times New Roman" w:hAnsi="Times New Roman" w:eastAsia="宋体" w:cs="Times New Roman"/>
                      <w:color w:val="auto"/>
                      <w:kern w:val="0"/>
                      <w:sz w:val="21"/>
                      <w:szCs w:val="21"/>
                      <w:highlight w:val="none"/>
                      <w:lang w:val="en-US" w:eastAsia="zh-CN" w:bidi="ar-SA"/>
                    </w:rPr>
                    <w:t>/</w:t>
                  </w:r>
                </w:p>
              </w:tc>
              <w:tc>
                <w:tcPr>
                  <w:tcW w:w="1011" w:type="pct"/>
                  <w:tcBorders>
                    <w:tl2br w:val="nil"/>
                    <w:tr2bl w:val="nil"/>
                  </w:tcBorders>
                  <w:vAlign w:val="center"/>
                </w:tcPr>
                <w:p>
                  <w:pPr>
                    <w:pStyle w:val="26"/>
                    <w:rPr>
                      <w:rFonts w:hint="eastAsia" w:ascii="Times New Roman" w:hAnsi="Times New Roman" w:eastAsia="宋体" w:cs="Times New Roman"/>
                      <w:b w:val="0"/>
                      <w:bCs/>
                      <w:u w:val="none"/>
                      <w:lang w:val="en-US" w:eastAsia="zh-CN"/>
                    </w:rPr>
                  </w:pPr>
                  <w:r>
                    <w:rPr>
                      <w:rFonts w:hint="eastAsia" w:ascii="Times New Roman" w:hAnsi="Times New Roman" w:eastAsia="宋体" w:cs="Times New Roman"/>
                      <w:b w:val="0"/>
                      <w:bCs/>
                      <w:u w:val="none"/>
                      <w:lang w:val="en-US" w:eastAsia="zh-CN"/>
                    </w:rPr>
                    <w:t>1</w:t>
                  </w:r>
                  <w:r>
                    <w:rPr>
                      <w:rFonts w:hint="eastAsia" w:ascii="Times New Roman" w:hAnsi="Times New Roman" w:eastAsia="宋体" w:cs="Times New Roman"/>
                      <w:b w:val="0"/>
                      <w:bCs/>
                      <w:u w:val="none"/>
                    </w:rPr>
                    <w:t>台</w:t>
                  </w:r>
                </w:p>
              </w:tc>
              <w:tc>
                <w:tcPr>
                  <w:tcW w:w="857" w:type="pct"/>
                  <w:vMerge w:val="continue"/>
                  <w:tcBorders>
                    <w:tl2br w:val="nil"/>
                    <w:tr2bl w:val="nil"/>
                  </w:tcBorders>
                  <w:vAlign w:val="center"/>
                </w:tcPr>
                <w:p>
                  <w:pPr>
                    <w:pStyle w:val="26"/>
                    <w:rPr>
                      <w:b w:val="0"/>
                      <w:bCs/>
                      <w:u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rFonts w:ascii="Times New Roman" w:hAnsi="Times New Roman" w:eastAsia="宋体" w:cs="Times New Roman"/>
                      <w:b w:val="0"/>
                      <w:bCs/>
                      <w:kern w:val="2"/>
                      <w:sz w:val="21"/>
                      <w:szCs w:val="21"/>
                      <w:u w:val="none"/>
                      <w:lang w:val="en-US" w:eastAsia="zh-CN" w:bidi="ar-SA"/>
                    </w:rPr>
                  </w:pPr>
                  <w:r>
                    <w:rPr>
                      <w:rFonts w:hint="eastAsia"/>
                      <w:b w:val="0"/>
                      <w:bCs/>
                      <w:u w:val="none"/>
                    </w:rPr>
                    <w:t>6</w:t>
                  </w:r>
                </w:p>
              </w:tc>
              <w:tc>
                <w:tcPr>
                  <w:tcW w:w="1642" w:type="pct"/>
                  <w:tcBorders>
                    <w:tl2br w:val="nil"/>
                    <w:tr2bl w:val="nil"/>
                  </w:tcBorders>
                  <w:vAlign w:val="center"/>
                </w:tcPr>
                <w:p>
                  <w:pPr>
                    <w:pStyle w:val="26"/>
                    <w:rPr>
                      <w:rFonts w:hint="eastAsia" w:ascii="Times New Roman" w:hAnsi="Times New Roman" w:eastAsia="宋体" w:cs="Times New Roman"/>
                      <w:b w:val="0"/>
                      <w:bCs/>
                      <w:u w:val="none"/>
                    </w:rPr>
                  </w:pPr>
                  <w:r>
                    <w:rPr>
                      <w:rFonts w:hint="eastAsia" w:ascii="Times New Roman" w:hAnsi="Times New Roman" w:eastAsia="宋体" w:cs="Times New Roman"/>
                      <w:b w:val="0"/>
                      <w:bCs/>
                      <w:u w:val="none"/>
                      <w:lang w:eastAsia="zh-CN"/>
                    </w:rPr>
                    <w:t>颗粒包装机</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eastAsia="zh-CN"/>
                    </w:rPr>
                  </w:pPr>
                  <w:r>
                    <w:rPr>
                      <w:rFonts w:hint="eastAsia" w:ascii="Times New Roman" w:hAnsi="Times New Roman" w:eastAsia="宋体" w:cs="Times New Roman"/>
                      <w:b w:val="0"/>
                      <w:bCs/>
                      <w:u w:val="none"/>
                      <w:lang w:val="en-US" w:eastAsia="zh-CN"/>
                    </w:rPr>
                    <w:t>DSC3022</w:t>
                  </w:r>
                </w:p>
              </w:tc>
              <w:tc>
                <w:tcPr>
                  <w:tcW w:w="1011" w:type="pct"/>
                  <w:tcBorders>
                    <w:tl2br w:val="nil"/>
                    <w:tr2bl w:val="nil"/>
                  </w:tcBorders>
                  <w:vAlign w:val="center"/>
                </w:tcPr>
                <w:p>
                  <w:pPr>
                    <w:pStyle w:val="26"/>
                    <w:rPr>
                      <w:rFonts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1</w:t>
                  </w:r>
                  <w:r>
                    <w:rPr>
                      <w:rFonts w:hint="eastAsia" w:ascii="Times New Roman" w:hAnsi="Times New Roman" w:eastAsia="宋体" w:cs="Times New Roman"/>
                      <w:b w:val="0"/>
                      <w:bCs/>
                      <w:u w:val="none"/>
                    </w:rPr>
                    <w:t>台</w:t>
                  </w:r>
                </w:p>
              </w:tc>
              <w:tc>
                <w:tcPr>
                  <w:tcW w:w="857" w:type="pct"/>
                  <w:vMerge w:val="continue"/>
                  <w:tcBorders>
                    <w:tl2br w:val="nil"/>
                    <w:tr2bl w:val="nil"/>
                  </w:tcBorders>
                  <w:vAlign w:val="center"/>
                </w:tcPr>
                <w:p>
                  <w:pPr>
                    <w:pStyle w:val="26"/>
                    <w:rPr>
                      <w:b w:val="0"/>
                      <w:bCs/>
                      <w:u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rFonts w:ascii="Times New Roman" w:hAnsi="Times New Roman" w:eastAsia="宋体" w:cs="Times New Roman"/>
                      <w:b w:val="0"/>
                      <w:bCs/>
                      <w:kern w:val="2"/>
                      <w:sz w:val="21"/>
                      <w:szCs w:val="21"/>
                      <w:u w:val="none"/>
                      <w:lang w:val="en-US" w:eastAsia="zh-CN" w:bidi="ar-SA"/>
                    </w:rPr>
                  </w:pPr>
                  <w:r>
                    <w:rPr>
                      <w:rFonts w:hint="eastAsia"/>
                      <w:b w:val="0"/>
                      <w:bCs/>
                      <w:u w:val="none"/>
                      <w:lang w:val="en-US" w:eastAsia="zh-CN"/>
                    </w:rPr>
                    <w:t>7</w:t>
                  </w:r>
                </w:p>
              </w:tc>
              <w:tc>
                <w:tcPr>
                  <w:tcW w:w="1642" w:type="pct"/>
                  <w:tcBorders>
                    <w:tl2br w:val="nil"/>
                    <w:tr2bl w:val="nil"/>
                  </w:tcBorders>
                  <w:vAlign w:val="center"/>
                </w:tcPr>
                <w:p>
                  <w:pPr>
                    <w:pStyle w:val="26"/>
                    <w:rPr>
                      <w:rFonts w:hint="eastAsia" w:ascii="Times New Roman" w:hAnsi="Times New Roman" w:eastAsia="宋体" w:cs="Times New Roman"/>
                      <w:b w:val="0"/>
                      <w:bCs/>
                      <w:u w:val="none"/>
                    </w:rPr>
                  </w:pPr>
                  <w:r>
                    <w:rPr>
                      <w:rFonts w:hint="eastAsia" w:ascii="Times New Roman" w:hAnsi="Times New Roman" w:eastAsia="宋体" w:cs="Times New Roman"/>
                      <w:b w:val="0"/>
                      <w:bCs/>
                      <w:u w:val="none"/>
                      <w:lang w:eastAsia="zh-CN"/>
                    </w:rPr>
                    <w:t>粉剂包装机</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eastAsia="zh-CN"/>
                    </w:rPr>
                  </w:pPr>
                  <w:r>
                    <w:rPr>
                      <w:rFonts w:hint="eastAsia" w:ascii="Times New Roman" w:hAnsi="Times New Roman" w:eastAsia="宋体" w:cs="Times New Roman"/>
                      <w:b w:val="0"/>
                      <w:bCs/>
                      <w:u w:val="none"/>
                      <w:lang w:val="en-US" w:eastAsia="zh-CN"/>
                    </w:rPr>
                    <w:t>JJF1070</w:t>
                  </w:r>
                </w:p>
              </w:tc>
              <w:tc>
                <w:tcPr>
                  <w:tcW w:w="1011" w:type="pct"/>
                  <w:tcBorders>
                    <w:tl2br w:val="nil"/>
                    <w:tr2bl w:val="nil"/>
                  </w:tcBorders>
                  <w:vAlign w:val="center"/>
                </w:tcPr>
                <w:p>
                  <w:pPr>
                    <w:pStyle w:val="26"/>
                    <w:rPr>
                      <w:rFonts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1</w:t>
                  </w:r>
                  <w:r>
                    <w:rPr>
                      <w:rFonts w:hint="eastAsia" w:ascii="Times New Roman" w:hAnsi="Times New Roman" w:eastAsia="宋体" w:cs="Times New Roman"/>
                      <w:b w:val="0"/>
                      <w:bCs/>
                      <w:u w:val="none"/>
                    </w:rPr>
                    <w:t>台</w:t>
                  </w:r>
                </w:p>
              </w:tc>
              <w:tc>
                <w:tcPr>
                  <w:tcW w:w="857" w:type="pct"/>
                  <w:vMerge w:val="continue"/>
                  <w:tcBorders>
                    <w:tl2br w:val="nil"/>
                    <w:tr2bl w:val="nil"/>
                  </w:tcBorders>
                  <w:vAlign w:val="center"/>
                </w:tcPr>
                <w:p>
                  <w:pPr>
                    <w:pStyle w:val="26"/>
                    <w:rPr>
                      <w:b w:val="0"/>
                      <w:bCs/>
                      <w:u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612" w:type="pct"/>
                  <w:tcBorders>
                    <w:tl2br w:val="nil"/>
                    <w:tr2bl w:val="nil"/>
                  </w:tcBorders>
                  <w:vAlign w:val="center"/>
                </w:tcPr>
                <w:p>
                  <w:pPr>
                    <w:pStyle w:val="26"/>
                    <w:rPr>
                      <w:rFonts w:hint="eastAsia" w:eastAsia="宋体"/>
                      <w:b w:val="0"/>
                      <w:bCs/>
                      <w:u w:val="none"/>
                      <w:lang w:val="en-US" w:eastAsia="zh-CN"/>
                    </w:rPr>
                  </w:pPr>
                  <w:r>
                    <w:rPr>
                      <w:rFonts w:hint="eastAsia"/>
                      <w:b w:val="0"/>
                      <w:bCs/>
                      <w:u w:val="none"/>
                      <w:lang w:val="en-US" w:eastAsia="zh-CN"/>
                    </w:rPr>
                    <w:t>8</w:t>
                  </w:r>
                </w:p>
              </w:tc>
              <w:tc>
                <w:tcPr>
                  <w:tcW w:w="1642" w:type="pct"/>
                  <w:tcBorders>
                    <w:tl2br w:val="nil"/>
                    <w:tr2bl w:val="nil"/>
                  </w:tcBorders>
                  <w:vAlign w:val="center"/>
                </w:tcPr>
                <w:p>
                  <w:pPr>
                    <w:pStyle w:val="26"/>
                    <w:rPr>
                      <w:rFonts w:hint="eastAsia"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热风炉</w:t>
                  </w:r>
                </w:p>
              </w:tc>
              <w:tc>
                <w:tcPr>
                  <w:tcW w:w="875" w:type="pct"/>
                  <w:tcBorders>
                    <w:tl2br w:val="nil"/>
                    <w:tr2bl w:val="nil"/>
                  </w:tcBorders>
                  <w:vAlign w:val="center"/>
                </w:tcPr>
                <w:p>
                  <w:pPr>
                    <w:pStyle w:val="26"/>
                    <w:rPr>
                      <w:rFonts w:hint="eastAsia" w:ascii="Times New Roman" w:hAnsi="Times New Roman" w:eastAsia="宋体" w:cs="Times New Roman"/>
                      <w:b w:val="0"/>
                      <w:bCs/>
                      <w:u w:val="none"/>
                      <w:lang w:eastAsia="zh-CN"/>
                    </w:rPr>
                  </w:pPr>
                  <w:r>
                    <w:rPr>
                      <w:rFonts w:hint="eastAsia" w:ascii="Times New Roman" w:hAnsi="Times New Roman" w:eastAsia="宋体" w:cs="Times New Roman"/>
                      <w:b w:val="0"/>
                      <w:bCs/>
                      <w:u w:val="none"/>
                      <w:lang w:val="en-US" w:eastAsia="zh-CN"/>
                    </w:rPr>
                    <w:t>60万大卡</w:t>
                  </w:r>
                </w:p>
              </w:tc>
              <w:tc>
                <w:tcPr>
                  <w:tcW w:w="1011" w:type="pct"/>
                  <w:tcBorders>
                    <w:tl2br w:val="nil"/>
                    <w:tr2bl w:val="nil"/>
                  </w:tcBorders>
                  <w:vAlign w:val="center"/>
                </w:tcPr>
                <w:p>
                  <w:pPr>
                    <w:pStyle w:val="26"/>
                    <w:rPr>
                      <w:rFonts w:ascii="Times New Roman" w:hAnsi="Times New Roman" w:eastAsia="宋体" w:cs="Times New Roman"/>
                      <w:b w:val="0"/>
                      <w:bCs/>
                      <w:u w:val="none"/>
                    </w:rPr>
                  </w:pPr>
                  <w:r>
                    <w:rPr>
                      <w:rFonts w:hint="eastAsia" w:ascii="Times New Roman" w:hAnsi="Times New Roman" w:eastAsia="宋体" w:cs="Times New Roman"/>
                      <w:b w:val="0"/>
                      <w:bCs/>
                      <w:u w:val="none"/>
                      <w:lang w:val="en-US" w:eastAsia="zh-CN"/>
                    </w:rPr>
                    <w:t>1</w:t>
                  </w:r>
                  <w:r>
                    <w:rPr>
                      <w:rFonts w:hint="eastAsia" w:ascii="Times New Roman" w:hAnsi="Times New Roman" w:eastAsia="宋体" w:cs="Times New Roman"/>
                      <w:b w:val="0"/>
                      <w:bCs/>
                      <w:u w:val="none"/>
                    </w:rPr>
                    <w:t>台</w:t>
                  </w:r>
                </w:p>
              </w:tc>
              <w:tc>
                <w:tcPr>
                  <w:tcW w:w="857" w:type="pct"/>
                  <w:vMerge w:val="continue"/>
                  <w:tcBorders>
                    <w:tl2br w:val="nil"/>
                    <w:tr2bl w:val="nil"/>
                  </w:tcBorders>
                  <w:vAlign w:val="center"/>
                </w:tcPr>
                <w:p>
                  <w:pPr>
                    <w:pStyle w:val="26"/>
                    <w:rPr>
                      <w:b w:val="0"/>
                      <w:bCs/>
                      <w:u w:val="none"/>
                    </w:rPr>
                  </w:pPr>
                </w:p>
              </w:tc>
            </w:tr>
          </w:tbl>
          <w:p>
            <w:pPr>
              <w:ind w:firstLine="482"/>
              <w:rPr>
                <w:b/>
                <w:bCs/>
                <w:highlight w:val="none"/>
              </w:rPr>
            </w:pPr>
            <w:r>
              <w:rPr>
                <w:rFonts w:hint="eastAsia"/>
                <w:b/>
                <w:bCs/>
                <w:highlight w:val="none"/>
                <w:lang w:val="en-US" w:eastAsia="zh-CN"/>
              </w:rPr>
              <w:t>7</w:t>
            </w:r>
            <w:r>
              <w:rPr>
                <w:rFonts w:hint="eastAsia"/>
                <w:b/>
                <w:bCs/>
                <w:highlight w:val="none"/>
              </w:rPr>
              <w:t>、给排水、供电</w:t>
            </w:r>
          </w:p>
          <w:p>
            <w:pPr>
              <w:ind w:firstLine="482"/>
              <w:rPr>
                <w:b/>
                <w:bCs/>
                <w:highlight w:val="none"/>
              </w:rPr>
            </w:pPr>
            <w:r>
              <w:rPr>
                <w:rFonts w:hint="eastAsia"/>
                <w:b/>
                <w:bCs/>
                <w:highlight w:val="none"/>
              </w:rPr>
              <w:t>（1）</w:t>
            </w:r>
            <w:r>
              <w:rPr>
                <w:rFonts w:hint="eastAsia"/>
                <w:b/>
                <w:bCs/>
                <w:highlight w:val="none"/>
                <w:lang w:val="en-US" w:eastAsia="zh-CN"/>
              </w:rPr>
              <w:t>给</w:t>
            </w:r>
            <w:r>
              <w:rPr>
                <w:rFonts w:hint="eastAsia"/>
                <w:b/>
                <w:bCs/>
                <w:highlight w:val="none"/>
              </w:rPr>
              <w:t>排水</w:t>
            </w:r>
          </w:p>
          <w:p>
            <w:pPr>
              <w:ind w:firstLine="480"/>
              <w:rPr>
                <w:highlight w:val="none"/>
              </w:rPr>
            </w:pPr>
            <w:r>
              <w:rPr>
                <w:rFonts w:hint="eastAsia"/>
                <w:highlight w:val="none"/>
              </w:rPr>
              <w:t>本项目用水由</w:t>
            </w:r>
            <w:r>
              <w:rPr>
                <w:rFonts w:hint="eastAsia"/>
                <w:highlight w:val="none"/>
                <w:lang w:val="en-US" w:eastAsia="zh-CN"/>
              </w:rPr>
              <w:t>当地自来水管网供给</w:t>
            </w:r>
            <w:r>
              <w:rPr>
                <w:rFonts w:hint="eastAsia"/>
                <w:highlight w:val="none"/>
              </w:rPr>
              <w:t>，</w:t>
            </w:r>
            <w:r>
              <w:rPr>
                <w:rFonts w:hint="eastAsia"/>
                <w:highlight w:val="none"/>
                <w:lang w:val="en-US" w:eastAsia="zh-CN"/>
              </w:rPr>
              <w:t>主要为生产用水和生活用水，可</w:t>
            </w:r>
            <w:r>
              <w:rPr>
                <w:rFonts w:hint="eastAsia"/>
                <w:highlight w:val="none"/>
              </w:rPr>
              <w:t>满足本项目的需要。</w:t>
            </w:r>
          </w:p>
          <w:p>
            <w:pPr>
              <w:ind w:firstLine="480"/>
              <w:rPr>
                <w:rFonts w:hint="default" w:eastAsia="宋体"/>
                <w:highlight w:val="none"/>
                <w:lang w:val="en-US" w:eastAsia="zh-CN"/>
              </w:rPr>
            </w:pPr>
            <w:r>
              <w:rPr>
                <w:rFonts w:hint="eastAsia"/>
                <w:highlight w:val="none"/>
                <w:lang w:val="en-US" w:eastAsia="zh-CN"/>
              </w:rPr>
              <w:t>本项目</w:t>
            </w:r>
            <w:r>
              <w:rPr>
                <w:rFonts w:hint="default" w:ascii="Times New Roman" w:hAnsi="Times New Roman" w:eastAsia="宋体" w:cs="Times New Roman"/>
                <w:color w:val="auto"/>
                <w:sz w:val="24"/>
                <w:szCs w:val="24"/>
                <w:lang w:val="en-US" w:eastAsia="zh-CN"/>
              </w:rPr>
              <w:t>搅拌过程中加入少量的水</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原料与水的比例为100:6</w:t>
            </w:r>
            <w:r>
              <w:rPr>
                <w:rFonts w:hint="eastAsia" w:ascii="Times New Roman" w:hAnsi="Times New Roman" w:eastAsia="宋体" w:cs="Times New Roman"/>
                <w:color w:val="auto"/>
                <w:sz w:val="24"/>
                <w:szCs w:val="24"/>
                <w:lang w:val="en-US" w:eastAsia="zh-CN"/>
              </w:rPr>
              <w:t>，即</w:t>
            </w:r>
            <w:r>
              <w:rPr>
                <w:rFonts w:hint="eastAsia"/>
                <w:highlight w:val="none"/>
                <w:lang w:val="en-US" w:eastAsia="zh-CN"/>
              </w:rPr>
              <w:t>生产用水量约22m</w:t>
            </w:r>
            <w:r>
              <w:rPr>
                <w:rFonts w:hint="eastAsia"/>
                <w:highlight w:val="none"/>
                <w:vertAlign w:val="superscript"/>
                <w:lang w:val="en-US" w:eastAsia="zh-CN"/>
              </w:rPr>
              <w:t>3</w:t>
            </w:r>
            <w:r>
              <w:rPr>
                <w:rFonts w:hint="eastAsia"/>
                <w:highlight w:val="none"/>
                <w:lang w:val="en-US" w:eastAsia="zh-CN"/>
              </w:rPr>
              <w:t>/a，一部分在生产过程中损耗，一部分进入产品，不产生废水。</w:t>
            </w:r>
          </w:p>
          <w:p>
            <w:pPr>
              <w:ind w:firstLine="480"/>
              <w:rPr>
                <w:rFonts w:hint="eastAsia" w:eastAsia="宋体"/>
                <w:color w:val="000000" w:themeColor="text1"/>
                <w:highlight w:val="none"/>
                <w:lang w:eastAsia="zh-CN"/>
                <w14:textFill>
                  <w14:solidFill>
                    <w14:schemeClr w14:val="tx1"/>
                  </w14:solidFill>
                </w14:textFill>
              </w:rPr>
            </w:pPr>
            <w:r>
              <w:rPr>
                <w:rFonts w:hint="eastAsia"/>
                <w:highlight w:val="none"/>
              </w:rPr>
              <w:t>本项目</w:t>
            </w:r>
            <w:r>
              <w:rPr>
                <w:rFonts w:hint="eastAsia"/>
                <w:highlight w:val="none"/>
                <w:lang w:val="en-US" w:eastAsia="zh-CN"/>
              </w:rPr>
              <w:t>劳动定员为6人，均不在厂内食宿，</w:t>
            </w:r>
            <w:r>
              <w:rPr>
                <w:sz w:val="24"/>
              </w:rPr>
              <w:t>参照《</w:t>
            </w:r>
            <w:r>
              <w:rPr>
                <w:rFonts w:hint="eastAsia"/>
                <w:sz w:val="24"/>
              </w:rPr>
              <w:t>工业与城镇生活用水定额</w:t>
            </w:r>
            <w:r>
              <w:rPr>
                <w:sz w:val="24"/>
              </w:rPr>
              <w:t>》（</w:t>
            </w:r>
            <w:r>
              <w:rPr>
                <w:rFonts w:hint="eastAsia"/>
                <w:sz w:val="24"/>
              </w:rPr>
              <w:t>DB41/T385-2020</w:t>
            </w:r>
            <w:r>
              <w:rPr>
                <w:sz w:val="24"/>
              </w:rPr>
              <w:t>），职工生活用水定额按</w:t>
            </w:r>
            <w:r>
              <w:rPr>
                <w:rFonts w:hint="eastAsia"/>
                <w:sz w:val="24"/>
                <w:lang w:val="en-US" w:eastAsia="zh-CN"/>
              </w:rPr>
              <w:t>5</w:t>
            </w:r>
            <w:r>
              <w:rPr>
                <w:sz w:val="24"/>
              </w:rPr>
              <w:t>0L/（人·d）计，本项目职工生活用水量为</w:t>
            </w:r>
            <w:r>
              <w:rPr>
                <w:rFonts w:hint="eastAsia"/>
                <w:sz w:val="24"/>
                <w:lang w:val="en-US" w:eastAsia="zh-CN"/>
              </w:rPr>
              <w:t>0.3</w:t>
            </w:r>
            <w:r>
              <w:rPr>
                <w:sz w:val="24"/>
              </w:rPr>
              <w:t>m</w:t>
            </w:r>
            <w:r>
              <w:rPr>
                <w:sz w:val="24"/>
                <w:vertAlign w:val="superscript"/>
              </w:rPr>
              <w:t>3</w:t>
            </w:r>
            <w:r>
              <w:rPr>
                <w:sz w:val="24"/>
              </w:rPr>
              <w:t>/d，</w:t>
            </w:r>
            <w:r>
              <w:rPr>
                <w:rFonts w:hint="eastAsia"/>
                <w:sz w:val="24"/>
                <w:lang w:val="en-US" w:eastAsia="zh-CN"/>
              </w:rPr>
              <w:t>9</w:t>
            </w:r>
            <w:r>
              <w:rPr>
                <w:sz w:val="24"/>
              </w:rPr>
              <w:t>0m</w:t>
            </w:r>
            <w:r>
              <w:rPr>
                <w:sz w:val="24"/>
                <w:vertAlign w:val="superscript"/>
              </w:rPr>
              <w:t>3</w:t>
            </w:r>
            <w:r>
              <w:rPr>
                <w:sz w:val="24"/>
              </w:rPr>
              <w:t>/a</w:t>
            </w:r>
            <w:r>
              <w:rPr>
                <w:rFonts w:hint="eastAsia"/>
                <w:sz w:val="24"/>
              </w:rPr>
              <w:t>。</w:t>
            </w:r>
            <w:r>
              <w:rPr>
                <w:rFonts w:hint="eastAsia"/>
                <w:sz w:val="24"/>
                <w:lang w:val="en-US" w:eastAsia="zh-CN"/>
              </w:rPr>
              <w:t>生活污水产生量按用水量的80%计，</w:t>
            </w:r>
            <w:r>
              <w:rPr>
                <w:rFonts w:hint="eastAsia"/>
                <w:highlight w:val="none"/>
              </w:rPr>
              <w:t>生活污水</w:t>
            </w:r>
            <w:r>
              <w:rPr>
                <w:rFonts w:hint="eastAsia"/>
                <w:highlight w:val="none"/>
                <w:lang w:val="en-US" w:eastAsia="zh-CN"/>
              </w:rPr>
              <w:t>产生量为</w:t>
            </w:r>
            <w:r>
              <w:rPr>
                <w:rFonts w:hint="eastAsia"/>
                <w:sz w:val="24"/>
                <w:lang w:val="en-US" w:eastAsia="zh-CN"/>
              </w:rPr>
              <w:t>0.24</w:t>
            </w:r>
            <w:r>
              <w:rPr>
                <w:sz w:val="24"/>
              </w:rPr>
              <w:t>m</w:t>
            </w:r>
            <w:r>
              <w:rPr>
                <w:sz w:val="24"/>
                <w:vertAlign w:val="superscript"/>
              </w:rPr>
              <w:t>3</w:t>
            </w:r>
            <w:r>
              <w:rPr>
                <w:sz w:val="24"/>
              </w:rPr>
              <w:t>/d，</w:t>
            </w:r>
            <w:r>
              <w:rPr>
                <w:rFonts w:hint="eastAsia"/>
                <w:sz w:val="24"/>
                <w:lang w:val="en-US" w:eastAsia="zh-CN"/>
              </w:rPr>
              <w:t>72</w:t>
            </w:r>
            <w:r>
              <w:rPr>
                <w:sz w:val="24"/>
              </w:rPr>
              <w:t>m</w:t>
            </w:r>
            <w:r>
              <w:rPr>
                <w:sz w:val="24"/>
                <w:vertAlign w:val="superscript"/>
              </w:rPr>
              <w:t>3</w:t>
            </w:r>
            <w:r>
              <w:rPr>
                <w:sz w:val="24"/>
              </w:rPr>
              <w:t>/a</w:t>
            </w:r>
            <w:r>
              <w:rPr>
                <w:rFonts w:hint="eastAsia"/>
                <w:sz w:val="24"/>
              </w:rPr>
              <w:t>。</w:t>
            </w:r>
            <w:r>
              <w:rPr>
                <w:rFonts w:hint="eastAsia"/>
                <w:highlight w:val="none"/>
              </w:rPr>
              <w:t>经</w:t>
            </w:r>
            <w:r>
              <w:rPr>
                <w:rFonts w:hint="eastAsia"/>
                <w:highlight w:val="none"/>
                <w:lang w:val="en-US" w:eastAsia="zh-CN"/>
              </w:rPr>
              <w:t>厂区设置的</w:t>
            </w:r>
            <w:r>
              <w:rPr>
                <w:rFonts w:hint="eastAsia"/>
                <w:highlight w:val="none"/>
              </w:rPr>
              <w:t>化粪池处理后</w:t>
            </w:r>
            <w:r>
              <w:rPr>
                <w:rFonts w:hint="eastAsia"/>
                <w:highlight w:val="none"/>
                <w:lang w:eastAsia="zh-CN"/>
              </w:rPr>
              <w:t>，</w:t>
            </w:r>
            <w:r>
              <w:rPr>
                <w:rFonts w:hint="eastAsia"/>
                <w:highlight w:val="none"/>
                <w:lang w:val="en-US" w:eastAsia="zh-CN"/>
              </w:rPr>
              <w:t>定期清掏肥田。</w:t>
            </w:r>
          </w:p>
          <w:p>
            <w:pPr>
              <w:ind w:firstLine="482"/>
              <w:rPr>
                <w:b/>
                <w:bCs/>
                <w:highlight w:val="none"/>
              </w:rPr>
            </w:pPr>
            <w:r>
              <w:rPr>
                <w:rFonts w:hint="eastAsia"/>
                <w:b/>
                <w:bCs/>
                <w:highlight w:val="none"/>
              </w:rPr>
              <w:t>（</w:t>
            </w:r>
            <w:r>
              <w:rPr>
                <w:b/>
                <w:bCs/>
                <w:highlight w:val="none"/>
              </w:rPr>
              <w:t>2</w:t>
            </w:r>
            <w:r>
              <w:rPr>
                <w:rFonts w:hint="eastAsia"/>
                <w:b/>
                <w:bCs/>
                <w:highlight w:val="none"/>
              </w:rPr>
              <w:t>）供电</w:t>
            </w:r>
          </w:p>
          <w:p>
            <w:pPr>
              <w:ind w:firstLine="480"/>
              <w:rPr>
                <w:highlight w:val="none"/>
              </w:rPr>
            </w:pPr>
            <w:r>
              <w:rPr>
                <w:rFonts w:hint="eastAsia"/>
                <w:highlight w:val="none"/>
              </w:rPr>
              <w:t>本项目用电主要为生产设备用电，用电量为</w:t>
            </w:r>
            <w:r>
              <w:rPr>
                <w:rFonts w:hint="eastAsia"/>
                <w:highlight w:val="none"/>
                <w:lang w:val="en-US" w:eastAsia="zh-CN"/>
              </w:rPr>
              <w:t>100</w:t>
            </w:r>
            <w:r>
              <w:rPr>
                <w:rFonts w:hint="eastAsia"/>
                <w:highlight w:val="none"/>
              </w:rPr>
              <w:t>万kW·h/a，由</w:t>
            </w:r>
            <w:r>
              <w:rPr>
                <w:rFonts w:hint="eastAsia"/>
                <w:highlight w:val="none"/>
                <w:lang w:val="en-US" w:eastAsia="zh-CN"/>
              </w:rPr>
              <w:t>当地电网</w:t>
            </w:r>
            <w:r>
              <w:rPr>
                <w:rFonts w:hint="eastAsia"/>
                <w:highlight w:val="none"/>
              </w:rPr>
              <w:t>供电，可以满足本项目需求。</w:t>
            </w:r>
          </w:p>
          <w:p>
            <w:pPr>
              <w:ind w:firstLine="482"/>
              <w:rPr>
                <w:b/>
                <w:bCs/>
                <w:highlight w:val="none"/>
              </w:rPr>
            </w:pPr>
            <w:r>
              <w:rPr>
                <w:rFonts w:hint="eastAsia"/>
                <w:b/>
                <w:bCs/>
                <w:highlight w:val="none"/>
                <w:lang w:val="en-US" w:eastAsia="zh-CN"/>
              </w:rPr>
              <w:t>8</w:t>
            </w:r>
            <w:r>
              <w:rPr>
                <w:rFonts w:hint="eastAsia"/>
                <w:b/>
                <w:bCs/>
                <w:highlight w:val="none"/>
              </w:rPr>
              <w:t>、劳动定员与工作制度</w:t>
            </w:r>
          </w:p>
          <w:p>
            <w:pPr>
              <w:ind w:firstLine="480"/>
              <w:rPr>
                <w:highlight w:val="none"/>
              </w:rPr>
            </w:pPr>
            <w:r>
              <w:rPr>
                <w:rFonts w:hint="eastAsia"/>
                <w:highlight w:val="none"/>
              </w:rPr>
              <w:t>本项目劳动定员为</w:t>
            </w:r>
            <w:r>
              <w:rPr>
                <w:rFonts w:hint="eastAsia"/>
                <w:highlight w:val="none"/>
                <w:lang w:val="en-US" w:eastAsia="zh-CN"/>
              </w:rPr>
              <w:t>6</w:t>
            </w:r>
            <w:r>
              <w:rPr>
                <w:rFonts w:hint="eastAsia"/>
                <w:highlight w:val="none"/>
              </w:rPr>
              <w:t>人</w:t>
            </w:r>
            <w:r>
              <w:rPr>
                <w:rFonts w:hint="eastAsia"/>
                <w:highlight w:val="none"/>
                <w:lang w:eastAsia="zh-CN"/>
              </w:rPr>
              <w:t>，</w:t>
            </w:r>
            <w:r>
              <w:rPr>
                <w:rFonts w:hint="eastAsia"/>
                <w:highlight w:val="none"/>
              </w:rPr>
              <w:t>年生产</w:t>
            </w:r>
            <w:r>
              <w:rPr>
                <w:rFonts w:hint="eastAsia"/>
                <w:highlight w:val="none"/>
                <w:lang w:val="en-US" w:eastAsia="zh-CN"/>
              </w:rPr>
              <w:t>300</w:t>
            </w:r>
            <w:r>
              <w:rPr>
                <w:rFonts w:hint="eastAsia"/>
                <w:highlight w:val="none"/>
              </w:rPr>
              <w:t>天，一班制，每班8小时。</w:t>
            </w:r>
          </w:p>
          <w:p>
            <w:pPr>
              <w:ind w:firstLine="482"/>
              <w:rPr>
                <w:b/>
                <w:bCs/>
                <w:highlight w:val="none"/>
              </w:rPr>
            </w:pPr>
            <w:r>
              <w:rPr>
                <w:rFonts w:hint="eastAsia"/>
                <w:b/>
                <w:bCs/>
                <w:highlight w:val="none"/>
                <w:lang w:val="en-US" w:eastAsia="zh-CN"/>
              </w:rPr>
              <w:t>9</w:t>
            </w:r>
            <w:r>
              <w:rPr>
                <w:rFonts w:hint="eastAsia"/>
                <w:b/>
                <w:bCs/>
                <w:highlight w:val="none"/>
              </w:rPr>
              <w:t>、项目总图布置合理性分析</w:t>
            </w:r>
          </w:p>
          <w:p>
            <w:pPr>
              <w:ind w:firstLine="482"/>
              <w:rPr>
                <w:rFonts w:hint="eastAsia"/>
                <w:b w:val="0"/>
                <w:bCs/>
                <w:highlight w:val="none"/>
                <w:u w:val="none"/>
                <w:lang w:eastAsia="zh-CN"/>
              </w:rPr>
            </w:pPr>
            <w:r>
              <w:rPr>
                <w:rFonts w:hint="eastAsia"/>
                <w:b w:val="0"/>
                <w:bCs/>
                <w:highlight w:val="none"/>
                <w:u w:val="none"/>
              </w:rPr>
              <w:t>本项目主要建筑为生产厂房和办公楼。办公楼位于生产厂房的</w:t>
            </w:r>
            <w:r>
              <w:rPr>
                <w:rFonts w:hint="eastAsia"/>
                <w:b w:val="0"/>
                <w:bCs/>
                <w:highlight w:val="none"/>
                <w:u w:val="none"/>
                <w:lang w:val="en-US" w:eastAsia="zh-CN"/>
              </w:rPr>
              <w:t>西</w:t>
            </w:r>
            <w:r>
              <w:rPr>
                <w:rFonts w:hint="eastAsia"/>
                <w:b w:val="0"/>
                <w:bCs/>
                <w:highlight w:val="none"/>
                <w:u w:val="none"/>
              </w:rPr>
              <w:t>侧紧邻</w:t>
            </w:r>
            <w:r>
              <w:rPr>
                <w:rFonts w:hint="eastAsia"/>
                <w:b w:val="0"/>
                <w:bCs/>
                <w:highlight w:val="none"/>
                <w:u w:val="none"/>
                <w:lang w:val="en-US" w:eastAsia="zh-CN"/>
              </w:rPr>
              <w:t>西</w:t>
            </w:r>
            <w:r>
              <w:rPr>
                <w:rFonts w:hint="eastAsia"/>
                <w:b w:val="0"/>
                <w:bCs/>
                <w:highlight w:val="none"/>
                <w:u w:val="none"/>
              </w:rPr>
              <w:t>厂界，办公楼</w:t>
            </w:r>
            <w:r>
              <w:rPr>
                <w:rFonts w:hint="eastAsia"/>
                <w:b w:val="0"/>
                <w:bCs/>
                <w:highlight w:val="none"/>
                <w:u w:val="none"/>
                <w:lang w:val="en-US" w:eastAsia="zh-CN"/>
              </w:rPr>
              <w:t>东</w:t>
            </w:r>
            <w:r>
              <w:rPr>
                <w:rFonts w:hint="eastAsia"/>
                <w:b w:val="0"/>
                <w:bCs/>
                <w:highlight w:val="none"/>
                <w:u w:val="none"/>
              </w:rPr>
              <w:t>侧为生产车间，</w:t>
            </w:r>
            <w:r>
              <w:rPr>
                <w:rFonts w:hint="eastAsia"/>
                <w:b w:val="0"/>
                <w:bCs/>
                <w:highlight w:val="none"/>
                <w:u w:val="none"/>
                <w:lang w:val="en-US" w:eastAsia="zh-CN"/>
              </w:rPr>
              <w:t>生产车间东侧为仓库</w:t>
            </w:r>
            <w:r>
              <w:rPr>
                <w:rFonts w:hint="eastAsia"/>
                <w:b w:val="0"/>
                <w:bCs/>
                <w:highlight w:val="none"/>
                <w:u w:val="none"/>
              </w:rPr>
              <w:t>。项目建设有储运通道，保证产品和原料能够顺利进出</w:t>
            </w:r>
            <w:r>
              <w:rPr>
                <w:rFonts w:hint="eastAsia"/>
                <w:b w:val="0"/>
                <w:bCs/>
                <w:highlight w:val="none"/>
                <w:u w:val="none"/>
                <w:lang w:val="en-US" w:eastAsia="zh-CN"/>
              </w:rPr>
              <w:t>厂区</w:t>
            </w:r>
            <w:r>
              <w:rPr>
                <w:rFonts w:hint="eastAsia"/>
                <w:b w:val="0"/>
                <w:bCs/>
                <w:highlight w:val="none"/>
                <w:u w:val="none"/>
              </w:rPr>
              <w:t>。</w:t>
            </w:r>
            <w:r>
              <w:rPr>
                <w:rFonts w:hint="eastAsia"/>
                <w:highlight w:val="none"/>
              </w:rPr>
              <w:t>本项目平面布局紧凑，既有分隔又有联系，各生产工序走势流畅，互不干扰，平面布局较合理。</w:t>
            </w:r>
            <w:r>
              <w:rPr>
                <w:rFonts w:hint="eastAsia"/>
                <w:b w:val="0"/>
                <w:bCs/>
                <w:highlight w:val="none"/>
                <w:u w:val="none"/>
              </w:rPr>
              <w:t>厂区平面布置图见附图三</w:t>
            </w:r>
            <w:r>
              <w:rPr>
                <w:rFonts w:hint="eastAsia"/>
                <w:b w:val="0"/>
                <w:bCs/>
                <w:highlight w:val="none"/>
                <w:u w:val="none"/>
                <w:lang w:eastAsia="zh-CN"/>
              </w:rPr>
              <w:t>。</w:t>
            </w:r>
          </w:p>
          <w:p>
            <w:pPr>
              <w:ind w:firstLine="482"/>
              <w:rPr>
                <w:rFonts w:hint="default"/>
                <w:b/>
                <w:bCs/>
                <w:highlight w:val="none"/>
                <w:lang w:val="en-US" w:eastAsia="zh-CN"/>
              </w:rPr>
            </w:pPr>
            <w:r>
              <w:rPr>
                <w:rFonts w:hint="eastAsia"/>
                <w:b/>
                <w:bCs/>
                <w:highlight w:val="none"/>
                <w:lang w:val="en-US" w:eastAsia="zh-CN"/>
              </w:rPr>
              <w:t>10、备案相符性分析</w:t>
            </w:r>
          </w:p>
          <w:p>
            <w:pPr>
              <w:pStyle w:val="6"/>
              <w:adjustRightInd w:val="0"/>
              <w:snapToGrid w:val="0"/>
              <w:ind w:firstLine="0" w:firstLineChars="0"/>
              <w:jc w:val="center"/>
              <w:rPr>
                <w:b/>
                <w:color w:val="000000"/>
                <w:sz w:val="24"/>
              </w:rPr>
            </w:pPr>
            <w:r>
              <w:rPr>
                <w:b/>
                <w:color w:val="000000"/>
                <w:sz w:val="24"/>
              </w:rPr>
              <w:t>表</w:t>
            </w:r>
            <w:r>
              <w:rPr>
                <w:rFonts w:hint="eastAsia"/>
                <w:b/>
                <w:color w:val="000000"/>
                <w:sz w:val="24"/>
                <w:lang w:val="en-US" w:eastAsia="zh-CN"/>
              </w:rPr>
              <w:t>2-5</w:t>
            </w:r>
            <w:r>
              <w:rPr>
                <w:b/>
                <w:color w:val="000000"/>
                <w:sz w:val="24"/>
              </w:rPr>
              <w:t xml:space="preserve">    项目备案相符性分析一览表</w:t>
            </w:r>
          </w:p>
          <w:tbl>
            <w:tblPr>
              <w:tblStyle w:val="21"/>
              <w:tblW w:w="8758"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133"/>
              <w:gridCol w:w="3058"/>
              <w:gridCol w:w="2993"/>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22" w:type="dxa"/>
                  <w:tcBorders>
                    <w:left w:val="single" w:color="auto" w:sz="0"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产品</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类别</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发改委备案内容</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实际拟建内容</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项目名称</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lang w:val="en-US"/>
                    </w:rPr>
                  </w:pPr>
                  <w:r>
                    <w:rPr>
                      <w:rFonts w:hint="eastAsia"/>
                      <w:color w:val="000000"/>
                      <w:sz w:val="21"/>
                      <w:szCs w:val="21"/>
                      <w:lang w:val="en-US" w:eastAsia="zh-CN"/>
                    </w:rPr>
                    <w:t>河南省佼佼者食品有限公司扶贫车间建设项目</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eastAsia"/>
                      <w:color w:val="000000"/>
                      <w:sz w:val="21"/>
                      <w:szCs w:val="21"/>
                      <w:lang w:val="en-US" w:eastAsia="zh-CN"/>
                    </w:rPr>
                    <w:t>河南省佼佼者食品有限公司扶贫车间建设项目</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建设单位</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eastAsia="zh-CN"/>
                    </w:rPr>
                  </w:pPr>
                  <w:r>
                    <w:rPr>
                      <w:rFonts w:hint="eastAsia"/>
                      <w:color w:val="000000"/>
                      <w:sz w:val="21"/>
                      <w:szCs w:val="21"/>
                      <w:lang w:val="en-US" w:eastAsia="zh-CN"/>
                    </w:rPr>
                    <w:t>河南省佼佼者食品有限公司</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eastAsia"/>
                      <w:color w:val="000000"/>
                      <w:sz w:val="21"/>
                      <w:szCs w:val="21"/>
                      <w:lang w:val="en-US" w:eastAsia="zh-CN"/>
                    </w:rPr>
                    <w:t>河南省佼佼者食品有限公司</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建设地点</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val="en-US" w:eastAsia="zh-CN"/>
                    </w:rPr>
                  </w:pPr>
                  <w:r>
                    <w:rPr>
                      <w:rFonts w:hint="eastAsia"/>
                      <w:color w:val="000000"/>
                      <w:sz w:val="21"/>
                      <w:szCs w:val="21"/>
                    </w:rPr>
                    <w:t>平顶山市鲁山县</w:t>
                  </w:r>
                  <w:r>
                    <w:rPr>
                      <w:rFonts w:hint="eastAsia"/>
                      <w:color w:val="000000"/>
                      <w:sz w:val="21"/>
                      <w:szCs w:val="21"/>
                      <w:lang w:val="en-US" w:eastAsia="zh-CN"/>
                    </w:rPr>
                    <w:t>张良镇福林村</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eastAsia"/>
                      <w:color w:val="000000"/>
                      <w:sz w:val="21"/>
                      <w:szCs w:val="21"/>
                    </w:rPr>
                    <w:t>平顶山市鲁山县</w:t>
                  </w:r>
                  <w:r>
                    <w:rPr>
                      <w:rFonts w:hint="eastAsia"/>
                      <w:color w:val="000000"/>
                      <w:sz w:val="21"/>
                      <w:szCs w:val="21"/>
                      <w:lang w:val="en-US" w:eastAsia="zh-CN"/>
                    </w:rPr>
                    <w:t>张良镇福林村</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kern w:val="2"/>
                      <w:sz w:val="21"/>
                      <w:szCs w:val="21"/>
                      <w:lang w:val="en-US" w:eastAsia="zh-CN" w:bidi="ar-SA"/>
                    </w:rPr>
                  </w:pPr>
                  <w:r>
                    <w:rPr>
                      <w:rFonts w:hint="default" w:ascii="Times New Roman" w:hAnsi="Times New Roman" w:cs="Times New Roman"/>
                      <w:bCs/>
                      <w:color w:val="000000"/>
                      <w:sz w:val="21"/>
                      <w:szCs w:val="21"/>
                    </w:rPr>
                    <w:t>4</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eastAsia="zh-CN"/>
                    </w:rPr>
                  </w:pPr>
                  <w:r>
                    <w:rPr>
                      <w:rFonts w:hint="default" w:ascii="Times New Roman" w:hAnsi="Times New Roman" w:cs="Times New Roman"/>
                      <w:bCs/>
                      <w:color w:val="000000"/>
                      <w:sz w:val="21"/>
                      <w:szCs w:val="21"/>
                      <w:lang w:eastAsia="zh-CN"/>
                    </w:rPr>
                    <w:t>建设内容</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计划用地1600平方米，新建钢构扶贫车间三座，其中仓库两座共1056平方米(每座528平方米)，生产车间一座528平方米，建筑总面积1584平方米，同时建设调味品生产线1条，并配套建设消防设施和水电线路。</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000000"/>
                      <w:sz w:val="21"/>
                      <w:szCs w:val="21"/>
                      <w:lang w:val="en-US"/>
                    </w:rPr>
                  </w:pPr>
                  <w:r>
                    <w:rPr>
                      <w:rFonts w:hint="eastAsia" w:cs="Times New Roman"/>
                      <w:color w:val="000000"/>
                      <w:sz w:val="21"/>
                      <w:szCs w:val="21"/>
                      <w:lang w:val="en-US" w:eastAsia="zh-CN"/>
                    </w:rPr>
                    <w:t>租赁</w:t>
                  </w:r>
                  <w:r>
                    <w:rPr>
                      <w:rFonts w:hint="default" w:ascii="Times New Roman" w:hAnsi="Times New Roman" w:eastAsia="宋体" w:cs="Times New Roman"/>
                      <w:color w:val="000000"/>
                      <w:sz w:val="21"/>
                      <w:szCs w:val="21"/>
                      <w:lang w:val="en-US" w:eastAsia="zh-CN"/>
                    </w:rPr>
                    <w:t>钢构扶贫车间三座</w:t>
                  </w:r>
                  <w:r>
                    <w:rPr>
                      <w:rFonts w:hint="eastAsia" w:cs="Times New Roman"/>
                      <w:color w:val="000000"/>
                      <w:sz w:val="21"/>
                      <w:szCs w:val="21"/>
                      <w:lang w:val="en-US" w:eastAsia="zh-CN"/>
                    </w:rPr>
                    <w:t>和一座办公室</w:t>
                  </w:r>
                  <w:r>
                    <w:rPr>
                      <w:rFonts w:hint="default" w:ascii="Times New Roman" w:hAnsi="Times New Roman" w:eastAsia="宋体" w:cs="Times New Roman"/>
                      <w:color w:val="000000"/>
                      <w:sz w:val="21"/>
                      <w:szCs w:val="21"/>
                      <w:lang w:val="en-US" w:eastAsia="zh-CN"/>
                    </w:rPr>
                    <w:t>，其中仓库两座共1056平方米(每座528平方米)，生产车间一座528平方米，同时建设调味品生产线1条，并配套建设消防设施和水电线路。</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eastAsia="zh-CN"/>
                    </w:rPr>
                  </w:pPr>
                  <w:r>
                    <w:rPr>
                      <w:rFonts w:hint="eastAsia" w:cs="Times New Roman"/>
                      <w:bCs/>
                      <w:color w:val="000000"/>
                      <w:sz w:val="21"/>
                      <w:szCs w:val="21"/>
                      <w:lang w:val="en-US" w:eastAsia="zh-CN"/>
                    </w:rPr>
                    <w:t>根据生产需要进行了优化调整，基本</w:t>
                  </w:r>
                  <w:r>
                    <w:rPr>
                      <w:rFonts w:hint="default" w:ascii="Times New Roman" w:hAnsi="Times New Roman" w:cs="Times New Roman"/>
                      <w:bCs/>
                      <w:color w:val="000000"/>
                      <w:sz w:val="21"/>
                      <w:szCs w:val="21"/>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kern w:val="2"/>
                      <w:sz w:val="21"/>
                      <w:szCs w:val="21"/>
                      <w:lang w:val="en-US" w:eastAsia="zh-CN" w:bidi="ar-SA"/>
                    </w:rPr>
                  </w:pPr>
                  <w:r>
                    <w:rPr>
                      <w:rFonts w:hint="default" w:ascii="Times New Roman" w:hAnsi="Times New Roman" w:cs="Times New Roman"/>
                      <w:bCs/>
                      <w:color w:val="000000"/>
                      <w:sz w:val="21"/>
                      <w:szCs w:val="21"/>
                    </w:rPr>
                    <w:t>5</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主要生产设备</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val="en-US" w:eastAsia="zh-CN"/>
                    </w:rPr>
                  </w:pPr>
                  <w:r>
                    <w:rPr>
                      <w:rFonts w:hint="eastAsia" w:ascii="Times New Roman" w:hAnsi="Times New Roman" w:cs="Times New Roman"/>
                      <w:bCs/>
                      <w:color w:val="000000"/>
                      <w:sz w:val="21"/>
                      <w:szCs w:val="21"/>
                      <w:lang w:val="en-US" w:eastAsia="zh-CN"/>
                    </w:rPr>
                    <w:t>粉碎机、混合机、制粒机、</w:t>
                  </w:r>
                  <w:r>
                    <w:rPr>
                      <w:rFonts w:hint="eastAsia" w:ascii="Times New Roman" w:hAnsi="Times New Roman" w:eastAsia="宋体" w:cs="Times New Roman"/>
                      <w:b w:val="0"/>
                      <w:bCs/>
                      <w:sz w:val="21"/>
                      <w:szCs w:val="21"/>
                      <w:u w:val="none"/>
                      <w:lang w:eastAsia="zh-CN"/>
                    </w:rPr>
                    <w:t>直线干燥流化床</w:t>
                  </w:r>
                  <w:r>
                    <w:rPr>
                      <w:rFonts w:hint="eastAsia" w:cs="Times New Roman"/>
                      <w:b w:val="0"/>
                      <w:bCs/>
                      <w:sz w:val="21"/>
                      <w:szCs w:val="21"/>
                      <w:u w:val="none"/>
                      <w:lang w:eastAsia="zh-CN"/>
                    </w:rPr>
                    <w:t>、</w:t>
                  </w:r>
                  <w:r>
                    <w:rPr>
                      <w:rFonts w:hint="eastAsia" w:cs="Times New Roman"/>
                      <w:b w:val="0"/>
                      <w:bCs/>
                      <w:sz w:val="21"/>
                      <w:szCs w:val="21"/>
                      <w:u w:val="none"/>
                      <w:lang w:val="en-US" w:eastAsia="zh-CN"/>
                    </w:rPr>
                    <w:t>直线振动筛、</w:t>
                  </w:r>
                  <w:r>
                    <w:rPr>
                      <w:rFonts w:hint="eastAsia" w:ascii="Times New Roman" w:hAnsi="Times New Roman" w:eastAsia="宋体" w:cs="Times New Roman"/>
                      <w:b w:val="0"/>
                      <w:bCs/>
                      <w:sz w:val="21"/>
                      <w:szCs w:val="21"/>
                      <w:u w:val="none"/>
                      <w:lang w:eastAsia="zh-CN"/>
                    </w:rPr>
                    <w:t>颗粒包装机</w:t>
                  </w:r>
                  <w:r>
                    <w:rPr>
                      <w:rFonts w:hint="eastAsia" w:cs="Times New Roman"/>
                      <w:b w:val="0"/>
                      <w:bCs/>
                      <w:sz w:val="21"/>
                      <w:szCs w:val="21"/>
                      <w:u w:val="none"/>
                      <w:lang w:eastAsia="zh-CN"/>
                    </w:rPr>
                    <w:t>、</w:t>
                  </w:r>
                  <w:r>
                    <w:rPr>
                      <w:rFonts w:hint="eastAsia" w:ascii="Times New Roman" w:hAnsi="Times New Roman" w:eastAsia="宋体" w:cs="Times New Roman"/>
                      <w:b w:val="0"/>
                      <w:bCs/>
                      <w:sz w:val="21"/>
                      <w:szCs w:val="21"/>
                      <w:u w:val="none"/>
                      <w:lang w:eastAsia="zh-CN"/>
                    </w:rPr>
                    <w:t>粉剂包装机</w:t>
                  </w:r>
                  <w:r>
                    <w:rPr>
                      <w:rFonts w:hint="eastAsia" w:cs="Times New Roman"/>
                      <w:b w:val="0"/>
                      <w:bCs/>
                      <w:sz w:val="21"/>
                      <w:szCs w:val="21"/>
                      <w:u w:val="none"/>
                      <w:lang w:eastAsia="zh-CN"/>
                    </w:rPr>
                    <w:t>、</w:t>
                  </w:r>
                  <w:r>
                    <w:rPr>
                      <w:rFonts w:hint="eastAsia" w:ascii="Times New Roman" w:hAnsi="Times New Roman" w:eastAsia="宋体" w:cs="Times New Roman"/>
                      <w:b w:val="0"/>
                      <w:bCs/>
                      <w:sz w:val="21"/>
                      <w:szCs w:val="21"/>
                      <w:u w:val="none"/>
                      <w:lang w:val="en-US" w:eastAsia="zh-CN"/>
                    </w:rPr>
                    <w:t>热风炉</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val="en-US" w:eastAsia="zh-CN"/>
                    </w:rPr>
                  </w:pPr>
                  <w:r>
                    <w:rPr>
                      <w:rFonts w:hint="eastAsia" w:ascii="Times New Roman" w:hAnsi="Times New Roman" w:cs="Times New Roman"/>
                      <w:bCs/>
                      <w:color w:val="000000"/>
                      <w:sz w:val="21"/>
                      <w:szCs w:val="21"/>
                      <w:lang w:val="en-US" w:eastAsia="zh-CN"/>
                    </w:rPr>
                    <w:t>粉碎机、混合机、制粒机、</w:t>
                  </w:r>
                  <w:r>
                    <w:rPr>
                      <w:rFonts w:hint="eastAsia" w:ascii="Times New Roman" w:hAnsi="Times New Roman" w:eastAsia="宋体" w:cs="Times New Roman"/>
                      <w:b w:val="0"/>
                      <w:bCs/>
                      <w:sz w:val="21"/>
                      <w:szCs w:val="21"/>
                      <w:u w:val="none"/>
                      <w:lang w:eastAsia="zh-CN"/>
                    </w:rPr>
                    <w:t>直线干燥流化床</w:t>
                  </w:r>
                  <w:r>
                    <w:rPr>
                      <w:rFonts w:hint="eastAsia" w:cs="Times New Roman"/>
                      <w:b w:val="0"/>
                      <w:bCs/>
                      <w:sz w:val="21"/>
                      <w:szCs w:val="21"/>
                      <w:u w:val="none"/>
                      <w:lang w:eastAsia="zh-CN"/>
                    </w:rPr>
                    <w:t>、</w:t>
                  </w:r>
                  <w:r>
                    <w:rPr>
                      <w:rFonts w:hint="eastAsia" w:cs="Times New Roman"/>
                      <w:b w:val="0"/>
                      <w:bCs/>
                      <w:sz w:val="21"/>
                      <w:szCs w:val="21"/>
                      <w:u w:val="none"/>
                      <w:lang w:val="en-US" w:eastAsia="zh-CN"/>
                    </w:rPr>
                    <w:t>直线振动筛、</w:t>
                  </w:r>
                  <w:r>
                    <w:rPr>
                      <w:rFonts w:hint="eastAsia" w:ascii="Times New Roman" w:hAnsi="Times New Roman" w:eastAsia="宋体" w:cs="Times New Roman"/>
                      <w:b w:val="0"/>
                      <w:bCs/>
                      <w:sz w:val="21"/>
                      <w:szCs w:val="21"/>
                      <w:u w:val="none"/>
                      <w:lang w:eastAsia="zh-CN"/>
                    </w:rPr>
                    <w:t>颗粒包装机</w:t>
                  </w:r>
                  <w:r>
                    <w:rPr>
                      <w:rFonts w:hint="eastAsia" w:cs="Times New Roman"/>
                      <w:b w:val="0"/>
                      <w:bCs/>
                      <w:sz w:val="21"/>
                      <w:szCs w:val="21"/>
                      <w:u w:val="none"/>
                      <w:lang w:eastAsia="zh-CN"/>
                    </w:rPr>
                    <w:t>、</w:t>
                  </w:r>
                  <w:r>
                    <w:rPr>
                      <w:rFonts w:hint="eastAsia" w:ascii="Times New Roman" w:hAnsi="Times New Roman" w:eastAsia="宋体" w:cs="Times New Roman"/>
                      <w:b w:val="0"/>
                      <w:bCs/>
                      <w:sz w:val="21"/>
                      <w:szCs w:val="21"/>
                      <w:u w:val="none"/>
                      <w:lang w:eastAsia="zh-CN"/>
                    </w:rPr>
                    <w:t>粉剂包装机</w:t>
                  </w:r>
                  <w:r>
                    <w:rPr>
                      <w:rFonts w:hint="eastAsia" w:cs="Times New Roman"/>
                      <w:b w:val="0"/>
                      <w:bCs/>
                      <w:sz w:val="21"/>
                      <w:szCs w:val="21"/>
                      <w:u w:val="none"/>
                      <w:lang w:eastAsia="zh-CN"/>
                    </w:rPr>
                    <w:t>、</w:t>
                  </w:r>
                  <w:r>
                    <w:rPr>
                      <w:rFonts w:hint="eastAsia" w:ascii="Times New Roman" w:hAnsi="Times New Roman" w:eastAsia="宋体" w:cs="Times New Roman"/>
                      <w:b w:val="0"/>
                      <w:bCs/>
                      <w:sz w:val="21"/>
                      <w:szCs w:val="21"/>
                      <w:u w:val="none"/>
                      <w:lang w:val="en-US" w:eastAsia="zh-CN"/>
                    </w:rPr>
                    <w:t>热风炉</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722"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val="en-US" w:eastAsia="zh-CN"/>
                    </w:rPr>
                  </w:pPr>
                  <w:r>
                    <w:rPr>
                      <w:rFonts w:hint="default" w:ascii="Times New Roman" w:hAnsi="Times New Roman" w:cs="Times New Roman"/>
                      <w:bCs/>
                      <w:color w:val="000000"/>
                      <w:sz w:val="21"/>
                      <w:szCs w:val="21"/>
                      <w:lang w:val="en-US" w:eastAsia="zh-CN"/>
                    </w:rPr>
                    <w:t>6</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eastAsia="zh-CN"/>
                    </w:rPr>
                    <w:t>生产</w:t>
                  </w:r>
                  <w:r>
                    <w:rPr>
                      <w:rFonts w:hint="default" w:ascii="Times New Roman" w:hAnsi="Times New Roman" w:cs="Times New Roman"/>
                      <w:bCs/>
                      <w:color w:val="000000"/>
                      <w:sz w:val="21"/>
                      <w:szCs w:val="21"/>
                    </w:rPr>
                    <w:t>工艺</w:t>
                  </w:r>
                </w:p>
              </w:tc>
              <w:tc>
                <w:tcPr>
                  <w:tcW w:w="305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Cs/>
                      <w:color w:val="000000"/>
                      <w:sz w:val="21"/>
                      <w:szCs w:val="21"/>
                      <w:lang w:val="en-US" w:eastAsia="zh-CN"/>
                    </w:rPr>
                  </w:pPr>
                  <w:r>
                    <w:rPr>
                      <w:rFonts w:hint="eastAsia" w:ascii="Times New Roman" w:hAnsi="Times New Roman" w:cs="Times New Roman"/>
                      <w:bCs/>
                      <w:color w:val="000000"/>
                      <w:sz w:val="21"/>
                      <w:szCs w:val="21"/>
                      <w:lang w:val="en-US" w:eastAsia="zh-CN"/>
                    </w:rPr>
                    <w:t>原料—粉碎—混合—制粒—干燥—筛选—包装</w:t>
                  </w:r>
                </w:p>
              </w:tc>
              <w:tc>
                <w:tcPr>
                  <w:tcW w:w="29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eastAsia" w:ascii="Times New Roman" w:hAnsi="Times New Roman" w:cs="Times New Roman"/>
                      <w:bCs/>
                      <w:color w:val="000000"/>
                      <w:sz w:val="21"/>
                      <w:szCs w:val="21"/>
                      <w:lang w:val="en-US" w:eastAsia="zh-CN"/>
                    </w:rPr>
                    <w:t>原料—粉碎—混合—制粒—干燥—筛选—包装</w:t>
                  </w:r>
                </w:p>
              </w:tc>
              <w:tc>
                <w:tcPr>
                  <w:tcW w:w="852"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相符</w:t>
                  </w:r>
                </w:p>
              </w:tc>
            </w:tr>
          </w:tbl>
          <w:p>
            <w:pPr>
              <w:ind w:firstLine="482"/>
              <w:rPr>
                <w:rFonts w:hint="eastAsia"/>
                <w:b w:val="0"/>
                <w:bCs/>
                <w:highlight w:val="none"/>
                <w:u w:val="none"/>
                <w:lang w:eastAsia="zh-CN"/>
              </w:rPr>
            </w:pPr>
            <w:r>
              <w:rPr>
                <w:rFonts w:hint="eastAsia"/>
                <w:b w:val="0"/>
                <w:bCs/>
                <w:highlight w:val="none"/>
                <w:u w:val="none"/>
                <w:lang w:val="en-US" w:eastAsia="zh-CN"/>
              </w:rPr>
              <w:t>本项目租赁现有空厂房进行生产，可满足项目生产规模需求，不需再新建厂房。</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704" w:type="dxa"/>
            <w:tcBorders>
              <w:tl2br w:val="nil"/>
              <w:tr2bl w:val="nil"/>
            </w:tcBorders>
            <w:vAlign w:val="center"/>
          </w:tcPr>
          <w:p>
            <w:pPr>
              <w:pStyle w:val="26"/>
              <w:rPr>
                <w:sz w:val="24"/>
                <w:szCs w:val="24"/>
              </w:rPr>
            </w:pPr>
            <w:r>
              <w:rPr>
                <w:rFonts w:hint="eastAsia"/>
                <w:sz w:val="24"/>
                <w:szCs w:val="24"/>
              </w:rPr>
              <w:t>工艺流程和产排污环节</w:t>
            </w:r>
          </w:p>
        </w:tc>
        <w:tc>
          <w:tcPr>
            <w:tcW w:w="8356" w:type="dxa"/>
            <w:tcBorders>
              <w:tl2br w:val="nil"/>
              <w:tr2bl w:val="nil"/>
            </w:tcBorders>
            <w:vAlign w:val="center"/>
          </w:tcPr>
          <w:p>
            <w:pPr>
              <w:ind w:firstLine="482"/>
              <w:rPr>
                <w:rFonts w:hint="eastAsia" w:eastAsia="宋体"/>
                <w:b/>
                <w:bCs/>
                <w:lang w:val="en-US" w:eastAsia="zh-CN"/>
              </w:rPr>
            </w:pPr>
            <w:r>
              <w:rPr>
                <w:rFonts w:hint="eastAsia"/>
                <w:b/>
                <w:bCs/>
                <w:lang w:val="en-US" w:eastAsia="zh-CN"/>
              </w:rPr>
              <w:t>1</w:t>
            </w:r>
            <w:r>
              <w:rPr>
                <w:rFonts w:hint="eastAsia"/>
                <w:b/>
                <w:bCs/>
                <w:lang w:eastAsia="zh-CN"/>
              </w:rPr>
              <w:t>、</w:t>
            </w:r>
            <w:r>
              <w:rPr>
                <w:rFonts w:hint="eastAsia"/>
                <w:b/>
                <w:bCs/>
                <w:lang w:val="en-US" w:eastAsia="zh-CN"/>
              </w:rPr>
              <w:t>施工期</w:t>
            </w:r>
            <w:r>
              <w:rPr>
                <w:rFonts w:hint="eastAsia"/>
                <w:b/>
                <w:bCs/>
              </w:rPr>
              <w:t>工艺流程</w:t>
            </w:r>
            <w:r>
              <w:rPr>
                <w:rFonts w:hint="eastAsia"/>
                <w:b/>
                <w:bCs/>
                <w:lang w:val="en-US" w:eastAsia="zh-CN"/>
              </w:rPr>
              <w:t>简述</w:t>
            </w:r>
          </w:p>
          <w:p>
            <w:pPr>
              <w:ind w:firstLine="482"/>
              <w:rPr>
                <w:rFonts w:hint="eastAsia" w:eastAsia="宋体"/>
                <w:sz w:val="24"/>
                <w:lang w:eastAsia="zh-CN"/>
              </w:rPr>
            </w:pPr>
            <w:r>
              <w:rPr>
                <w:color w:val="000000"/>
                <w:sz w:val="24"/>
              </w:rPr>
              <w:t>本项目施工期建设内容主要</w:t>
            </w:r>
            <w:r>
              <w:rPr>
                <w:rFonts w:hint="eastAsia"/>
                <w:color w:val="000000"/>
                <w:sz w:val="24"/>
                <w:lang w:val="en-US" w:eastAsia="zh-CN"/>
              </w:rPr>
              <w:t>为</w:t>
            </w:r>
            <w:r>
              <w:rPr>
                <w:snapToGrid w:val="0"/>
                <w:color w:val="000000"/>
                <w:sz w:val="24"/>
              </w:rPr>
              <w:t>设备安装</w:t>
            </w:r>
            <w:r>
              <w:rPr>
                <w:rFonts w:hint="eastAsia"/>
                <w:snapToGrid w:val="0"/>
                <w:color w:val="000000"/>
                <w:sz w:val="24"/>
                <w:lang w:eastAsia="zh-CN"/>
              </w:rPr>
              <w:t>，</w:t>
            </w:r>
            <w:r>
              <w:rPr>
                <w:rFonts w:hint="eastAsia"/>
                <w:color w:val="000000"/>
                <w:sz w:val="24"/>
                <w:lang w:eastAsia="zh-CN"/>
              </w:rPr>
              <w:t>施工期较短，对外环境的影响随着施工期结束而结束。</w:t>
            </w:r>
          </w:p>
          <w:p>
            <w:pPr>
              <w:ind w:firstLine="482"/>
              <w:rPr>
                <w:rFonts w:hint="default" w:eastAsia="宋体"/>
                <w:b/>
                <w:bCs/>
                <w:lang w:val="en-US" w:eastAsia="zh-CN"/>
              </w:rPr>
            </w:pPr>
            <w:r>
              <w:rPr>
                <w:rFonts w:hint="eastAsia"/>
                <w:b/>
                <w:bCs/>
                <w:lang w:val="en-US" w:eastAsia="zh-CN"/>
              </w:rPr>
              <w:t>2</w:t>
            </w:r>
            <w:r>
              <w:rPr>
                <w:rFonts w:hint="eastAsia"/>
                <w:b/>
                <w:bCs/>
                <w:lang w:eastAsia="zh-CN"/>
              </w:rPr>
              <w:t>、</w:t>
            </w:r>
            <w:r>
              <w:rPr>
                <w:rFonts w:hint="eastAsia"/>
                <w:b/>
                <w:bCs/>
                <w:lang w:val="en-US" w:eastAsia="zh-CN"/>
              </w:rPr>
              <w:t>运营期</w:t>
            </w:r>
            <w:r>
              <w:rPr>
                <w:rFonts w:hint="eastAsia"/>
                <w:b/>
                <w:bCs/>
              </w:rPr>
              <w:t>工艺流程</w:t>
            </w:r>
            <w:r>
              <w:rPr>
                <w:rFonts w:hint="eastAsia"/>
                <w:b/>
                <w:bCs/>
                <w:lang w:val="en-US" w:eastAsia="zh-CN"/>
              </w:rPr>
              <w:t>及产污环节</w:t>
            </w:r>
          </w:p>
          <w:p>
            <w:pPr>
              <w:ind w:firstLine="482"/>
              <w:rPr>
                <w:rFonts w:hint="eastAsia"/>
              </w:rPr>
            </w:pPr>
            <w:r>
              <w:rPr>
                <w:rFonts w:hint="eastAsia"/>
              </w:rPr>
              <w:t>生产工艺流程及产污环节如下：</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黑体" w:cs="Times New Roman"/>
                <w:bCs/>
              </w:rPr>
            </w:pPr>
            <w:r>
              <w:rPr>
                <w:rFonts w:hint="eastAsia" w:eastAsia="黑体" w:cs="Times New Roman"/>
                <w:bCs/>
              </w:rPr>
              <w:object>
                <v:shape id="_x0000_i1025" o:spt="75" type="#_x0000_t75" style="height:196.95pt;width:411.35pt;" o:ole="t" filled="f" o:preferrelative="t" stroked="f" coordsize="21600,21600">
                  <v:path/>
                  <v:fill on="f" focussize="0,0"/>
                  <v:stroke on="f"/>
                  <v:imagedata r:id="rId16" o:title=""/>
                  <o:lock v:ext="edit" aspectratio="f"/>
                  <w10:wrap type="none"/>
                  <w10:anchorlock/>
                </v:shape>
                <o:OLEObject Type="Embed" ProgID="Visio.Drawing.11" ShapeID="_x0000_i1025" DrawAspect="Content" ObjectID="_1468075725" r:id="rId15">
                  <o:LockedField>false</o:LockedField>
                </o:OLEObject>
              </w:objec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黑体" w:cs="Times New Roman"/>
                <w:bCs/>
              </w:rPr>
            </w:pPr>
            <w:r>
              <w:rPr>
                <w:rFonts w:hint="eastAsia" w:eastAsia="黑体" w:cs="Times New Roman"/>
                <w:bCs/>
              </w:rPr>
              <w:t>图2</w:t>
            </w:r>
            <w:r>
              <w:rPr>
                <w:rFonts w:eastAsia="黑体" w:cs="Times New Roman"/>
                <w:bCs/>
              </w:rPr>
              <w:t>-</w:t>
            </w:r>
            <w:r>
              <w:rPr>
                <w:rFonts w:hint="eastAsia" w:eastAsia="黑体" w:cs="Times New Roman"/>
                <w:bCs/>
                <w:lang w:val="en-US" w:eastAsia="zh-CN"/>
              </w:rPr>
              <w:t>1</w:t>
            </w:r>
            <w:r>
              <w:rPr>
                <w:rFonts w:hint="eastAsia" w:ascii="Times New Roman" w:hAnsi="Times New Roman" w:eastAsia="黑体" w:cs="Times New Roman"/>
                <w:bCs/>
                <w:lang w:eastAsia="zh-CN"/>
              </w:rPr>
              <w:t>鸡精调味料</w:t>
            </w:r>
            <w:r>
              <w:rPr>
                <w:rFonts w:hint="eastAsia" w:ascii="Times New Roman" w:hAnsi="Times New Roman" w:eastAsia="黑体" w:cs="Times New Roman"/>
                <w:bCs/>
              </w:rPr>
              <w:t>生产</w:t>
            </w:r>
            <w:r>
              <w:rPr>
                <w:rFonts w:hint="eastAsia" w:eastAsia="黑体" w:cs="Times New Roman"/>
                <w:bCs/>
              </w:rPr>
              <w:t>工艺流程及产污环节图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投料、粉碎：</w:t>
            </w:r>
            <w:r>
              <w:rPr>
                <w:rFonts w:hint="eastAsia" w:cs="Times New Roman"/>
                <w:color w:val="auto"/>
                <w:sz w:val="24"/>
                <w:szCs w:val="24"/>
                <w:lang w:val="en-US" w:eastAsia="zh-CN"/>
              </w:rPr>
              <w:t>原料在脱包间脱包，</w:t>
            </w:r>
            <w:r>
              <w:rPr>
                <w:rFonts w:hint="default" w:ascii="Times New Roman" w:hAnsi="Times New Roman" w:eastAsia="宋体" w:cs="Times New Roman"/>
                <w:color w:val="auto"/>
                <w:sz w:val="24"/>
                <w:szCs w:val="24"/>
                <w:lang w:val="en-US" w:eastAsia="zh-CN"/>
              </w:rPr>
              <w:t>投料入粉碎机，粉碎机将原料粉碎成粉状或细微颗粒状。此工序在投料口及粉碎的过程中有少量粉尘产生，生产过程中会产生设备噪声。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lang w:val="en-US" w:eastAsia="zh-CN"/>
              </w:rPr>
              <w:t>混合搅拌：根据配方将物料准确称量，将称好的物料按照配方要求的顺序加入搅拌机并不断搅拌至混合均匀，搅拌过程中加入少量的水（原料与水的比例为100:6）；投料和搅拌过程中会产生少量粉尘，生产设备会产生噪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lang w:val="en-US" w:eastAsia="zh-CN"/>
              </w:rPr>
              <w:t>制粒：将混合均匀的物料通过制粒机进行制粒，混合好的原料送至湿法制粒机内进行制粒工序</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val="en-US" w:eastAsia="zh-CN"/>
              </w:rPr>
              <w:t>由压料刀旋转时将混合好的物料加压送给造粒刀，造粒刀旋转时，通过离心力和曲线推力，将物料挤出网孔，完成造粒</w:t>
            </w:r>
            <w:r>
              <w:rPr>
                <w:rFonts w:hint="default" w:ascii="Times New Roman" w:hAnsi="Times New Roman" w:eastAsia="宋体" w:cs="Times New Roman"/>
                <w:color w:val="auto"/>
                <w:sz w:val="24"/>
                <w:szCs w:val="24"/>
                <w:highlight w:val="none"/>
                <w:lang w:val="en-US" w:eastAsia="zh-CN"/>
              </w:rPr>
              <w:t>。</w:t>
            </w:r>
            <w:r>
              <w:rPr>
                <w:rFonts w:hint="eastAsia" w:cs="Times New Roman"/>
                <w:color w:val="auto"/>
                <w:sz w:val="24"/>
                <w:szCs w:val="24"/>
                <w:highlight w:val="none"/>
                <w:lang w:val="en-US" w:eastAsia="zh-CN"/>
              </w:rPr>
              <w:t>此工序会产生少量粉尘。</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val="en-US" w:eastAsia="zh-CN"/>
              </w:rPr>
              <w:t>干燥：将制粒后的物料通过</w:t>
            </w:r>
            <w:r>
              <w:rPr>
                <w:rFonts w:hint="eastAsia" w:ascii="Times New Roman" w:hAnsi="Times New Roman" w:eastAsia="宋体" w:cs="Times New Roman"/>
                <w:color w:val="auto"/>
                <w:sz w:val="24"/>
                <w:szCs w:val="24"/>
                <w:lang w:val="en-US" w:eastAsia="zh-CN"/>
              </w:rPr>
              <w:t>直线干燥流化床</w:t>
            </w:r>
            <w:r>
              <w:rPr>
                <w:rFonts w:hint="default" w:ascii="Times New Roman" w:hAnsi="Times New Roman" w:eastAsia="宋体" w:cs="Times New Roman"/>
                <w:color w:val="auto"/>
                <w:sz w:val="24"/>
                <w:szCs w:val="24"/>
                <w:lang w:val="en-US" w:eastAsia="zh-CN"/>
              </w:rPr>
              <w:t>进行干燥，温度控制在80℃，时间为60分钟。</w:t>
            </w:r>
            <w:r>
              <w:rPr>
                <w:rFonts w:hint="eastAsia" w:ascii="Times New Roman" w:hAnsi="Times New Roman" w:eastAsia="宋体" w:cs="Times New Roman"/>
                <w:color w:val="auto"/>
                <w:sz w:val="24"/>
                <w:szCs w:val="24"/>
                <w:lang w:val="en-US" w:eastAsia="zh-CN"/>
              </w:rPr>
              <w:t>直线干燥流化床由天然气热风炉提供热风进行干燥作业。</w:t>
            </w:r>
            <w:r>
              <w:rPr>
                <w:rFonts w:hint="eastAsia" w:cs="Times New Roman"/>
                <w:color w:val="auto"/>
                <w:sz w:val="24"/>
                <w:szCs w:val="24"/>
                <w:lang w:val="en-US" w:eastAsia="zh-CN"/>
              </w:rPr>
              <w:t>管道天然气引入热风炉，燃烧产生的热量供给干燥流化床设备，对制粒后的鸡精调味料进行烘干。此工序产生的污染物主要为粉尘、SO</w:t>
            </w:r>
            <w:r>
              <w:rPr>
                <w:rFonts w:hint="eastAsia" w:cs="Times New Roman"/>
                <w:color w:val="auto"/>
                <w:sz w:val="24"/>
                <w:szCs w:val="24"/>
                <w:vertAlign w:val="subscript"/>
                <w:lang w:val="en-US" w:eastAsia="zh-CN"/>
              </w:rPr>
              <w:t>2</w:t>
            </w:r>
            <w:r>
              <w:rPr>
                <w:rFonts w:hint="eastAsia" w:cs="Times New Roman"/>
                <w:color w:val="auto"/>
                <w:sz w:val="24"/>
                <w:szCs w:val="24"/>
                <w:lang w:val="en-US" w:eastAsia="zh-CN"/>
              </w:rPr>
              <w:t>、NO</w:t>
            </w:r>
            <w:r>
              <w:rPr>
                <w:rFonts w:hint="eastAsia" w:cs="Times New Roman"/>
                <w:color w:val="auto"/>
                <w:sz w:val="24"/>
                <w:szCs w:val="24"/>
                <w:vertAlign w:val="subscript"/>
                <w:lang w:val="en-US" w:eastAsia="zh-CN"/>
              </w:rPr>
              <w:t>X</w:t>
            </w:r>
            <w:r>
              <w:rPr>
                <w:rFonts w:hint="eastAsia" w:cs="Times New Roman"/>
                <w:color w:val="auto"/>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eastAsia="宋体" w:cs="Times New Roman"/>
                <w:b w:val="0"/>
                <w:bCs w:val="0"/>
                <w:color w:val="auto"/>
                <w:sz w:val="24"/>
                <w:szCs w:val="24"/>
                <w:u w:val="none"/>
                <w:lang w:val="en-US" w:eastAsia="zh-CN"/>
              </w:rPr>
            </w:pPr>
            <w:r>
              <w:rPr>
                <w:rFonts w:hint="eastAsia" w:ascii="Times New Roman" w:hAnsi="Times New Roman" w:eastAsia="宋体" w:cs="Times New Roman"/>
                <w:color w:val="auto"/>
                <w:sz w:val="24"/>
                <w:szCs w:val="24"/>
                <w:lang w:val="en-US" w:eastAsia="zh-CN"/>
              </w:rPr>
              <w:t>直线干燥流化床</w:t>
            </w:r>
            <w:r>
              <w:rPr>
                <w:rFonts w:hint="eastAsia" w:ascii="Times New Roman" w:hAnsi="Times New Roman" w:eastAsia="宋体" w:cs="Times New Roman"/>
                <w:b w:val="0"/>
                <w:bCs w:val="0"/>
                <w:color w:val="auto"/>
                <w:sz w:val="24"/>
                <w:szCs w:val="24"/>
                <w:u w:val="none"/>
                <w:lang w:val="en-US" w:eastAsia="zh-CN"/>
              </w:rPr>
              <w:t>基本原理为：利用天然气热风炉燃烧天然气产生热量，利用风机对流换热，对物料进行干燥，并不断补充新鲜空气和排出潮湿空气。</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（5）</w:t>
            </w:r>
            <w:r>
              <w:rPr>
                <w:rFonts w:hint="default" w:ascii="Times New Roman" w:hAnsi="Times New Roman" w:eastAsia="宋体" w:cs="Times New Roman"/>
                <w:color w:val="auto"/>
                <w:sz w:val="24"/>
                <w:szCs w:val="24"/>
                <w:lang w:val="en-US" w:eastAsia="zh-CN"/>
              </w:rPr>
              <w:t>筛分：经过烘干后的物料进入振动筛进行筛分，合格的产品进入分装机进行分装，不合格原料回收后再次经粉碎工序进行粉碎加工。</w:t>
            </w:r>
          </w:p>
          <w:p>
            <w:pPr>
              <w:keepNext w:val="0"/>
              <w:keepLines w:val="0"/>
              <w:pageBreakBefore w:val="0"/>
              <w:widowControl w:val="0"/>
              <w:kinsoku/>
              <w:wordWrap/>
              <w:overflowPunct/>
              <w:topLinePunct w:val="0"/>
              <w:autoSpaceDE/>
              <w:autoSpaceDN/>
              <w:bidi w:val="0"/>
              <w:adjustRightInd/>
              <w:snapToGrid/>
              <w:spacing w:line="520" w:lineRule="exact"/>
              <w:ind w:firstLine="482"/>
              <w:textAlignment w:val="auto"/>
              <w:rPr>
                <w:b w:val="0"/>
                <w:bCs/>
                <w:u w:val="none"/>
              </w:rPr>
            </w:pP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lang w:val="en-US" w:eastAsia="zh-CN"/>
              </w:rPr>
              <w:t>分装、封口：筛分合格后的产品进入</w:t>
            </w:r>
            <w:r>
              <w:rPr>
                <w:rFonts w:hint="eastAsia" w:ascii="Times New Roman" w:hAnsi="Times New Roman" w:eastAsia="宋体" w:cs="Times New Roman"/>
                <w:color w:val="auto"/>
                <w:sz w:val="24"/>
                <w:szCs w:val="24"/>
                <w:lang w:val="en-US" w:eastAsia="zh-CN"/>
              </w:rPr>
              <w:t>包</w:t>
            </w:r>
            <w:r>
              <w:rPr>
                <w:rFonts w:hint="default" w:ascii="Times New Roman" w:hAnsi="Times New Roman" w:eastAsia="宋体" w:cs="Times New Roman"/>
                <w:color w:val="auto"/>
                <w:sz w:val="24"/>
                <w:szCs w:val="24"/>
                <w:lang w:val="en-US" w:eastAsia="zh-CN"/>
              </w:rPr>
              <w:t>装机，分装入袋，再经</w:t>
            </w:r>
            <w:r>
              <w:rPr>
                <w:rFonts w:hint="eastAsia" w:ascii="Times New Roman" w:hAnsi="Times New Roman" w:eastAsia="宋体" w:cs="Times New Roman"/>
                <w:color w:val="auto"/>
                <w:sz w:val="24"/>
                <w:szCs w:val="24"/>
                <w:lang w:val="en-US" w:eastAsia="zh-CN"/>
              </w:rPr>
              <w:t>封口</w:t>
            </w:r>
            <w:r>
              <w:rPr>
                <w:rFonts w:hint="default" w:ascii="Times New Roman" w:hAnsi="Times New Roman" w:eastAsia="宋体" w:cs="Times New Roman"/>
                <w:color w:val="auto"/>
                <w:sz w:val="24"/>
                <w:szCs w:val="24"/>
                <w:lang w:val="en-US" w:eastAsia="zh-CN"/>
              </w:rPr>
              <w:t>，然后进入仓库待售。</w:t>
            </w:r>
          </w:p>
          <w:p>
            <w:pPr>
              <w:spacing w:line="480" w:lineRule="exact"/>
              <w:ind w:firstLine="482"/>
              <w:rPr>
                <w:b/>
                <w:bCs/>
              </w:rPr>
            </w:pPr>
            <w:r>
              <w:rPr>
                <w:rFonts w:hint="eastAsia"/>
                <w:b/>
                <w:bCs/>
                <w:lang w:val="en-US" w:eastAsia="zh-CN"/>
              </w:rPr>
              <w:t>3</w:t>
            </w:r>
            <w:r>
              <w:rPr>
                <w:rFonts w:hint="eastAsia"/>
                <w:b/>
                <w:bCs/>
              </w:rPr>
              <w:t>、产污环节</w:t>
            </w:r>
          </w:p>
          <w:p>
            <w:pPr>
              <w:adjustRightInd w:val="0"/>
              <w:snapToGrid w:val="0"/>
              <w:spacing w:line="520" w:lineRule="exact"/>
              <w:jc w:val="center"/>
              <w:rPr>
                <w:rFonts w:eastAsia="黑体"/>
                <w:sz w:val="24"/>
              </w:rPr>
            </w:pPr>
            <w:r>
              <w:rPr>
                <w:rFonts w:eastAsia="黑体"/>
                <w:sz w:val="24"/>
              </w:rPr>
              <w:t>表</w:t>
            </w:r>
            <w:r>
              <w:rPr>
                <w:rFonts w:hint="eastAsia" w:eastAsia="黑体"/>
                <w:sz w:val="24"/>
                <w:lang w:val="en-US" w:eastAsia="zh-CN"/>
              </w:rPr>
              <w:t>2-6</w:t>
            </w:r>
            <w:r>
              <w:rPr>
                <w:rFonts w:eastAsia="黑体"/>
                <w:sz w:val="24"/>
              </w:rPr>
              <w:t xml:space="preserve">  项目运营期污染工序一览表</w:t>
            </w:r>
          </w:p>
          <w:tbl>
            <w:tblPr>
              <w:tblStyle w:val="21"/>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5143"/>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textAlignment w:val="auto"/>
                    <w:rPr>
                      <w:sz w:val="21"/>
                      <w:szCs w:val="21"/>
                    </w:rPr>
                  </w:pPr>
                  <w:r>
                    <w:rPr>
                      <w:sz w:val="21"/>
                      <w:szCs w:val="21"/>
                    </w:rPr>
                    <w:t>类别</w:t>
                  </w: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污染源</w:t>
                  </w:r>
                </w:p>
              </w:tc>
              <w:tc>
                <w:tcPr>
                  <w:tcW w:w="27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污染因子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废水</w:t>
                  </w: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sz w:val="21"/>
                      <w:szCs w:val="21"/>
                    </w:rPr>
                  </w:pPr>
                  <w:r>
                    <w:rPr>
                      <w:sz w:val="21"/>
                      <w:szCs w:val="21"/>
                    </w:rPr>
                    <w:t>生活</w:t>
                  </w:r>
                  <w:r>
                    <w:rPr>
                      <w:rFonts w:hint="eastAsia"/>
                      <w:sz w:val="21"/>
                      <w:szCs w:val="21"/>
                    </w:rPr>
                    <w:t>污水</w:t>
                  </w:r>
                </w:p>
              </w:tc>
              <w:tc>
                <w:tcPr>
                  <w:tcW w:w="27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COD、BOD</w:t>
                  </w:r>
                  <w:r>
                    <w:rPr>
                      <w:sz w:val="21"/>
                      <w:szCs w:val="21"/>
                      <w:vertAlign w:val="subscript"/>
                    </w:rPr>
                    <w:t>5</w:t>
                  </w:r>
                  <w:r>
                    <w:rPr>
                      <w:sz w:val="21"/>
                      <w:szCs w:val="21"/>
                    </w:rPr>
                    <w:t>、氨氮、SS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vMerge w:val="restart"/>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hint="eastAsia"/>
                      <w:sz w:val="21"/>
                      <w:szCs w:val="21"/>
                    </w:rPr>
                  </w:pPr>
                  <w:r>
                    <w:rPr>
                      <w:rFonts w:hint="eastAsia"/>
                      <w:sz w:val="21"/>
                      <w:szCs w:val="21"/>
                    </w:rPr>
                    <w:t>废气</w:t>
                  </w: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调味料生产线工艺粉尘（投料、粉碎、混合搅拌、制粒、干燥、筛分、包装粉尘）</w:t>
                  </w:r>
                </w:p>
              </w:tc>
              <w:tc>
                <w:tcPr>
                  <w:tcW w:w="2797" w:type="dxa"/>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sz w:val="21"/>
                      <w:szCs w:val="21"/>
                      <w:lang w:val="en-US" w:eastAsia="zh-CN"/>
                    </w:rPr>
                  </w:pPr>
                  <w:r>
                    <w:rPr>
                      <w:rFonts w:hint="eastAsia"/>
                      <w:sz w:val="21"/>
                      <w:szCs w:val="21"/>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hint="eastAsia"/>
                      <w:sz w:val="21"/>
                      <w:szCs w:val="21"/>
                    </w:rPr>
                  </w:pP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sz w:val="21"/>
                      <w:szCs w:val="21"/>
                      <w:lang w:val="en-US" w:eastAsia="zh-CN"/>
                    </w:rPr>
                  </w:pPr>
                  <w:r>
                    <w:rPr>
                      <w:rFonts w:hint="eastAsia"/>
                      <w:sz w:val="21"/>
                      <w:szCs w:val="21"/>
                      <w:lang w:val="en-US" w:eastAsia="zh-CN"/>
                    </w:rPr>
                    <w:t>天然气热风炉废气</w:t>
                  </w:r>
                </w:p>
              </w:tc>
              <w:tc>
                <w:tcPr>
                  <w:tcW w:w="2797" w:type="dxa"/>
                  <w:tcBorders>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sz w:val="21"/>
                      <w:szCs w:val="21"/>
                      <w:lang w:val="en-US" w:eastAsia="zh-CN"/>
                    </w:rPr>
                  </w:pPr>
                  <w:r>
                    <w:rPr>
                      <w:rFonts w:hint="eastAsia"/>
                      <w:sz w:val="21"/>
                      <w:szCs w:val="21"/>
                      <w:lang w:val="en-US" w:eastAsia="zh-CN"/>
                    </w:rPr>
                    <w:t>颗粒物、SO</w:t>
                  </w:r>
                  <w:r>
                    <w:rPr>
                      <w:rFonts w:hint="eastAsia"/>
                      <w:sz w:val="21"/>
                      <w:szCs w:val="21"/>
                      <w:vertAlign w:val="subscript"/>
                      <w:lang w:val="en-US" w:eastAsia="zh-CN"/>
                    </w:rPr>
                    <w:t>2</w:t>
                  </w:r>
                  <w:r>
                    <w:rPr>
                      <w:rFonts w:hint="eastAsia"/>
                      <w:sz w:val="21"/>
                      <w:szCs w:val="21"/>
                      <w:lang w:val="en-US" w:eastAsia="zh-CN"/>
                    </w:rPr>
                    <w:t>、NO</w:t>
                  </w:r>
                  <w:r>
                    <w:rPr>
                      <w:rFonts w:hint="eastAsia"/>
                      <w:sz w:val="21"/>
                      <w:szCs w:val="21"/>
                      <w:vertAlign w:val="subscript"/>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固废</w:t>
                  </w: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生活垃圾</w:t>
                  </w:r>
                </w:p>
              </w:tc>
              <w:tc>
                <w:tcPr>
                  <w:tcW w:w="279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一般固废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sz w:val="21"/>
                      <w:szCs w:val="21"/>
                      <w:lang w:eastAsia="zh-CN"/>
                    </w:rPr>
                  </w:pPr>
                  <w:r>
                    <w:rPr>
                      <w:rFonts w:hint="eastAsia"/>
                      <w:sz w:val="21"/>
                      <w:szCs w:val="21"/>
                    </w:rPr>
                    <w:t>废包装</w:t>
                  </w:r>
                  <w:r>
                    <w:rPr>
                      <w:rFonts w:hint="eastAsia"/>
                      <w:sz w:val="21"/>
                      <w:szCs w:val="21"/>
                      <w:lang w:val="en-US" w:eastAsia="zh-CN"/>
                    </w:rPr>
                    <w:t>材料</w:t>
                  </w:r>
                </w:p>
              </w:tc>
              <w:tc>
                <w:tcPr>
                  <w:tcW w:w="2797"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1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sz w:val="21"/>
                      <w:szCs w:val="21"/>
                    </w:rPr>
                  </w:pP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除尘器收尘</w:t>
                  </w:r>
                </w:p>
              </w:tc>
              <w:tc>
                <w:tcPr>
                  <w:tcW w:w="279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噪声</w:t>
                  </w:r>
                </w:p>
              </w:tc>
              <w:tc>
                <w:tcPr>
                  <w:tcW w:w="51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rFonts w:hint="eastAsia"/>
                      <w:sz w:val="21"/>
                      <w:szCs w:val="21"/>
                      <w:lang w:val="en-US" w:eastAsia="zh-CN"/>
                    </w:rPr>
                    <w:t>粉碎机、混合机、制粒机、筛分机、包装机</w:t>
                  </w:r>
                  <w:r>
                    <w:rPr>
                      <w:rFonts w:hint="eastAsia"/>
                      <w:sz w:val="21"/>
                      <w:szCs w:val="21"/>
                    </w:rPr>
                    <w:t>等</w:t>
                  </w:r>
                  <w:r>
                    <w:rPr>
                      <w:sz w:val="21"/>
                      <w:szCs w:val="21"/>
                    </w:rPr>
                    <w:t>设备运行噪声</w:t>
                  </w:r>
                </w:p>
              </w:tc>
              <w:tc>
                <w:tcPr>
                  <w:tcW w:w="27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sz w:val="21"/>
                      <w:szCs w:val="21"/>
                    </w:rPr>
                  </w:pPr>
                  <w:r>
                    <w:rPr>
                      <w:sz w:val="21"/>
                      <w:szCs w:val="21"/>
                    </w:rPr>
                    <w:t>噪声</w:t>
                  </w:r>
                </w:p>
              </w:tc>
            </w:tr>
          </w:tbl>
          <w:p>
            <w:pPr>
              <w:ind w:left="0" w:leftChars="0" w:firstLine="0" w:firstLineChars="0"/>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704" w:type="dxa"/>
            <w:tcBorders>
              <w:tl2br w:val="nil"/>
              <w:tr2bl w:val="nil"/>
            </w:tcBorders>
            <w:vAlign w:val="center"/>
          </w:tcPr>
          <w:p>
            <w:pPr>
              <w:pStyle w:val="26"/>
              <w:jc w:val="both"/>
              <w:rPr>
                <w:sz w:val="24"/>
                <w:szCs w:val="24"/>
              </w:rPr>
            </w:pPr>
            <w:r>
              <w:rPr>
                <w:rFonts w:hint="eastAsia"/>
                <w:sz w:val="24"/>
                <w:szCs w:val="24"/>
              </w:rPr>
              <w:t>与项目有关的原有环境污染问题</w:t>
            </w:r>
          </w:p>
        </w:tc>
        <w:tc>
          <w:tcPr>
            <w:tcW w:w="8356" w:type="dxa"/>
            <w:tcBorders>
              <w:tl2br w:val="nil"/>
              <w:tr2bl w:val="nil"/>
            </w:tcBorders>
            <w:vAlign w:val="center"/>
          </w:tcPr>
          <w:p>
            <w:pPr>
              <w:ind w:firstLine="480"/>
              <w:jc w:val="left"/>
              <w:rPr>
                <w:rFonts w:hint="eastAsia"/>
              </w:rPr>
            </w:pPr>
            <w:r>
              <w:rPr>
                <w:rFonts w:hint="eastAsia"/>
              </w:rPr>
              <w:t>本项目为新建项目，</w:t>
            </w:r>
            <w:r>
              <w:rPr>
                <w:rFonts w:hint="eastAsia"/>
                <w:lang w:val="en-US" w:eastAsia="zh-CN"/>
              </w:rPr>
              <w:t>租赁现有空厂房进行生产</w:t>
            </w:r>
            <w:r>
              <w:rPr>
                <w:rFonts w:hint="eastAsia"/>
              </w:rPr>
              <w:t>，因此，不存在与项目有关的原有环境污染问题。</w:t>
            </w:r>
          </w:p>
          <w:p>
            <w:pPr>
              <w:ind w:firstLine="480"/>
              <w:jc w:val="left"/>
              <w:rPr>
                <w:rFonts w:hint="eastAsia"/>
              </w:rPr>
            </w:pPr>
          </w:p>
          <w:p>
            <w:pPr>
              <w:ind w:firstLine="480"/>
              <w:jc w:val="left"/>
              <w:rPr>
                <w:rFonts w:hint="eastAsia"/>
              </w:rPr>
            </w:pPr>
          </w:p>
          <w:p>
            <w:pPr>
              <w:ind w:firstLine="480"/>
              <w:jc w:val="left"/>
              <w:rPr>
                <w:rFonts w:hint="eastAsia"/>
              </w:rPr>
            </w:pPr>
          </w:p>
          <w:p>
            <w:pPr>
              <w:ind w:firstLine="480"/>
              <w:jc w:val="left"/>
              <w:rPr>
                <w:rFonts w:hint="eastAsia"/>
              </w:rPr>
            </w:pPr>
          </w:p>
          <w:p>
            <w:pPr>
              <w:ind w:firstLine="480"/>
              <w:jc w:val="left"/>
              <w:rPr>
                <w:rFonts w:hint="eastAsia"/>
              </w:rPr>
            </w:pPr>
          </w:p>
          <w:p>
            <w:pPr>
              <w:ind w:firstLine="480"/>
              <w:jc w:val="left"/>
              <w:rPr>
                <w:rFonts w:hint="eastAsia"/>
              </w:rPr>
            </w:pPr>
          </w:p>
          <w:p>
            <w:pPr>
              <w:ind w:left="0" w:leftChars="0" w:firstLine="0" w:firstLineChars="0"/>
              <w:jc w:val="left"/>
              <w:rPr>
                <w:rFonts w:hint="eastAsia"/>
              </w:rPr>
            </w:pPr>
          </w:p>
          <w:p>
            <w:pPr>
              <w:ind w:firstLine="480"/>
              <w:jc w:val="left"/>
              <w:rPr>
                <w:rFonts w:hint="eastAsia"/>
              </w:rPr>
            </w:pPr>
          </w:p>
          <w:p>
            <w:pPr>
              <w:ind w:firstLine="480"/>
              <w:jc w:val="left"/>
              <w:rPr>
                <w:rFonts w:hint="eastAsia"/>
              </w:rPr>
            </w:pPr>
          </w:p>
          <w:p>
            <w:pPr>
              <w:ind w:left="0" w:leftChars="0" w:firstLine="0" w:firstLineChars="0"/>
              <w:jc w:val="left"/>
              <w:rPr>
                <w:rFonts w:hint="eastAsia"/>
              </w:rPr>
            </w:pPr>
          </w:p>
        </w:tc>
      </w:tr>
    </w:tbl>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黑体" w:cs="Times New Roman"/>
          <w:b/>
          <w:sz w:val="30"/>
          <w:szCs w:val="30"/>
        </w:rPr>
      </w:pPr>
      <w:r>
        <w:rPr>
          <w:rFonts w:hint="eastAsia" w:eastAsia="黑体" w:cs="Times New Roman"/>
          <w:b/>
          <w:sz w:val="30"/>
          <w:szCs w:val="30"/>
        </w:rPr>
        <w:t>区域环境质量现状、环境保护目标及评价标准</w:t>
      </w:r>
    </w:p>
    <w:tbl>
      <w:tblPr>
        <w:tblStyle w:val="22"/>
        <w:tblW w:w="963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57" w:type="dxa"/>
          <w:bottom w:w="0" w:type="dxa"/>
          <w:right w:w="57" w:type="dxa"/>
        </w:tblCellMar>
      </w:tblPr>
      <w:tblGrid>
        <w:gridCol w:w="354"/>
        <w:gridCol w:w="939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704" w:type="dxa"/>
            <w:tcBorders>
              <w:tl2br w:val="nil"/>
              <w:tr2bl w:val="nil"/>
            </w:tcBorders>
            <w:vAlign w:val="center"/>
          </w:tcPr>
          <w:p>
            <w:pPr>
              <w:ind w:firstLine="0" w:firstLineChars="0"/>
              <w:jc w:val="center"/>
            </w:pPr>
            <w:r>
              <w:rPr>
                <w:rFonts w:hint="eastAsia"/>
              </w:rPr>
              <w:t>区域环境质量现状</w:t>
            </w:r>
          </w:p>
        </w:tc>
        <w:tc>
          <w:tcPr>
            <w:tcW w:w="8356" w:type="dxa"/>
            <w:tcBorders>
              <w:tl2br w:val="nil"/>
              <w:tr2bl w:val="nil"/>
            </w:tcBorders>
            <w:vAlign w:val="center"/>
          </w:tcPr>
          <w:p>
            <w:pPr>
              <w:ind w:firstLine="482"/>
              <w:rPr>
                <w:b/>
              </w:rPr>
            </w:pPr>
            <w:r>
              <w:rPr>
                <w:b/>
              </w:rPr>
              <w:t>1.环境空气质量</w:t>
            </w:r>
          </w:p>
          <w:p>
            <w:pPr>
              <w:adjustRightInd w:val="0"/>
              <w:snapToGrid w:val="0"/>
              <w:spacing w:line="520" w:lineRule="exact"/>
              <w:ind w:firstLine="480"/>
              <w:jc w:val="left"/>
              <w:rPr>
                <w:rFonts w:cs="Times New Roman"/>
                <w:szCs w:val="24"/>
              </w:rPr>
            </w:pPr>
            <w:r>
              <w:rPr>
                <w:rFonts w:hint="default" w:ascii="Times New Roman" w:hAnsi="Times New Roman" w:cs="Times New Roman"/>
                <w:color w:val="000000"/>
                <w:sz w:val="24"/>
                <w:szCs w:val="22"/>
                <w:lang w:val="en-US" w:eastAsia="zh-CN"/>
              </w:rPr>
              <w:t>根据环境空气质量功能区划分，项目所在区域为二类功能区，环境空气质量执行《环境空气质量标准》（GB3095-2012）二级标准。本次环境空气质量引用河南省城市环境空气质量自动监控中心对鲁山县的监测数据进行区域达标判定。鲁山县202</w:t>
            </w:r>
            <w:r>
              <w:rPr>
                <w:rFonts w:hint="eastAsia" w:ascii="Times New Roman" w:hAnsi="Times New Roman" w:cs="Times New Roman"/>
                <w:color w:val="000000"/>
                <w:sz w:val="24"/>
                <w:szCs w:val="22"/>
                <w:lang w:val="en-US" w:eastAsia="zh-CN"/>
              </w:rPr>
              <w:t>2</w:t>
            </w:r>
            <w:r>
              <w:rPr>
                <w:rFonts w:hint="default" w:ascii="Times New Roman" w:hAnsi="Times New Roman" w:cs="Times New Roman"/>
                <w:color w:val="000000"/>
                <w:sz w:val="24"/>
                <w:szCs w:val="22"/>
                <w:lang w:val="en-US" w:eastAsia="zh-CN"/>
              </w:rPr>
              <w:t>年SO</w:t>
            </w:r>
            <w:r>
              <w:rPr>
                <w:rFonts w:hint="default" w:ascii="Times New Roman" w:hAnsi="Times New Roman" w:cs="Times New Roman"/>
                <w:color w:val="000000"/>
                <w:sz w:val="24"/>
                <w:szCs w:val="22"/>
                <w:vertAlign w:val="subscript"/>
                <w:lang w:val="en-US" w:eastAsia="zh-CN"/>
              </w:rPr>
              <w:t>2</w:t>
            </w:r>
            <w:r>
              <w:rPr>
                <w:rFonts w:hint="default" w:ascii="Times New Roman" w:hAnsi="Times New Roman" w:cs="Times New Roman"/>
                <w:color w:val="000000"/>
                <w:sz w:val="24"/>
                <w:szCs w:val="22"/>
                <w:lang w:val="en-US" w:eastAsia="zh-CN"/>
              </w:rPr>
              <w:t>、NO</w:t>
            </w:r>
            <w:r>
              <w:rPr>
                <w:rFonts w:hint="default" w:ascii="Times New Roman" w:hAnsi="Times New Roman" w:cs="Times New Roman"/>
                <w:color w:val="000000"/>
                <w:sz w:val="24"/>
                <w:szCs w:val="22"/>
                <w:vertAlign w:val="subscript"/>
                <w:lang w:val="en-US" w:eastAsia="zh-CN"/>
              </w:rPr>
              <w:t>2</w:t>
            </w:r>
            <w:r>
              <w:rPr>
                <w:rFonts w:hint="default" w:ascii="Times New Roman" w:hAnsi="Times New Roman" w:cs="Times New Roman"/>
                <w:color w:val="000000"/>
                <w:sz w:val="24"/>
                <w:szCs w:val="22"/>
                <w:lang w:val="en-US" w:eastAsia="zh-CN"/>
              </w:rPr>
              <w:t>、PM</w:t>
            </w:r>
            <w:r>
              <w:rPr>
                <w:rFonts w:hint="default" w:ascii="Times New Roman" w:hAnsi="Times New Roman" w:cs="Times New Roman"/>
                <w:color w:val="000000"/>
                <w:sz w:val="24"/>
                <w:szCs w:val="22"/>
                <w:vertAlign w:val="subscript"/>
                <w:lang w:val="en-US" w:eastAsia="zh-CN"/>
              </w:rPr>
              <w:t>10</w:t>
            </w:r>
            <w:r>
              <w:rPr>
                <w:rFonts w:hint="default" w:ascii="Times New Roman" w:hAnsi="Times New Roman" w:cs="Times New Roman"/>
                <w:color w:val="000000"/>
                <w:sz w:val="24"/>
                <w:szCs w:val="22"/>
                <w:lang w:val="en-US" w:eastAsia="zh-CN"/>
              </w:rPr>
              <w:t>、PM</w:t>
            </w:r>
            <w:r>
              <w:rPr>
                <w:rFonts w:hint="default" w:ascii="Times New Roman" w:hAnsi="Times New Roman" w:cs="Times New Roman"/>
                <w:color w:val="000000"/>
                <w:sz w:val="24"/>
                <w:szCs w:val="22"/>
                <w:vertAlign w:val="subscript"/>
                <w:lang w:val="en-US" w:eastAsia="zh-CN"/>
              </w:rPr>
              <w:t>2.5</w:t>
            </w:r>
            <w:r>
              <w:rPr>
                <w:rFonts w:hint="default" w:ascii="Times New Roman" w:hAnsi="Times New Roman" w:cs="Times New Roman"/>
                <w:color w:val="000000"/>
                <w:sz w:val="24"/>
                <w:szCs w:val="22"/>
                <w:lang w:val="en-US" w:eastAsia="zh-CN"/>
              </w:rPr>
              <w:t>、CO、O</w:t>
            </w:r>
            <w:r>
              <w:rPr>
                <w:rFonts w:hint="default" w:ascii="Times New Roman" w:hAnsi="Times New Roman" w:cs="Times New Roman"/>
                <w:color w:val="000000"/>
                <w:sz w:val="24"/>
                <w:szCs w:val="22"/>
                <w:vertAlign w:val="subscript"/>
                <w:lang w:val="en-US" w:eastAsia="zh-CN"/>
              </w:rPr>
              <w:t>3</w:t>
            </w:r>
            <w:r>
              <w:rPr>
                <w:rFonts w:hint="default" w:ascii="Times New Roman" w:hAnsi="Times New Roman" w:cs="Times New Roman"/>
                <w:color w:val="000000"/>
                <w:sz w:val="24"/>
                <w:szCs w:val="22"/>
                <w:lang w:val="en-US" w:eastAsia="zh-CN"/>
              </w:rPr>
              <w:t>六项基本污染物环境空气质量现状数据见下表。</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default"/>
              </w:rPr>
            </w:pPr>
            <w:r>
              <w:rPr>
                <w:rFonts w:hint="default" w:ascii="Times New Roman" w:hAnsi="Times New Roman" w:cs="Times New Roman"/>
                <w:b/>
                <w:snapToGrid w:val="0"/>
                <w:color w:val="000000"/>
                <w:kern w:val="0"/>
                <w:sz w:val="24"/>
              </w:rPr>
              <w:t>表3-1    202</w:t>
            </w:r>
            <w:r>
              <w:rPr>
                <w:rFonts w:hint="eastAsia" w:ascii="Times New Roman" w:hAnsi="Times New Roman" w:cs="Times New Roman"/>
                <w:b/>
                <w:snapToGrid w:val="0"/>
                <w:color w:val="000000"/>
                <w:kern w:val="0"/>
                <w:sz w:val="24"/>
                <w:lang w:val="en-US" w:eastAsia="zh-CN"/>
              </w:rPr>
              <w:t>2</w:t>
            </w:r>
            <w:r>
              <w:rPr>
                <w:rFonts w:hint="default" w:ascii="Times New Roman" w:hAnsi="Times New Roman" w:cs="Times New Roman"/>
                <w:b/>
                <w:snapToGrid w:val="0"/>
                <w:color w:val="000000"/>
                <w:kern w:val="0"/>
                <w:sz w:val="24"/>
              </w:rPr>
              <w:t>年</w:t>
            </w:r>
            <w:r>
              <w:rPr>
                <w:rFonts w:hint="eastAsia" w:ascii="Times New Roman" w:hAnsi="Times New Roman" w:cs="Times New Roman"/>
                <w:b/>
                <w:snapToGrid w:val="0"/>
                <w:color w:val="000000"/>
                <w:kern w:val="0"/>
                <w:sz w:val="24"/>
                <w:lang w:eastAsia="zh-CN"/>
              </w:rPr>
              <w:t>鲁山县</w:t>
            </w:r>
            <w:r>
              <w:rPr>
                <w:rFonts w:hint="default" w:ascii="Times New Roman" w:hAnsi="Times New Roman" w:cs="Times New Roman"/>
                <w:b/>
                <w:snapToGrid w:val="0"/>
                <w:color w:val="000000"/>
                <w:kern w:val="0"/>
                <w:sz w:val="24"/>
              </w:rPr>
              <w:t>环境空气质量现状表</w:t>
            </w:r>
          </w:p>
          <w:tbl>
            <w:tblPr>
              <w:tblStyle w:val="21"/>
              <w:tblW w:w="4998"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9"/>
              <w:gridCol w:w="1365"/>
              <w:gridCol w:w="2528"/>
              <w:gridCol w:w="1382"/>
              <w:gridCol w:w="1280"/>
              <w:gridCol w:w="1011"/>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监测点位</w:t>
                  </w: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污染物</w:t>
                  </w:r>
                </w:p>
              </w:tc>
              <w:tc>
                <w:tcPr>
                  <w:tcW w:w="136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年评价指标</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监测结果</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标准值</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占标率</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达标情况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Times New Roman"/>
                      <w:color w:val="000000"/>
                      <w:sz w:val="21"/>
                      <w:szCs w:val="21"/>
                      <w:lang w:eastAsia="zh-CN"/>
                    </w:rPr>
                  </w:pPr>
                  <w:r>
                    <w:rPr>
                      <w:rFonts w:hint="eastAsia" w:ascii="Times New Roman" w:hAnsi="Times New Roman" w:cs="Times New Roman"/>
                      <w:color w:val="000000"/>
                      <w:sz w:val="21"/>
                      <w:szCs w:val="21"/>
                      <w:lang w:eastAsia="zh-CN"/>
                    </w:rPr>
                    <w:t>鲁</w:t>
                  </w:r>
                </w:p>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Times New Roman"/>
                      <w:color w:val="000000"/>
                      <w:sz w:val="21"/>
                      <w:szCs w:val="21"/>
                      <w:lang w:eastAsia="zh-CN"/>
                    </w:rPr>
                  </w:pPr>
                  <w:r>
                    <w:rPr>
                      <w:rFonts w:hint="eastAsia" w:ascii="Times New Roman" w:hAnsi="Times New Roman" w:cs="Times New Roman"/>
                      <w:color w:val="000000"/>
                      <w:sz w:val="21"/>
                      <w:szCs w:val="21"/>
                      <w:lang w:eastAsia="zh-CN"/>
                    </w:rPr>
                    <w:t>山</w:t>
                  </w:r>
                </w:p>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eastAsia="zh-CN"/>
                    </w:rPr>
                    <w:t>县</w:t>
                  </w: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SO</w:t>
                  </w:r>
                  <w:r>
                    <w:rPr>
                      <w:rFonts w:hint="default" w:ascii="Times New Roman" w:hAnsi="Times New Roman" w:cs="Times New Roman"/>
                      <w:color w:val="000000"/>
                      <w:sz w:val="21"/>
                      <w:szCs w:val="21"/>
                      <w:vertAlign w:val="subscript"/>
                    </w:rPr>
                    <w:t>2</w:t>
                  </w:r>
                </w:p>
              </w:tc>
              <w:tc>
                <w:tcPr>
                  <w:tcW w:w="136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年平均质量浓度</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12</w:t>
                  </w:r>
                  <w:r>
                    <w:rPr>
                      <w:rFonts w:hint="default" w:ascii="Times New Roman" w:hAnsi="Times New Roman" w:cs="Times New Roman"/>
                      <w:color w:val="000000"/>
                      <w:sz w:val="21"/>
                      <w:szCs w:val="21"/>
                    </w:rPr>
                    <w:t>μg/m</w:t>
                  </w:r>
                  <w:r>
                    <w:rPr>
                      <w:rFonts w:hint="default" w:ascii="Times New Roman" w:hAnsi="Times New Roman" w:cs="Times New Roman"/>
                      <w:color w:val="000000"/>
                      <w:sz w:val="21"/>
                      <w:szCs w:val="21"/>
                      <w:vertAlign w:val="superscript"/>
                    </w:rPr>
                    <w:t>3</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60μg/m</w:t>
                  </w:r>
                  <w:r>
                    <w:rPr>
                      <w:rFonts w:hint="default" w:ascii="Times New Roman" w:hAnsi="Times New Roman" w:cs="Times New Roman"/>
                      <w:color w:val="000000"/>
                      <w:sz w:val="21"/>
                      <w:szCs w:val="21"/>
                      <w:vertAlign w:val="superscript"/>
                    </w:rPr>
                    <w:t>3</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20.0</w:t>
                  </w:r>
                  <w:r>
                    <w:rPr>
                      <w:rFonts w:hint="default" w:ascii="Times New Roman" w:hAnsi="Times New Roman" w:cs="Times New Roman"/>
                      <w:color w:val="000000"/>
                      <w:sz w:val="21"/>
                      <w:szCs w:val="21"/>
                    </w:rPr>
                    <w:t>%</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NO</w:t>
                  </w:r>
                  <w:r>
                    <w:rPr>
                      <w:rFonts w:hint="default" w:ascii="Times New Roman" w:hAnsi="Times New Roman" w:cs="Times New Roman"/>
                      <w:color w:val="000000"/>
                      <w:sz w:val="21"/>
                      <w:szCs w:val="21"/>
                      <w:vertAlign w:val="subscript"/>
                    </w:rPr>
                    <w:t>2</w:t>
                  </w:r>
                </w:p>
              </w:tc>
              <w:tc>
                <w:tcPr>
                  <w:tcW w:w="136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年平均质量浓度</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21</w:t>
                  </w:r>
                  <w:r>
                    <w:rPr>
                      <w:rFonts w:hint="default" w:ascii="Times New Roman" w:hAnsi="Times New Roman" w:cs="Times New Roman"/>
                      <w:color w:val="000000"/>
                      <w:sz w:val="21"/>
                      <w:szCs w:val="21"/>
                    </w:rPr>
                    <w:t>μg/m</w:t>
                  </w:r>
                  <w:r>
                    <w:rPr>
                      <w:rFonts w:hint="default" w:ascii="Times New Roman" w:hAnsi="Times New Roman" w:cs="Times New Roman"/>
                      <w:color w:val="000000"/>
                      <w:sz w:val="21"/>
                      <w:szCs w:val="21"/>
                      <w:vertAlign w:val="superscript"/>
                    </w:rPr>
                    <w:t>3</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40μg/m</w:t>
                  </w:r>
                  <w:r>
                    <w:rPr>
                      <w:rFonts w:hint="default" w:ascii="Times New Roman" w:hAnsi="Times New Roman" w:cs="Times New Roman"/>
                      <w:color w:val="000000"/>
                      <w:sz w:val="21"/>
                      <w:szCs w:val="21"/>
                      <w:vertAlign w:val="superscript"/>
                    </w:rPr>
                    <w:t>3</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52.5</w:t>
                  </w:r>
                  <w:r>
                    <w:rPr>
                      <w:rFonts w:hint="default" w:ascii="Times New Roman" w:hAnsi="Times New Roman" w:cs="Times New Roman"/>
                      <w:color w:val="000000"/>
                      <w:sz w:val="21"/>
                      <w:szCs w:val="21"/>
                    </w:rPr>
                    <w:t>%</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PM</w:t>
                  </w:r>
                  <w:r>
                    <w:rPr>
                      <w:rFonts w:hint="default" w:ascii="Times New Roman" w:hAnsi="Times New Roman" w:cs="Times New Roman"/>
                      <w:color w:val="000000"/>
                      <w:sz w:val="21"/>
                      <w:szCs w:val="21"/>
                      <w:vertAlign w:val="subscript"/>
                    </w:rPr>
                    <w:t>10</w:t>
                  </w:r>
                </w:p>
              </w:tc>
              <w:tc>
                <w:tcPr>
                  <w:tcW w:w="136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年平均质量浓度</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r>
                    <w:rPr>
                      <w:rFonts w:hint="eastAsia" w:ascii="Times New Roman" w:hAnsi="Times New Roman" w:cs="Times New Roman"/>
                      <w:color w:val="000000"/>
                      <w:sz w:val="21"/>
                      <w:szCs w:val="21"/>
                      <w:lang w:val="en-US" w:eastAsia="zh-CN"/>
                    </w:rPr>
                    <w:t>8</w:t>
                  </w:r>
                  <w:r>
                    <w:rPr>
                      <w:rFonts w:hint="default" w:ascii="Times New Roman" w:hAnsi="Times New Roman" w:cs="Times New Roman"/>
                      <w:color w:val="000000"/>
                      <w:sz w:val="21"/>
                      <w:szCs w:val="21"/>
                    </w:rPr>
                    <w:t>μg/m</w:t>
                  </w:r>
                  <w:r>
                    <w:rPr>
                      <w:rFonts w:hint="default" w:ascii="Times New Roman" w:hAnsi="Times New Roman" w:cs="Times New Roman"/>
                      <w:color w:val="000000"/>
                      <w:sz w:val="21"/>
                      <w:szCs w:val="21"/>
                      <w:vertAlign w:val="superscript"/>
                    </w:rPr>
                    <w:t>3</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70μg/m</w:t>
                  </w:r>
                  <w:r>
                    <w:rPr>
                      <w:rFonts w:hint="default" w:ascii="Times New Roman" w:hAnsi="Times New Roman" w:cs="Times New Roman"/>
                      <w:color w:val="000000"/>
                      <w:sz w:val="21"/>
                      <w:szCs w:val="21"/>
                      <w:vertAlign w:val="superscript"/>
                    </w:rPr>
                    <w:t>3</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125.7</w:t>
                  </w:r>
                  <w:r>
                    <w:rPr>
                      <w:rFonts w:hint="default" w:ascii="Times New Roman" w:hAnsi="Times New Roman" w:cs="Times New Roman"/>
                      <w:color w:val="000000"/>
                      <w:sz w:val="21"/>
                      <w:szCs w:val="21"/>
                    </w:rPr>
                    <w:t>%</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超标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PM</w:t>
                  </w:r>
                  <w:r>
                    <w:rPr>
                      <w:rFonts w:hint="default" w:ascii="Times New Roman" w:hAnsi="Times New Roman" w:cs="Times New Roman"/>
                      <w:color w:val="000000"/>
                      <w:sz w:val="21"/>
                      <w:szCs w:val="21"/>
                      <w:vertAlign w:val="subscript"/>
                    </w:rPr>
                    <w:t>2.5</w:t>
                  </w:r>
                </w:p>
              </w:tc>
              <w:tc>
                <w:tcPr>
                  <w:tcW w:w="136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年平均质量浓度</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40</w:t>
                  </w:r>
                  <w:r>
                    <w:rPr>
                      <w:rFonts w:hint="default" w:ascii="Times New Roman" w:hAnsi="Times New Roman" w:cs="Times New Roman"/>
                      <w:color w:val="000000"/>
                      <w:sz w:val="21"/>
                      <w:szCs w:val="21"/>
                    </w:rPr>
                    <w:t>μg/m</w:t>
                  </w:r>
                  <w:r>
                    <w:rPr>
                      <w:rFonts w:hint="default" w:ascii="Times New Roman" w:hAnsi="Times New Roman" w:cs="Times New Roman"/>
                      <w:color w:val="000000"/>
                      <w:sz w:val="21"/>
                      <w:szCs w:val="21"/>
                      <w:vertAlign w:val="superscript"/>
                    </w:rPr>
                    <w:t>3</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35μg/m</w:t>
                  </w:r>
                  <w:r>
                    <w:rPr>
                      <w:rFonts w:hint="default" w:ascii="Times New Roman" w:hAnsi="Times New Roman" w:cs="Times New Roman"/>
                      <w:color w:val="000000"/>
                      <w:sz w:val="21"/>
                      <w:szCs w:val="21"/>
                      <w:vertAlign w:val="superscript"/>
                    </w:rPr>
                    <w:t>3</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14.3</w:t>
                  </w:r>
                  <w:r>
                    <w:rPr>
                      <w:rFonts w:hint="default" w:ascii="Times New Roman" w:hAnsi="Times New Roman" w:cs="Times New Roman"/>
                      <w:color w:val="000000"/>
                      <w:sz w:val="21"/>
                      <w:szCs w:val="21"/>
                    </w:rPr>
                    <w:t>%</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超标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O</w:t>
                  </w:r>
                  <w:r>
                    <w:rPr>
                      <w:rFonts w:hint="default" w:ascii="Times New Roman" w:hAnsi="Times New Roman" w:cs="Times New Roman"/>
                      <w:color w:val="000000"/>
                      <w:sz w:val="21"/>
                      <w:szCs w:val="21"/>
                      <w:vertAlign w:val="subscript"/>
                    </w:rPr>
                    <w:t>3</w:t>
                  </w:r>
                </w:p>
              </w:tc>
              <w:tc>
                <w:tcPr>
                  <w:tcW w:w="1363" w:type="pct"/>
                  <w:tcBorders>
                    <w:tl2br w:val="nil"/>
                    <w:tr2bl w:val="nil"/>
                  </w:tcBorders>
                  <w:noWrap w:val="0"/>
                  <w:vAlign w:val="center"/>
                </w:tcPr>
                <w:p>
                  <w:pPr>
                    <w:pStyle w:val="26"/>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日最大8h</w:t>
                  </w:r>
                  <w:r>
                    <w:rPr>
                      <w:rFonts w:hint="eastAsia" w:ascii="Times New Roman" w:hAnsi="Times New Roman" w:cs="Times New Roman"/>
                      <w:color w:val="000000"/>
                      <w:sz w:val="21"/>
                      <w:szCs w:val="21"/>
                      <w:lang w:val="en-US" w:eastAsia="zh-CN"/>
                    </w:rPr>
                    <w:t>滑动</w:t>
                  </w:r>
                  <w:r>
                    <w:rPr>
                      <w:rFonts w:hint="default" w:ascii="Times New Roman" w:hAnsi="Times New Roman" w:cs="Times New Roman"/>
                      <w:color w:val="000000"/>
                      <w:sz w:val="21"/>
                      <w:szCs w:val="21"/>
                    </w:rPr>
                    <w:t>平均第90 百分位数质量浓度</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16</w:t>
                  </w:r>
                  <w:r>
                    <w:rPr>
                      <w:rFonts w:hint="eastAsia" w:ascii="Times New Roman" w:hAnsi="Times New Roman" w:cs="Times New Roman"/>
                      <w:color w:val="000000"/>
                      <w:sz w:val="21"/>
                      <w:szCs w:val="21"/>
                      <w:lang w:val="en-US" w:eastAsia="zh-CN"/>
                    </w:rPr>
                    <w:t>3</w:t>
                  </w:r>
                  <w:r>
                    <w:rPr>
                      <w:rFonts w:hint="default" w:ascii="Times New Roman" w:hAnsi="Times New Roman" w:cs="Times New Roman"/>
                      <w:color w:val="000000"/>
                      <w:sz w:val="21"/>
                      <w:szCs w:val="21"/>
                    </w:rPr>
                    <w:t>μg/m</w:t>
                  </w:r>
                  <w:r>
                    <w:rPr>
                      <w:rFonts w:hint="default" w:ascii="Times New Roman" w:hAnsi="Times New Roman" w:cs="Times New Roman"/>
                      <w:color w:val="000000"/>
                      <w:sz w:val="21"/>
                      <w:szCs w:val="21"/>
                      <w:vertAlign w:val="superscript"/>
                    </w:rPr>
                    <w:t>3</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160μg/m</w:t>
                  </w:r>
                  <w:r>
                    <w:rPr>
                      <w:rFonts w:hint="default" w:ascii="Times New Roman" w:hAnsi="Times New Roman" w:cs="Times New Roman"/>
                      <w:color w:val="000000"/>
                      <w:sz w:val="21"/>
                      <w:szCs w:val="21"/>
                      <w:vertAlign w:val="superscript"/>
                    </w:rPr>
                    <w:t>3</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r>
                    <w:rPr>
                      <w:rFonts w:hint="eastAsia" w:ascii="Times New Roman" w:hAnsi="Times New Roman" w:cs="Times New Roman"/>
                      <w:color w:val="000000"/>
                      <w:sz w:val="21"/>
                      <w:szCs w:val="21"/>
                      <w:lang w:val="en-US" w:eastAsia="zh-CN"/>
                    </w:rPr>
                    <w:t>1.9</w:t>
                  </w:r>
                  <w:r>
                    <w:rPr>
                      <w:rFonts w:hint="default" w:ascii="Times New Roman" w:hAnsi="Times New Roman" w:cs="Times New Roman"/>
                      <w:color w:val="000000"/>
                      <w:sz w:val="21"/>
                      <w:szCs w:val="21"/>
                    </w:rPr>
                    <w:t>%</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超</w:t>
                  </w:r>
                  <w:r>
                    <w:rPr>
                      <w:rFonts w:hint="default" w:ascii="Times New Roman" w:hAnsi="Times New Roman" w:cs="Times New Roman"/>
                      <w:color w:val="000000"/>
                      <w:sz w:val="21"/>
                      <w:szCs w:val="21"/>
                    </w:rPr>
                    <w:t>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58"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p>
              </w:tc>
              <w:tc>
                <w:tcPr>
                  <w:tcW w:w="736"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CO</w:t>
                  </w:r>
                </w:p>
              </w:tc>
              <w:tc>
                <w:tcPr>
                  <w:tcW w:w="1363" w:type="pct"/>
                  <w:tcBorders>
                    <w:tl2br w:val="nil"/>
                    <w:tr2bl w:val="nil"/>
                  </w:tcBorders>
                  <w:noWrap w:val="0"/>
                  <w:vAlign w:val="center"/>
                </w:tcPr>
                <w:p>
                  <w:pPr>
                    <w:pStyle w:val="26"/>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24h</w:t>
                  </w:r>
                  <w:r>
                    <w:rPr>
                      <w:rFonts w:hint="default" w:ascii="Times New Roman" w:hAnsi="Times New Roman" w:cs="Times New Roman"/>
                      <w:color w:val="000000"/>
                      <w:sz w:val="21"/>
                      <w:szCs w:val="21"/>
                    </w:rPr>
                    <w:t>平均第95百分位数质量浓度</w:t>
                  </w:r>
                </w:p>
              </w:tc>
              <w:tc>
                <w:tcPr>
                  <w:tcW w:w="7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mg/m</w:t>
                  </w:r>
                  <w:r>
                    <w:rPr>
                      <w:rFonts w:hint="default" w:ascii="Times New Roman" w:hAnsi="Times New Roman" w:cs="Times New Roman"/>
                      <w:color w:val="000000"/>
                      <w:sz w:val="21"/>
                      <w:szCs w:val="21"/>
                      <w:vertAlign w:val="superscript"/>
                    </w:rPr>
                    <w:t>3</w:t>
                  </w:r>
                </w:p>
              </w:tc>
              <w:tc>
                <w:tcPr>
                  <w:tcW w:w="69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4mg/m</w:t>
                  </w:r>
                  <w:r>
                    <w:rPr>
                      <w:rFonts w:hint="default" w:ascii="Times New Roman" w:hAnsi="Times New Roman" w:cs="Times New Roman"/>
                      <w:color w:val="000000"/>
                      <w:sz w:val="21"/>
                      <w:szCs w:val="21"/>
                      <w:vertAlign w:val="superscript"/>
                    </w:rPr>
                    <w:t>3</w:t>
                  </w:r>
                </w:p>
              </w:tc>
              <w:tc>
                <w:tcPr>
                  <w:tcW w:w="54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30.0</w:t>
                  </w:r>
                  <w:r>
                    <w:rPr>
                      <w:rFonts w:hint="default" w:ascii="Times New Roman" w:hAnsi="Times New Roman" w:cs="Times New Roman"/>
                      <w:color w:val="000000"/>
                      <w:sz w:val="21"/>
                      <w:szCs w:val="21"/>
                    </w:rPr>
                    <w:t>%</w:t>
                  </w:r>
                </w:p>
              </w:tc>
              <w:tc>
                <w:tcPr>
                  <w:tcW w:w="45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达标</w:t>
                  </w:r>
                </w:p>
              </w:tc>
            </w:tr>
          </w:tbl>
          <w:p>
            <w:pPr>
              <w:ind w:firstLine="480"/>
              <w:rPr>
                <w:rFonts w:hint="default" w:ascii="Times New Roman" w:hAnsi="Times New Roman" w:cs="Times New Roman"/>
                <w:color w:val="000000"/>
                <w:sz w:val="24"/>
              </w:rPr>
            </w:pPr>
            <w:r>
              <w:rPr>
                <w:rFonts w:hint="default" w:ascii="Times New Roman" w:hAnsi="Times New Roman" w:cs="Times New Roman"/>
                <w:color w:val="000000"/>
                <w:sz w:val="24"/>
              </w:rPr>
              <w:t>由表3-1可知，区域环境空气质量监测因子除PM</w:t>
            </w:r>
            <w:r>
              <w:rPr>
                <w:rFonts w:hint="default" w:ascii="Times New Roman" w:hAnsi="Times New Roman" w:cs="Times New Roman"/>
                <w:color w:val="000000"/>
                <w:sz w:val="24"/>
                <w:vertAlign w:val="subscript"/>
              </w:rPr>
              <w:t>10</w:t>
            </w:r>
            <w:r>
              <w:rPr>
                <w:rFonts w:hint="eastAsia" w:ascii="Times New Roman" w:hAnsi="Times New Roman" w:cs="Times New Roman"/>
                <w:color w:val="000000"/>
                <w:sz w:val="24"/>
                <w:vertAlign w:val="baseline"/>
                <w:lang w:eastAsia="zh-CN"/>
              </w:rPr>
              <w:t>、</w:t>
            </w:r>
            <w:r>
              <w:rPr>
                <w:rFonts w:hint="default" w:ascii="Times New Roman" w:hAnsi="Times New Roman" w:cs="Times New Roman"/>
                <w:color w:val="000000"/>
                <w:sz w:val="24"/>
              </w:rPr>
              <w:t>PM</w:t>
            </w:r>
            <w:r>
              <w:rPr>
                <w:rFonts w:hint="eastAsia" w:ascii="Times New Roman" w:hAnsi="Times New Roman" w:cs="Times New Roman"/>
                <w:color w:val="000000"/>
                <w:sz w:val="24"/>
                <w:vertAlign w:val="subscript"/>
                <w:lang w:val="en-US" w:eastAsia="zh-CN"/>
              </w:rPr>
              <w:t>2.5</w:t>
            </w:r>
            <w:r>
              <w:rPr>
                <w:rFonts w:hint="default" w:ascii="Times New Roman" w:hAnsi="Times New Roman" w:cs="Times New Roman"/>
                <w:color w:val="000000"/>
                <w:sz w:val="24"/>
              </w:rPr>
              <w:t>和</w:t>
            </w:r>
            <w:r>
              <w:rPr>
                <w:rFonts w:hint="eastAsia" w:ascii="Times New Roman" w:hAnsi="Times New Roman" w:cs="Times New Roman"/>
                <w:color w:val="000000"/>
                <w:sz w:val="24"/>
                <w:lang w:val="en-US" w:eastAsia="zh-CN"/>
              </w:rPr>
              <w:t>O</w:t>
            </w:r>
            <w:r>
              <w:rPr>
                <w:rFonts w:hint="eastAsia" w:ascii="Times New Roman" w:hAnsi="Times New Roman" w:cs="Times New Roman"/>
                <w:color w:val="000000"/>
                <w:sz w:val="24"/>
                <w:vertAlign w:val="subscript"/>
                <w:lang w:val="en-US" w:eastAsia="zh-CN"/>
              </w:rPr>
              <w:t>3</w:t>
            </w:r>
            <w:r>
              <w:rPr>
                <w:rFonts w:hint="default" w:ascii="Times New Roman" w:hAnsi="Times New Roman" w:cs="Times New Roman"/>
                <w:color w:val="000000"/>
                <w:sz w:val="24"/>
              </w:rPr>
              <w:t>超标外，其余各监测因子均能满足《环境空气质量标准》（GB3095-2012）二级标准要求。</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cs="Times New Roman"/>
                <w:color w:val="000000"/>
                <w:sz w:val="24"/>
              </w:rPr>
            </w:pPr>
            <w:r>
              <w:rPr>
                <w:rFonts w:hint="default" w:ascii="Times New Roman" w:hAnsi="Times New Roman" w:cs="Times New Roman"/>
                <w:color w:val="auto"/>
                <w:lang w:val="en-US" w:eastAsia="zh-CN"/>
              </w:rPr>
              <w:t>为持续改善全市环境空气质量，打赢打好污染防治攻坚战，</w:t>
            </w:r>
            <w:r>
              <w:rPr>
                <w:rFonts w:hint="default" w:ascii="Times New Roman" w:hAnsi="Times New Roman" w:eastAsia="宋体" w:cs="Times New Roman"/>
                <w:color w:val="auto"/>
                <w:lang w:val="en-US" w:eastAsia="zh-CN"/>
              </w:rPr>
              <w:t>平顶山市生态环境保护委员会办公室</w:t>
            </w:r>
            <w:r>
              <w:rPr>
                <w:rFonts w:hint="eastAsia" w:ascii="Times New Roman" w:hAnsi="Times New Roman" w:eastAsia="宋体" w:cs="Times New Roman"/>
                <w:color w:val="auto"/>
                <w:lang w:val="en-US" w:eastAsia="zh-CN"/>
              </w:rPr>
              <w:t>发布</w:t>
            </w:r>
            <w:r>
              <w:rPr>
                <w:rFonts w:hint="default" w:ascii="Times New Roman" w:hAnsi="Times New Roman" w:eastAsia="宋体" w:cs="Times New Roman"/>
                <w:color w:val="auto"/>
                <w:lang w:val="en-US" w:eastAsia="zh-CN"/>
              </w:rPr>
              <w:t>文件</w:t>
            </w:r>
            <w:r>
              <w:rPr>
                <w:rFonts w:hint="eastAsia" w:ascii="Times New Roman" w:hAnsi="Times New Roman" w:eastAsia="宋体" w:cs="Times New Roman"/>
                <w:color w:val="auto"/>
                <w:lang w:val="en-US" w:eastAsia="zh-CN"/>
              </w:rPr>
              <w:t>《平顶山市生态环境保护委员会办公室关于印发平顶山市2023年蓝天保卫战实施方案的通知》</w:t>
            </w:r>
            <w:r>
              <w:rPr>
                <w:rFonts w:hint="default" w:ascii="Times New Roman" w:hAnsi="Times New Roman" w:eastAsia="宋体" w:cs="Times New Roman"/>
                <w:color w:val="auto"/>
                <w:lang w:val="en-US" w:eastAsia="zh-CN"/>
              </w:rPr>
              <w:t>（</w:t>
            </w:r>
            <w:r>
              <w:rPr>
                <w:rFonts w:hint="eastAsia" w:ascii="Times New Roman" w:hAnsi="Times New Roman" w:eastAsia="宋体" w:cs="Times New Roman"/>
                <w:color w:val="auto"/>
                <w:lang w:val="en-US" w:eastAsia="zh-CN"/>
              </w:rPr>
              <w:t>平环委办〔2023〕13号</w:t>
            </w:r>
            <w:r>
              <w:rPr>
                <w:rFonts w:hint="default" w:ascii="Times New Roman" w:hAnsi="Times New Roman" w:eastAsia="宋体" w:cs="Times New Roman"/>
                <w:color w:val="auto"/>
                <w:lang w:val="en-US" w:eastAsia="zh-CN"/>
              </w:rPr>
              <w:t>）号）</w:t>
            </w:r>
            <w:r>
              <w:rPr>
                <w:rFonts w:hint="eastAsia" w:ascii="Times New Roman" w:hAnsi="Times New Roman" w:eastAsia="宋体" w:cs="Times New Roman"/>
                <w:color w:val="auto"/>
                <w:lang w:val="en-US" w:eastAsia="zh-CN"/>
              </w:rPr>
              <w:t>。</w:t>
            </w:r>
            <w:r>
              <w:rPr>
                <w:rFonts w:hint="eastAsia" w:ascii="宋体" w:hAnsi="宋体" w:eastAsia="宋体" w:cs="宋体"/>
                <w:color w:val="auto"/>
                <w:sz w:val="24"/>
                <w:szCs w:val="24"/>
                <w:u w:val="none"/>
                <w:lang w:val="en-US" w:eastAsia="zh-CN"/>
              </w:rPr>
              <w:t>经</w:t>
            </w:r>
            <w:r>
              <w:rPr>
                <w:rFonts w:ascii="宋体" w:hAnsi="宋体" w:eastAsia="宋体" w:cs="宋体"/>
                <w:color w:val="auto"/>
                <w:sz w:val="24"/>
                <w:szCs w:val="24"/>
                <w:u w:val="none"/>
              </w:rPr>
              <w:t>全市上下认真贯彻落实攻坚方案提</w:t>
            </w:r>
            <w:r>
              <w:rPr>
                <w:rFonts w:hint="eastAsia" w:ascii="宋体" w:hAnsi="宋体" w:eastAsia="宋体" w:cs="宋体"/>
                <w:color w:val="auto"/>
                <w:sz w:val="24"/>
                <w:szCs w:val="24"/>
                <w:u w:val="none"/>
                <w:lang w:val="en-US" w:eastAsia="zh-CN"/>
              </w:rPr>
              <w:t>出的</w:t>
            </w:r>
            <w:r>
              <w:rPr>
                <w:rFonts w:ascii="宋体" w:hAnsi="宋体" w:eastAsia="宋体" w:cs="宋体"/>
                <w:color w:val="auto"/>
                <w:sz w:val="24"/>
                <w:szCs w:val="24"/>
                <w:u w:val="none"/>
              </w:rPr>
              <w:t>各项措施和要求后，区域环境空气质量将进一步得到有效改善。</w:t>
            </w:r>
          </w:p>
          <w:p>
            <w:pPr>
              <w:ind w:firstLine="482"/>
              <w:rPr>
                <w:b/>
                <w:bCs/>
              </w:rPr>
            </w:pPr>
            <w:r>
              <w:rPr>
                <w:rFonts w:hint="eastAsia"/>
                <w:b/>
                <w:bCs/>
              </w:rPr>
              <w:t>2、地表水环境质量现状</w:t>
            </w:r>
          </w:p>
          <w:p>
            <w:pPr>
              <w:ind w:firstLine="480"/>
              <w:rPr>
                <w:rFonts w:hint="eastAsia"/>
              </w:rPr>
            </w:pPr>
            <w:r>
              <w:rPr>
                <w:rFonts w:ascii="Times New Roman" w:hAnsi="Times New Roman" w:cs="Times New Roman"/>
                <w:color w:val="auto"/>
                <w:sz w:val="24"/>
              </w:rPr>
              <w:t>结合本项目所处的地理位置，离本项目最近的地表水体为</w:t>
            </w:r>
            <w:r>
              <w:rPr>
                <w:rFonts w:hint="eastAsia" w:ascii="Times New Roman" w:hAnsi="Times New Roman" w:cs="Times New Roman"/>
                <w:color w:val="auto"/>
                <w:sz w:val="24"/>
                <w:lang w:val="en-US" w:eastAsia="zh-CN"/>
              </w:rPr>
              <w:t>澎河</w:t>
            </w:r>
            <w:r>
              <w:rPr>
                <w:rFonts w:ascii="Times New Roman" w:hAnsi="Times New Roman" w:cs="Times New Roman"/>
                <w:color w:val="auto"/>
                <w:sz w:val="24"/>
              </w:rPr>
              <w:t>（位于项目</w:t>
            </w:r>
            <w:r>
              <w:rPr>
                <w:rFonts w:hint="eastAsia" w:cs="Times New Roman"/>
                <w:color w:val="auto"/>
                <w:sz w:val="24"/>
                <w:lang w:val="en-US" w:eastAsia="zh-CN"/>
              </w:rPr>
              <w:t>南</w:t>
            </w:r>
            <w:r>
              <w:rPr>
                <w:rFonts w:ascii="Times New Roman" w:hAnsi="Times New Roman" w:cs="Times New Roman"/>
                <w:color w:val="auto"/>
                <w:sz w:val="24"/>
              </w:rPr>
              <w:t>侧约</w:t>
            </w:r>
            <w:r>
              <w:rPr>
                <w:rFonts w:hint="eastAsia" w:ascii="Times New Roman" w:hAnsi="Times New Roman" w:cs="Times New Roman"/>
                <w:color w:val="auto"/>
                <w:sz w:val="24"/>
                <w:lang w:val="en-US" w:eastAsia="zh-CN"/>
              </w:rPr>
              <w:t>5</w:t>
            </w:r>
            <w:r>
              <w:rPr>
                <w:rFonts w:hint="eastAsia" w:cs="Times New Roman"/>
                <w:color w:val="auto"/>
                <w:sz w:val="24"/>
                <w:lang w:val="en-US" w:eastAsia="zh-CN"/>
              </w:rPr>
              <w:t>40</w:t>
            </w:r>
            <w:r>
              <w:rPr>
                <w:rFonts w:ascii="Times New Roman" w:hAnsi="Times New Roman" w:cs="Times New Roman"/>
                <w:color w:val="auto"/>
                <w:sz w:val="24"/>
              </w:rPr>
              <w:t>m）。根据地表水质量功能区划分，项目所在地的水环境执行《地表水环境质量标准》（GB3838-2002）Ⅲ类标准。</w:t>
            </w:r>
            <w:r>
              <w:rPr>
                <w:rFonts w:hint="eastAsia" w:ascii="Times New Roman" w:hAnsi="Times New Roman" w:eastAsia="宋体"/>
                <w:color w:val="auto"/>
                <w:sz w:val="24"/>
                <w:szCs w:val="24"/>
              </w:rPr>
              <w:t>本次评价引用平顶山市</w:t>
            </w:r>
            <w:r>
              <w:rPr>
                <w:rFonts w:hint="eastAsia" w:ascii="Times New Roman" w:hAnsi="Times New Roman" w:eastAsia="宋体"/>
                <w:color w:val="auto"/>
                <w:sz w:val="24"/>
                <w:szCs w:val="24"/>
                <w:lang w:val="en-US" w:eastAsia="zh-CN"/>
              </w:rPr>
              <w:t>2022</w:t>
            </w:r>
            <w:r>
              <w:rPr>
                <w:rFonts w:hint="eastAsia" w:ascii="Times New Roman" w:hAnsi="Times New Roman" w:eastAsia="宋体"/>
                <w:color w:val="auto"/>
                <w:sz w:val="24"/>
                <w:szCs w:val="24"/>
              </w:rPr>
              <w:t>环境</w:t>
            </w:r>
            <w:r>
              <w:rPr>
                <w:rFonts w:hint="eastAsia" w:ascii="Times New Roman" w:hAnsi="Times New Roman" w:eastAsia="宋体"/>
                <w:color w:val="auto"/>
                <w:sz w:val="24"/>
                <w:szCs w:val="24"/>
                <w:lang w:val="en-US" w:eastAsia="zh-CN"/>
              </w:rPr>
              <w:t>年鉴中</w:t>
            </w:r>
            <w:r>
              <w:rPr>
                <w:rFonts w:hint="eastAsia" w:ascii="Times New Roman" w:hAnsi="Times New Roman" w:eastAsia="宋体"/>
                <w:color w:val="auto"/>
                <w:sz w:val="24"/>
                <w:szCs w:val="24"/>
                <w:lang w:eastAsia="zh-CN"/>
              </w:rPr>
              <w:t>城市河流水质监测</w:t>
            </w:r>
            <w:r>
              <w:rPr>
                <w:rFonts w:hint="eastAsia" w:ascii="Times New Roman" w:hAnsi="Times New Roman" w:eastAsia="宋体"/>
                <w:color w:val="auto"/>
                <w:sz w:val="24"/>
                <w:szCs w:val="24"/>
                <w:lang w:val="en-US" w:eastAsia="zh-CN"/>
              </w:rPr>
              <w:t>澎河新孔庄桥</w:t>
            </w:r>
            <w:r>
              <w:rPr>
                <w:rFonts w:hint="eastAsia" w:ascii="Times New Roman" w:hAnsi="Times New Roman" w:eastAsia="宋体"/>
                <w:color w:val="auto"/>
                <w:sz w:val="24"/>
                <w:szCs w:val="24"/>
              </w:rPr>
              <w:t>断面的监测数据</w:t>
            </w:r>
            <w:r>
              <w:rPr>
                <w:rFonts w:hint="eastAsia" w:ascii="Times New Roman" w:hAnsi="Times New Roman" w:eastAsia="宋体"/>
                <w:color w:val="auto"/>
                <w:sz w:val="24"/>
                <w:szCs w:val="24"/>
                <w:lang w:eastAsia="zh-CN"/>
              </w:rPr>
              <w:t>，</w:t>
            </w:r>
            <w:r>
              <w:rPr>
                <w:rFonts w:hint="eastAsia" w:ascii="Times New Roman" w:hAnsi="Times New Roman" w:eastAsia="宋体"/>
                <w:color w:val="auto"/>
                <w:sz w:val="24"/>
                <w:szCs w:val="24"/>
                <w:lang w:val="en-US" w:eastAsia="zh-CN"/>
              </w:rPr>
              <w:t>监测结果见下表：</w:t>
            </w:r>
          </w:p>
          <w:p>
            <w:pPr>
              <w:ind w:firstLine="480"/>
              <w:rPr>
                <w:rFonts w:hint="eastAsia"/>
              </w:rPr>
            </w:pPr>
          </w:p>
          <w:p>
            <w:pPr>
              <w:ind w:firstLine="480"/>
              <w:rPr>
                <w:rFonts w:hint="eastAsia"/>
              </w:rPr>
            </w:pPr>
          </w:p>
          <w:p>
            <w:pPr>
              <w:pStyle w:val="28"/>
              <w:jc w:val="center"/>
              <w:rPr>
                <w:rFonts w:eastAsia="黑体" w:cs="Times New Roman"/>
                <w:b w:val="0"/>
                <w:bCs w:val="0"/>
                <w:sz w:val="24"/>
                <w:szCs w:val="24"/>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eastAsia="黑体" w:cs="Times New Roman"/>
                <w:b w:val="0"/>
                <w:bCs w:val="0"/>
                <w:sz w:val="24"/>
                <w:szCs w:val="24"/>
              </w:rPr>
            </w:pPr>
            <w:r>
              <w:rPr>
                <w:rFonts w:eastAsia="黑体" w:cs="Times New Roman"/>
                <w:b w:val="0"/>
                <w:bCs w:val="0"/>
                <w:sz w:val="24"/>
                <w:szCs w:val="24"/>
              </w:rPr>
              <w:t>表3-2  地表水现状监测及评价结果一览表</w:t>
            </w:r>
          </w:p>
          <w:tbl>
            <w:tblPr>
              <w:tblStyle w:val="21"/>
              <w:tblW w:w="9276" w:type="dxa"/>
              <w:jc w:val="center"/>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Layout w:type="autofit"/>
              <w:tblCellMar>
                <w:top w:w="0" w:type="dxa"/>
                <w:left w:w="108" w:type="dxa"/>
                <w:bottom w:w="0" w:type="dxa"/>
                <w:right w:w="108" w:type="dxa"/>
              </w:tblCellMar>
            </w:tblPr>
            <w:tblGrid>
              <w:gridCol w:w="800"/>
              <w:gridCol w:w="1228"/>
              <w:gridCol w:w="1308"/>
              <w:gridCol w:w="1356"/>
              <w:gridCol w:w="969"/>
              <w:gridCol w:w="1018"/>
              <w:gridCol w:w="1615"/>
              <w:gridCol w:w="982"/>
            </w:tblGrid>
            <w:tr>
              <w:tblPrEx>
                <w:tblCellMar>
                  <w:top w:w="0" w:type="dxa"/>
                  <w:left w:w="108" w:type="dxa"/>
                  <w:bottom w:w="0" w:type="dxa"/>
                  <w:right w:w="108" w:type="dxa"/>
                </w:tblCellMar>
              </w:tblPrEx>
              <w:trPr>
                <w:trHeight w:val="645" w:hRule="atLeast"/>
                <w:jc w:val="center"/>
              </w:trPr>
              <w:tc>
                <w:tcPr>
                  <w:tcW w:w="800" w:type="dxa"/>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断面名称</w:t>
                  </w: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采样时间</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pH值</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化学需氧量</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总磷</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氨氮</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高锰酸盐指数</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总氮</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800" w:type="dxa"/>
                  <w:vMerge w:val="restart"/>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澎河新孔庄桥</w:t>
                  </w: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1月13日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8.3</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14</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0.06</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0.600</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4.61</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54"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2月17日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7.5</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9</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0.05</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0.715</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2.3</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14.0</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39"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3月10日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7.8</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0.06</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0.369</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2.8</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12.2</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279"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4月12日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7.9</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0.08</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0.200</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3.2</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4.84</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289"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5月19日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8.3</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0.04</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0.268</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2.6</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1.21</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39"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6月16日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8.2</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0.06</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0.265</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3.0</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1.76</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73"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7月12日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7.1</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0.04</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0.766</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4.2</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1.37</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400"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8月12日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8.0</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0.04</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0.262</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4.1</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400"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9月8日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7.5</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0.05</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0.396</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4.2</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55"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10月8日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434"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11月8日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8.1</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0.04</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0.187</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3.0</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59"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12月13日</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7.5</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0.04</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0.187</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3.1</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31"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最小值</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7.1</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9</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0.04</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0.187</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2.3</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1.21</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406"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zh-CN" w:eastAsia="zh-CN"/>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最大值</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8.3</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14</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0.08</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0.766</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4.2</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14.0</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91"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zh-CN" w:eastAsia="zh-CN" w:bidi="ar"/>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年均值</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7.7</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12</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0.05</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0.383</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3.2</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5.71</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91"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zh-CN" w:eastAsia="zh-CN" w:bidi="ar"/>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标准限值（</w:t>
                  </w:r>
                  <w:r>
                    <w:rPr>
                      <w:rFonts w:hint="eastAsia" w:ascii="Times New Roman" w:hAnsi="Times New Roman" w:eastAsia="宋体" w:cs="Times New Roman"/>
                      <w:color w:val="auto"/>
                      <w:kern w:val="0"/>
                      <w:sz w:val="21"/>
                      <w:szCs w:val="21"/>
                      <w:highlight w:val="none"/>
                      <w:lang w:val="en-US" w:eastAsia="zh-CN" w:bidi="ar"/>
                    </w:rPr>
                    <w:fldChar w:fldCharType="begin"/>
                  </w:r>
                  <w:r>
                    <w:rPr>
                      <w:rFonts w:hint="eastAsia" w:ascii="Times New Roman" w:hAnsi="Times New Roman" w:eastAsia="宋体" w:cs="Times New Roman"/>
                      <w:color w:val="auto"/>
                      <w:kern w:val="0"/>
                      <w:sz w:val="21"/>
                      <w:szCs w:val="21"/>
                      <w:highlight w:val="none"/>
                      <w:lang w:val="en-US" w:eastAsia="zh-CN" w:bidi="ar"/>
                    </w:rPr>
                    <w:instrText xml:space="preserve"> = 3 \* ROMAN \* MERGEFORMAT </w:instrText>
                  </w:r>
                  <w:r>
                    <w:rPr>
                      <w:rFonts w:hint="eastAsia" w:ascii="Times New Roman" w:hAnsi="Times New Roman" w:eastAsia="宋体" w:cs="Times New Roman"/>
                      <w:color w:val="auto"/>
                      <w:kern w:val="0"/>
                      <w:sz w:val="21"/>
                      <w:szCs w:val="21"/>
                      <w:highlight w:val="none"/>
                      <w:lang w:val="en-US" w:eastAsia="zh-CN" w:bidi="ar"/>
                    </w:rPr>
                    <w:fldChar w:fldCharType="separate"/>
                  </w:r>
                  <w:r>
                    <w:rPr>
                      <w:rFonts w:hint="eastAsia" w:ascii="Times New Roman" w:hAnsi="Times New Roman" w:eastAsia="宋体" w:cs="Times New Roman"/>
                      <w:color w:val="auto"/>
                      <w:kern w:val="0"/>
                      <w:sz w:val="21"/>
                      <w:szCs w:val="21"/>
                      <w:highlight w:val="none"/>
                      <w:lang w:val="en-US" w:eastAsia="zh-CN" w:bidi="ar"/>
                    </w:rPr>
                    <w:t>Ⅲ</w:t>
                  </w:r>
                  <w:r>
                    <w:rPr>
                      <w:rFonts w:hint="eastAsia" w:ascii="Times New Roman" w:hAnsi="Times New Roman" w:eastAsia="宋体" w:cs="Times New Roman"/>
                      <w:color w:val="auto"/>
                      <w:kern w:val="0"/>
                      <w:sz w:val="21"/>
                      <w:szCs w:val="21"/>
                      <w:highlight w:val="none"/>
                      <w:lang w:val="en-US" w:eastAsia="zh-CN" w:bidi="ar"/>
                    </w:rPr>
                    <w:fldChar w:fldCharType="end"/>
                  </w:r>
                  <w:r>
                    <w:rPr>
                      <w:rFonts w:hint="eastAsia" w:ascii="Times New Roman" w:hAnsi="Times New Roman" w:eastAsia="宋体" w:cs="Times New Roman"/>
                      <w:color w:val="auto"/>
                      <w:kern w:val="0"/>
                      <w:sz w:val="21"/>
                      <w:szCs w:val="21"/>
                      <w:highlight w:val="none"/>
                      <w:lang w:val="en-US" w:eastAsia="zh-CN" w:bidi="ar"/>
                    </w:rPr>
                    <w:t>类）</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7-9</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20</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0.2</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1.0</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6</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6" w:space="0"/>
                  <w:insideV w:val="single" w:color="000000" w:sz="6" w:space="0"/>
                </w:tblBorders>
                <w:tblCellMar>
                  <w:top w:w="0" w:type="dxa"/>
                  <w:left w:w="108" w:type="dxa"/>
                  <w:bottom w:w="0" w:type="dxa"/>
                  <w:right w:w="108" w:type="dxa"/>
                </w:tblCellMar>
              </w:tblPrEx>
              <w:trPr>
                <w:trHeight w:val="376" w:hRule="atLeast"/>
                <w:jc w:val="center"/>
              </w:trPr>
              <w:tc>
                <w:tcPr>
                  <w:tcW w:w="800" w:type="dxa"/>
                  <w:vMerge w:val="continue"/>
                  <w:tcBorders>
                    <w:righ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eastAsia" w:ascii="Times New Roman" w:hAnsi="Times New Roman" w:eastAsia="宋体" w:cs="Times New Roman"/>
                      <w:color w:val="auto"/>
                      <w:kern w:val="0"/>
                      <w:sz w:val="21"/>
                      <w:szCs w:val="21"/>
                      <w:highlight w:val="none"/>
                      <w:lang w:val="zh-CN" w:eastAsia="zh-CN" w:bidi="ar"/>
                    </w:rPr>
                  </w:pPr>
                </w:p>
              </w:tc>
              <w:tc>
                <w:tcPr>
                  <w:tcW w:w="1228"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达标情况</w:t>
                  </w:r>
                </w:p>
              </w:tc>
              <w:tc>
                <w:tcPr>
                  <w:tcW w:w="130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达标</w:t>
                  </w:r>
                </w:p>
              </w:tc>
              <w:tc>
                <w:tcPr>
                  <w:tcW w:w="1356"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达标</w:t>
                  </w:r>
                </w:p>
              </w:tc>
              <w:tc>
                <w:tcPr>
                  <w:tcW w:w="969"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达标</w:t>
                  </w:r>
                </w:p>
              </w:tc>
              <w:tc>
                <w:tcPr>
                  <w:tcW w:w="1018"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达标</w:t>
                  </w:r>
                </w:p>
              </w:tc>
              <w:tc>
                <w:tcPr>
                  <w:tcW w:w="1615" w:type="dxa"/>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达标</w:t>
                  </w:r>
                </w:p>
              </w:tc>
              <w:tc>
                <w:tcPr>
                  <w:tcW w:w="982" w:type="dxa"/>
                  <w:tcBorders>
                    <w:left w:val="single" w:color="auto" w:sz="4" w:space="0"/>
                  </w:tcBorders>
                  <w:noWrap w:val="0"/>
                  <w:vAlign w:val="center"/>
                </w:tcPr>
                <w:p>
                  <w:pPr>
                    <w:pStyle w:val="9"/>
                    <w:keepNext w:val="0"/>
                    <w:keepLines w:val="0"/>
                    <w:pageBreakBefore w:val="0"/>
                    <w:kinsoku/>
                    <w:wordWrap/>
                    <w:overflowPunct/>
                    <w:autoSpaceDE/>
                    <w:autoSpaceDN/>
                    <w:bidi w:val="0"/>
                    <w:spacing w:after="0" w:line="240" w:lineRule="auto"/>
                    <w:ind w:left="0" w:leftChars="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超标</w:t>
                  </w:r>
                </w:p>
              </w:tc>
            </w:tr>
          </w:tbl>
          <w:p>
            <w:pPr>
              <w:ind w:firstLine="480"/>
              <w:rPr>
                <w:rFonts w:hint="eastAsia"/>
              </w:rPr>
            </w:pPr>
            <w:r>
              <w:rPr>
                <w:rFonts w:hint="eastAsia"/>
              </w:rPr>
              <w:t>由上表可知，本项目区域地表</w:t>
            </w:r>
            <w:r>
              <w:rPr>
                <w:rFonts w:hint="eastAsia"/>
                <w:lang w:val="en-US" w:eastAsia="zh-CN"/>
              </w:rPr>
              <w:t>水体彭河总氮超标，其余因子可</w:t>
            </w:r>
            <w:r>
              <w:rPr>
                <w:rFonts w:hint="eastAsia"/>
              </w:rPr>
              <w:t>满足《地表水环境质量标准》（GB3838-2002）</w:t>
            </w:r>
            <w:r>
              <w:rPr>
                <w:rFonts w:cs="Times New Roman"/>
              </w:rPr>
              <w:t>Ⅲ</w:t>
            </w:r>
            <w:r>
              <w:rPr>
                <w:rFonts w:hint="eastAsia"/>
              </w:rPr>
              <w:t>类标准。</w:t>
            </w:r>
          </w:p>
          <w:p>
            <w:pPr>
              <w:ind w:firstLine="480"/>
            </w:pPr>
            <w:r>
              <w:rPr>
                <w:rFonts w:hint="eastAsia" w:ascii="Times New Roman" w:hAnsi="Times New Roman" w:eastAsia="宋体"/>
                <w:color w:val="auto"/>
                <w:sz w:val="24"/>
                <w:lang w:val="en-US" w:eastAsia="zh-CN"/>
              </w:rPr>
              <w:t>目前平顶山正在实施</w:t>
            </w:r>
            <w:r>
              <w:rPr>
                <w:rFonts w:hint="eastAsia" w:ascii="Times New Roman" w:hAnsi="Times New Roman" w:eastAsia="宋体" w:cs="Times New Roman"/>
                <w:color w:val="auto"/>
                <w:sz w:val="24"/>
                <w:lang w:val="en-US" w:eastAsia="zh-CN"/>
              </w:rPr>
              <w:t>《平顶山市生态环境保护委员会办公室关于印发平顶山市2023年碧水保卫战实施方案的通知》</w:t>
            </w:r>
            <w:r>
              <w:rPr>
                <w:rFonts w:hint="default" w:ascii="Times New Roman" w:hAnsi="Times New Roman" w:eastAsia="宋体" w:cs="Times New Roman"/>
                <w:color w:val="auto"/>
                <w:sz w:val="24"/>
                <w:lang w:val="en-US" w:eastAsia="zh-CN"/>
              </w:rPr>
              <w:t>（</w:t>
            </w:r>
            <w:r>
              <w:rPr>
                <w:rFonts w:hint="eastAsia" w:ascii="Times New Roman" w:hAnsi="Times New Roman" w:eastAsia="宋体" w:cs="Times New Roman"/>
                <w:color w:val="auto"/>
                <w:sz w:val="24"/>
                <w:lang w:val="en-US" w:eastAsia="zh-CN"/>
              </w:rPr>
              <w:t>平环委办〔2023〕15号</w:t>
            </w:r>
            <w:r>
              <w:rPr>
                <w:rFonts w:hint="default" w:ascii="Times New Roman" w:hAnsi="Times New Roman" w:eastAsia="宋体" w:cs="Times New Roman"/>
                <w:color w:val="auto"/>
                <w:sz w:val="24"/>
                <w:lang w:val="en-US" w:eastAsia="zh-CN"/>
              </w:rPr>
              <w:t>）</w:t>
            </w:r>
            <w:r>
              <w:rPr>
                <w:rFonts w:hint="eastAsia" w:ascii="Times New Roman" w:hAnsi="Times New Roman" w:eastAsia="宋体" w:cs="Times New Roman"/>
                <w:color w:val="auto"/>
                <w:sz w:val="24"/>
                <w:lang w:val="en-US" w:eastAsia="zh-CN"/>
              </w:rPr>
              <w:t>，经采取该文件中相关水污染防治措施后，该区域水质将得到有效改善</w:t>
            </w:r>
            <w:r>
              <w:rPr>
                <w:rFonts w:hint="eastAsia" w:ascii="Times New Roman" w:hAnsi="Times New Roman" w:cs="Times New Roman"/>
                <w:color w:val="auto"/>
                <w:kern w:val="0"/>
                <w:sz w:val="24"/>
                <w:lang w:bidi="ar"/>
              </w:rPr>
              <w:t>。</w:t>
            </w:r>
          </w:p>
          <w:p>
            <w:pPr>
              <w:ind w:firstLine="482"/>
              <w:rPr>
                <w:b/>
                <w:bCs/>
              </w:rPr>
            </w:pPr>
            <w:r>
              <w:rPr>
                <w:b/>
                <w:bCs/>
              </w:rPr>
              <w:t>3</w:t>
            </w:r>
            <w:r>
              <w:rPr>
                <w:rFonts w:hint="eastAsia"/>
                <w:b/>
                <w:bCs/>
              </w:rPr>
              <w:t>、</w:t>
            </w:r>
            <w:r>
              <w:rPr>
                <w:b/>
                <w:bCs/>
              </w:rPr>
              <w:t>声环境质量状况</w:t>
            </w:r>
          </w:p>
          <w:p>
            <w:pPr>
              <w:ind w:firstLine="480"/>
            </w:pPr>
            <w:r>
              <w:rPr>
                <w:rFonts w:hint="eastAsia" w:ascii="Times New Roman" w:hAnsi="Times New Roman" w:cs="Times New Roman"/>
                <w:b w:val="0"/>
                <w:bCs w:val="0"/>
                <w:color w:val="000000"/>
                <w:sz w:val="24"/>
                <w:u w:val="none"/>
                <w:lang w:val="en-US" w:eastAsia="zh-CN"/>
              </w:rPr>
              <w:t>根据现场勘查，距离项目较近的敏感点为项目北侧</w:t>
            </w:r>
            <w:r>
              <w:rPr>
                <w:rFonts w:hint="eastAsia" w:cs="Times New Roman"/>
                <w:b w:val="0"/>
                <w:bCs w:val="0"/>
                <w:color w:val="000000"/>
                <w:sz w:val="24"/>
                <w:u w:val="none"/>
                <w:lang w:val="en-US" w:eastAsia="zh-CN"/>
              </w:rPr>
              <w:t>约150</w:t>
            </w:r>
            <w:r>
              <w:rPr>
                <w:rFonts w:hint="eastAsia" w:ascii="Times New Roman" w:hAnsi="Times New Roman" w:cs="Times New Roman"/>
                <w:b w:val="0"/>
                <w:bCs w:val="0"/>
                <w:color w:val="000000"/>
                <w:sz w:val="24"/>
                <w:u w:val="none"/>
                <w:lang w:val="en-US" w:eastAsia="zh-CN"/>
              </w:rPr>
              <w:t>m处的</w:t>
            </w:r>
            <w:r>
              <w:rPr>
                <w:rFonts w:hint="eastAsia" w:cs="Times New Roman"/>
                <w:b w:val="0"/>
                <w:bCs w:val="0"/>
                <w:color w:val="000000"/>
                <w:sz w:val="24"/>
                <w:u w:val="none"/>
                <w:lang w:val="en-US" w:eastAsia="zh-CN"/>
              </w:rPr>
              <w:t>福林庄</w:t>
            </w:r>
            <w:r>
              <w:rPr>
                <w:rFonts w:hint="eastAsia" w:ascii="Times New Roman" w:hAnsi="Times New Roman" w:cs="Times New Roman"/>
                <w:b w:val="0"/>
                <w:bCs w:val="0"/>
                <w:color w:val="000000"/>
                <w:sz w:val="24"/>
                <w:u w:val="none"/>
                <w:lang w:val="en-US" w:eastAsia="zh-CN"/>
              </w:rPr>
              <w:t>村，项目厂界周围50m范围内无敏感目标。根据《建设项目环境影响报告表编制技术指南（污染影响类）》，项目厂界周围50m范围内无声环境保护目标，可不进行现状监测。</w:t>
            </w:r>
          </w:p>
          <w:p>
            <w:pPr>
              <w:ind w:firstLine="482"/>
              <w:rPr>
                <w:rFonts w:hint="default" w:ascii="Times New Roman" w:hAnsi="Times New Roman" w:cs="Times New Roman"/>
                <w:b/>
                <w:color w:val="000000"/>
                <w:sz w:val="24"/>
              </w:rPr>
            </w:pPr>
            <w:r>
              <w:rPr>
                <w:rFonts w:hint="eastAsia" w:ascii="Times New Roman" w:hAnsi="Times New Roman" w:cs="Times New Roman"/>
                <w:b/>
                <w:color w:val="000000"/>
                <w:sz w:val="24"/>
                <w:lang w:val="en-US" w:eastAsia="zh-CN"/>
              </w:rPr>
              <w:t>4</w:t>
            </w:r>
            <w:r>
              <w:rPr>
                <w:rFonts w:hint="default" w:ascii="Times New Roman" w:hAnsi="Times New Roman" w:cs="Times New Roman"/>
                <w:b/>
                <w:color w:val="000000"/>
                <w:sz w:val="24"/>
              </w:rPr>
              <w:t>、生态环境</w:t>
            </w:r>
            <w:r>
              <w:rPr>
                <w:rFonts w:hint="default" w:ascii="Times New Roman" w:hAnsi="Times New Roman" w:eastAsia="宋体"/>
                <w:b/>
                <w:bCs/>
              </w:rPr>
              <w:t>质量</w:t>
            </w:r>
            <w:r>
              <w:rPr>
                <w:rFonts w:hint="default" w:ascii="Times New Roman" w:hAnsi="Times New Roman" w:cs="Times New Roman"/>
                <w:b/>
                <w:color w:val="000000"/>
                <w:sz w:val="24"/>
              </w:rPr>
              <w:t>现状</w:t>
            </w:r>
          </w:p>
          <w:p>
            <w:pPr>
              <w:ind w:firstLine="480"/>
            </w:pPr>
            <w:r>
              <w:rPr>
                <w:rFonts w:hint="default" w:ascii="Times New Roman" w:hAnsi="Times New Roman" w:cs="Times New Roman"/>
                <w:color w:val="000000"/>
                <w:sz w:val="24"/>
              </w:rPr>
              <w:t>根据现场调查，项目周围主要为企业、道路。项目周围500m范围内无重点保护的野生动植物</w:t>
            </w:r>
            <w:r>
              <w:rPr>
                <w:rFonts w:hint="eastAsia" w:cs="Times New Roman"/>
                <w:color w:val="000000"/>
                <w:sz w:val="24"/>
                <w:lang w:eastAsia="zh-CN"/>
              </w:rPr>
              <w:t>，</w:t>
            </w:r>
            <w:r>
              <w:rPr>
                <w:rFonts w:hint="default" w:ascii="Times New Roman" w:hAnsi="Times New Roman" w:cs="Times New Roman"/>
                <w:color w:val="000000"/>
                <w:sz w:val="24"/>
              </w:rPr>
              <w:t>无划定的自然保护区等生态敏感区</w:t>
            </w:r>
            <w:r>
              <w:rPr>
                <w:rFonts w:hint="eastAsia" w:cs="Times New Roman"/>
                <w:color w:val="000000"/>
                <w:sz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704" w:type="dxa"/>
            <w:tcBorders>
              <w:tl2br w:val="nil"/>
              <w:tr2bl w:val="nil"/>
            </w:tcBorders>
            <w:vAlign w:val="center"/>
          </w:tcPr>
          <w:p>
            <w:pPr>
              <w:ind w:firstLine="0" w:firstLineChars="0"/>
              <w:jc w:val="center"/>
            </w:pPr>
            <w:r>
              <w:rPr>
                <w:rFonts w:hint="eastAsia"/>
              </w:rPr>
              <w:t>环境保护目标</w:t>
            </w:r>
          </w:p>
        </w:tc>
        <w:tc>
          <w:tcPr>
            <w:tcW w:w="835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520" w:lineRule="exact"/>
              <w:ind w:left="0" w:leftChars="0" w:firstLine="482" w:firstLineChars="200"/>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1、大气和地表水环境</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jc w:val="both"/>
              <w:textAlignment w:val="auto"/>
              <w:rPr>
                <w:rFonts w:cs="Times New Roman"/>
                <w:bCs/>
                <w:szCs w:val="24"/>
              </w:rPr>
            </w:pPr>
            <w:r>
              <w:rPr>
                <w:rFonts w:cs="Times New Roman"/>
                <w:bCs/>
                <w:szCs w:val="24"/>
              </w:rPr>
              <w:t>根据现场调查，本项目所在区域主要环境保护目标见下表。</w:t>
            </w:r>
          </w:p>
          <w:p>
            <w:pPr>
              <w:keepNext w:val="0"/>
              <w:keepLines w:val="0"/>
              <w:pageBreakBefore w:val="0"/>
              <w:widowControl w:val="0"/>
              <w:kinsoku/>
              <w:wordWrap/>
              <w:overflowPunct/>
              <w:topLinePunct w:val="0"/>
              <w:autoSpaceDE/>
              <w:autoSpaceDN/>
              <w:bidi w:val="0"/>
              <w:adjustRightInd/>
              <w:snapToGrid/>
              <w:spacing w:line="480" w:lineRule="exact"/>
              <w:ind w:firstLine="0" w:firstLineChars="0"/>
              <w:jc w:val="center"/>
              <w:textAlignment w:val="auto"/>
              <w:rPr>
                <w:rFonts w:eastAsia="黑体" w:cs="Times New Roman"/>
                <w:szCs w:val="24"/>
              </w:rPr>
            </w:pPr>
            <w:r>
              <w:rPr>
                <w:rFonts w:eastAsia="黑体" w:cs="Times New Roman"/>
                <w:szCs w:val="24"/>
              </w:rPr>
              <w:t>表3-</w:t>
            </w:r>
            <w:r>
              <w:rPr>
                <w:rFonts w:hint="eastAsia" w:eastAsia="黑体" w:cs="Times New Roman"/>
                <w:szCs w:val="24"/>
                <w:lang w:val="en-US" w:eastAsia="zh-CN"/>
              </w:rPr>
              <w:t>3</w:t>
            </w:r>
            <w:r>
              <w:rPr>
                <w:rFonts w:eastAsia="黑体" w:cs="Times New Roman"/>
                <w:szCs w:val="24"/>
              </w:rPr>
              <w:t xml:space="preserve">   项目环境保护目标一览表</w:t>
            </w:r>
          </w:p>
          <w:tbl>
            <w:tblPr>
              <w:tblStyle w:val="22"/>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964"/>
              <w:gridCol w:w="1198"/>
              <w:gridCol w:w="1068"/>
              <w:gridCol w:w="1079"/>
              <w:gridCol w:w="940"/>
              <w:gridCol w:w="722"/>
              <w:gridCol w:w="805"/>
              <w:gridCol w:w="24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75" w:hRule="atLeast"/>
              </w:trPr>
              <w:tc>
                <w:tcPr>
                  <w:tcW w:w="521"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环境要素</w:t>
                  </w:r>
                </w:p>
              </w:tc>
              <w:tc>
                <w:tcPr>
                  <w:tcW w:w="647"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环境保护目标</w:t>
                  </w:r>
                </w:p>
              </w:tc>
              <w:tc>
                <w:tcPr>
                  <w:tcW w:w="1160" w:type="pct"/>
                  <w:gridSpan w:val="2"/>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坐标</w:t>
                  </w:r>
                </w:p>
              </w:tc>
              <w:tc>
                <w:tcPr>
                  <w:tcW w:w="508"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居住人口/功能区</w:t>
                  </w:r>
                </w:p>
              </w:tc>
              <w:tc>
                <w:tcPr>
                  <w:tcW w:w="390"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方位</w:t>
                  </w:r>
                </w:p>
              </w:tc>
              <w:tc>
                <w:tcPr>
                  <w:tcW w:w="435"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距离</w:t>
                  </w:r>
                </w:p>
                <w:p>
                  <w:pPr>
                    <w:spacing w:line="320" w:lineRule="exact"/>
                    <w:ind w:firstLine="0" w:firstLineChars="0"/>
                    <w:jc w:val="center"/>
                    <w:rPr>
                      <w:rFonts w:cs="Times New Roman"/>
                      <w:bCs/>
                      <w:kern w:val="0"/>
                      <w:sz w:val="21"/>
                    </w:rPr>
                  </w:pPr>
                  <w:r>
                    <w:rPr>
                      <w:rFonts w:cs="Times New Roman"/>
                      <w:bCs/>
                      <w:kern w:val="0"/>
                      <w:sz w:val="21"/>
                    </w:rPr>
                    <w:t>（m）</w:t>
                  </w:r>
                </w:p>
              </w:tc>
              <w:tc>
                <w:tcPr>
                  <w:tcW w:w="1337"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保护级别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5" w:hRule="atLeast"/>
              </w:trPr>
              <w:tc>
                <w:tcPr>
                  <w:tcW w:w="521" w:type="pct"/>
                  <w:vMerge w:val="continue"/>
                  <w:tcBorders>
                    <w:tl2br w:val="nil"/>
                    <w:tr2bl w:val="nil"/>
                  </w:tcBorders>
                  <w:vAlign w:val="center"/>
                </w:tcPr>
                <w:p>
                  <w:pPr>
                    <w:spacing w:line="320" w:lineRule="exact"/>
                    <w:ind w:firstLine="0" w:firstLineChars="0"/>
                    <w:jc w:val="center"/>
                  </w:pPr>
                </w:p>
              </w:tc>
              <w:tc>
                <w:tcPr>
                  <w:tcW w:w="647" w:type="pct"/>
                  <w:vMerge w:val="continue"/>
                  <w:tcBorders>
                    <w:tl2br w:val="nil"/>
                    <w:tr2bl w:val="nil"/>
                  </w:tcBorders>
                  <w:vAlign w:val="center"/>
                </w:tcPr>
                <w:p>
                  <w:pPr>
                    <w:spacing w:line="320" w:lineRule="exact"/>
                    <w:ind w:firstLine="0" w:firstLineChars="0"/>
                    <w:jc w:val="center"/>
                  </w:pPr>
                </w:p>
              </w:tc>
              <w:tc>
                <w:tcPr>
                  <w:tcW w:w="577" w:type="pct"/>
                  <w:tcBorders>
                    <w:tl2br w:val="nil"/>
                    <w:tr2bl w:val="nil"/>
                  </w:tcBorders>
                  <w:vAlign w:val="center"/>
                </w:tcPr>
                <w:p>
                  <w:pPr>
                    <w:spacing w:line="320" w:lineRule="exact"/>
                    <w:ind w:firstLine="0" w:firstLineChars="0"/>
                    <w:jc w:val="center"/>
                    <w:rPr>
                      <w:rFonts w:hint="default" w:eastAsia="宋体" w:cs="Times New Roman"/>
                      <w:bCs/>
                      <w:kern w:val="0"/>
                      <w:sz w:val="21"/>
                      <w:lang w:val="en-US" w:eastAsia="zh-CN"/>
                    </w:rPr>
                  </w:pPr>
                  <w:r>
                    <w:rPr>
                      <w:rFonts w:hint="eastAsia" w:cs="Times New Roman"/>
                      <w:bCs/>
                      <w:kern w:val="0"/>
                      <w:sz w:val="21"/>
                      <w:lang w:val="en-US" w:eastAsia="zh-CN"/>
                    </w:rPr>
                    <w:t>经度</w:t>
                  </w:r>
                </w:p>
              </w:tc>
              <w:tc>
                <w:tcPr>
                  <w:tcW w:w="583" w:type="pct"/>
                  <w:tcBorders>
                    <w:tl2br w:val="nil"/>
                    <w:tr2bl w:val="nil"/>
                  </w:tcBorders>
                  <w:vAlign w:val="center"/>
                </w:tcPr>
                <w:p>
                  <w:pPr>
                    <w:spacing w:line="320" w:lineRule="exact"/>
                    <w:ind w:firstLine="0" w:firstLineChars="0"/>
                    <w:jc w:val="center"/>
                    <w:rPr>
                      <w:rFonts w:hint="default" w:eastAsia="宋体" w:cs="Times New Roman"/>
                      <w:bCs/>
                      <w:kern w:val="0"/>
                      <w:sz w:val="21"/>
                      <w:lang w:val="en-US" w:eastAsia="zh-CN"/>
                    </w:rPr>
                  </w:pPr>
                  <w:r>
                    <w:rPr>
                      <w:rFonts w:hint="eastAsia" w:cs="Times New Roman"/>
                      <w:bCs/>
                      <w:kern w:val="0"/>
                      <w:sz w:val="21"/>
                      <w:lang w:val="en-US" w:eastAsia="zh-CN"/>
                    </w:rPr>
                    <w:t>纬度</w:t>
                  </w:r>
                </w:p>
              </w:tc>
              <w:tc>
                <w:tcPr>
                  <w:tcW w:w="508" w:type="pct"/>
                  <w:vMerge w:val="continue"/>
                  <w:tcBorders>
                    <w:tl2br w:val="nil"/>
                    <w:tr2bl w:val="nil"/>
                  </w:tcBorders>
                  <w:vAlign w:val="center"/>
                </w:tcPr>
                <w:p>
                  <w:pPr>
                    <w:spacing w:line="320" w:lineRule="exact"/>
                    <w:ind w:firstLine="0" w:firstLineChars="0"/>
                    <w:jc w:val="center"/>
                    <w:rPr>
                      <w:rFonts w:cs="Times New Roman"/>
                      <w:bCs/>
                      <w:kern w:val="0"/>
                      <w:sz w:val="21"/>
                    </w:rPr>
                  </w:pPr>
                </w:p>
              </w:tc>
              <w:tc>
                <w:tcPr>
                  <w:tcW w:w="390" w:type="pct"/>
                  <w:vMerge w:val="continue"/>
                  <w:tcBorders>
                    <w:tl2br w:val="nil"/>
                    <w:tr2bl w:val="nil"/>
                  </w:tcBorders>
                  <w:vAlign w:val="center"/>
                </w:tcPr>
                <w:p>
                  <w:pPr>
                    <w:spacing w:line="320" w:lineRule="exact"/>
                    <w:ind w:firstLine="0" w:firstLineChars="0"/>
                    <w:jc w:val="center"/>
                    <w:rPr>
                      <w:rFonts w:cs="Times New Roman"/>
                      <w:bCs/>
                      <w:kern w:val="0"/>
                      <w:sz w:val="21"/>
                    </w:rPr>
                  </w:pPr>
                </w:p>
              </w:tc>
              <w:tc>
                <w:tcPr>
                  <w:tcW w:w="435" w:type="pct"/>
                  <w:vMerge w:val="continue"/>
                  <w:tcBorders>
                    <w:tl2br w:val="nil"/>
                    <w:tr2bl w:val="nil"/>
                  </w:tcBorders>
                  <w:vAlign w:val="center"/>
                </w:tcPr>
                <w:p>
                  <w:pPr>
                    <w:spacing w:line="320" w:lineRule="exact"/>
                    <w:ind w:firstLine="0" w:firstLineChars="0"/>
                    <w:jc w:val="center"/>
                    <w:rPr>
                      <w:rFonts w:cs="Times New Roman"/>
                      <w:bCs/>
                      <w:kern w:val="0"/>
                      <w:sz w:val="21"/>
                    </w:rPr>
                  </w:pPr>
                </w:p>
              </w:tc>
              <w:tc>
                <w:tcPr>
                  <w:tcW w:w="1337" w:type="pct"/>
                  <w:vMerge w:val="continue"/>
                  <w:tcBorders>
                    <w:tl2br w:val="nil"/>
                    <w:tr2bl w:val="nil"/>
                  </w:tcBorders>
                  <w:vAlign w:val="center"/>
                </w:tcPr>
                <w:p>
                  <w:pPr>
                    <w:spacing w:line="320" w:lineRule="exact"/>
                    <w:ind w:firstLine="0" w:firstLineChars="0"/>
                    <w:jc w:val="center"/>
                    <w:rPr>
                      <w:rFonts w:cs="Times New Roman"/>
                      <w:bCs/>
                      <w:kern w:val="0"/>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57" w:hRule="atLeast"/>
              </w:trPr>
              <w:tc>
                <w:tcPr>
                  <w:tcW w:w="521"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空气环境</w:t>
                  </w:r>
                </w:p>
              </w:tc>
              <w:tc>
                <w:tcPr>
                  <w:tcW w:w="647" w:type="pct"/>
                  <w:tcBorders>
                    <w:tl2br w:val="nil"/>
                    <w:tr2bl w:val="nil"/>
                  </w:tcBorders>
                  <w:vAlign w:val="center"/>
                </w:tcPr>
                <w:p>
                  <w:pPr>
                    <w:spacing w:line="320" w:lineRule="exact"/>
                    <w:ind w:firstLine="0" w:firstLineChars="0"/>
                    <w:jc w:val="center"/>
                    <w:rPr>
                      <w:rFonts w:hint="default" w:cs="Times New Roman"/>
                      <w:bCs/>
                      <w:kern w:val="0"/>
                      <w:sz w:val="21"/>
                      <w:lang w:val="en-US" w:eastAsia="zh-CN"/>
                    </w:rPr>
                  </w:pPr>
                  <w:r>
                    <w:rPr>
                      <w:rFonts w:hint="eastAsia" w:cs="Times New Roman"/>
                      <w:bCs/>
                      <w:kern w:val="0"/>
                      <w:sz w:val="21"/>
                      <w:lang w:val="en-US" w:eastAsia="zh-CN"/>
                    </w:rPr>
                    <w:t>消防站</w:t>
                  </w:r>
                </w:p>
              </w:tc>
              <w:tc>
                <w:tcPr>
                  <w:tcW w:w="577" w:type="pct"/>
                  <w:tcBorders>
                    <w:tl2br w:val="nil"/>
                    <w:tr2bl w:val="nil"/>
                  </w:tcBorders>
                  <w:vAlign w:val="center"/>
                </w:tcPr>
                <w:p>
                  <w:pPr>
                    <w:spacing w:line="320" w:lineRule="exact"/>
                    <w:ind w:firstLine="0" w:firstLineChars="0"/>
                    <w:jc w:val="center"/>
                    <w:rPr>
                      <w:rFonts w:hint="eastAsia" w:cs="Times New Roman"/>
                      <w:bCs/>
                      <w:kern w:val="0"/>
                      <w:sz w:val="21"/>
                    </w:rPr>
                  </w:pPr>
                  <w:r>
                    <w:rPr>
                      <w:rFonts w:hint="eastAsia" w:cs="Times New Roman"/>
                      <w:bCs/>
                      <w:kern w:val="0"/>
                      <w:sz w:val="21"/>
                    </w:rPr>
                    <w:t>113.031839</w:t>
                  </w:r>
                </w:p>
              </w:tc>
              <w:tc>
                <w:tcPr>
                  <w:tcW w:w="583" w:type="pct"/>
                  <w:tcBorders>
                    <w:tl2br w:val="nil"/>
                    <w:tr2bl w:val="nil"/>
                  </w:tcBorders>
                  <w:vAlign w:val="center"/>
                </w:tcPr>
                <w:p>
                  <w:pPr>
                    <w:spacing w:line="320" w:lineRule="exact"/>
                    <w:ind w:firstLine="0" w:firstLineChars="0"/>
                    <w:jc w:val="center"/>
                    <w:rPr>
                      <w:rFonts w:hint="eastAsia" w:cs="Times New Roman"/>
                      <w:bCs/>
                      <w:kern w:val="0"/>
                      <w:sz w:val="21"/>
                    </w:rPr>
                  </w:pPr>
                  <w:r>
                    <w:rPr>
                      <w:rFonts w:hint="eastAsia" w:cs="Times New Roman"/>
                      <w:bCs/>
                      <w:kern w:val="0"/>
                      <w:sz w:val="21"/>
                    </w:rPr>
                    <w:t>33.679057</w:t>
                  </w:r>
                </w:p>
              </w:tc>
              <w:tc>
                <w:tcPr>
                  <w:tcW w:w="508" w:type="pct"/>
                  <w:tcBorders>
                    <w:tl2br w:val="nil"/>
                    <w:tr2bl w:val="nil"/>
                  </w:tcBorders>
                  <w:vAlign w:val="center"/>
                </w:tcPr>
                <w:p>
                  <w:pPr>
                    <w:spacing w:line="320" w:lineRule="exact"/>
                    <w:ind w:firstLine="0" w:firstLineChars="0"/>
                    <w:jc w:val="center"/>
                    <w:rPr>
                      <w:rFonts w:hint="eastAsia" w:cs="Times New Roman"/>
                      <w:bCs/>
                      <w:kern w:val="0"/>
                      <w:sz w:val="21"/>
                    </w:rPr>
                  </w:pPr>
                  <w:r>
                    <w:rPr>
                      <w:rFonts w:hint="eastAsia" w:cs="Times New Roman"/>
                      <w:bCs/>
                      <w:kern w:val="0"/>
                      <w:sz w:val="21"/>
                    </w:rPr>
                    <w:t>约</w:t>
                  </w:r>
                  <w:r>
                    <w:rPr>
                      <w:rFonts w:hint="eastAsia" w:cs="Times New Roman"/>
                      <w:bCs/>
                      <w:kern w:val="0"/>
                      <w:sz w:val="21"/>
                      <w:lang w:val="en-US" w:eastAsia="zh-CN"/>
                    </w:rPr>
                    <w:t>20</w:t>
                  </w:r>
                  <w:r>
                    <w:rPr>
                      <w:rFonts w:hint="eastAsia" w:cs="Times New Roman"/>
                      <w:bCs/>
                      <w:kern w:val="0"/>
                      <w:sz w:val="21"/>
                    </w:rPr>
                    <w:t>人</w:t>
                  </w:r>
                </w:p>
              </w:tc>
              <w:tc>
                <w:tcPr>
                  <w:tcW w:w="390" w:type="pct"/>
                  <w:tcBorders>
                    <w:tl2br w:val="nil"/>
                    <w:tr2bl w:val="nil"/>
                  </w:tcBorders>
                  <w:vAlign w:val="center"/>
                </w:tcPr>
                <w:p>
                  <w:pPr>
                    <w:spacing w:line="320" w:lineRule="exact"/>
                    <w:ind w:firstLine="0" w:firstLineChars="0"/>
                    <w:jc w:val="center"/>
                    <w:rPr>
                      <w:rFonts w:hint="eastAsia" w:eastAsia="宋体" w:cs="Times New Roman"/>
                      <w:bCs/>
                      <w:kern w:val="0"/>
                      <w:sz w:val="21"/>
                      <w:lang w:val="en-US" w:eastAsia="zh-CN"/>
                    </w:rPr>
                  </w:pPr>
                  <w:r>
                    <w:rPr>
                      <w:rFonts w:hint="eastAsia" w:cs="Times New Roman"/>
                      <w:bCs/>
                      <w:kern w:val="0"/>
                      <w:sz w:val="21"/>
                      <w:lang w:val="en-US" w:eastAsia="zh-CN"/>
                    </w:rPr>
                    <w:t>东北</w:t>
                  </w:r>
                </w:p>
              </w:tc>
              <w:tc>
                <w:tcPr>
                  <w:tcW w:w="435" w:type="pct"/>
                  <w:tcBorders>
                    <w:tl2br w:val="nil"/>
                    <w:tr2bl w:val="nil"/>
                  </w:tcBorders>
                  <w:vAlign w:val="center"/>
                </w:tcPr>
                <w:p>
                  <w:pPr>
                    <w:spacing w:line="320" w:lineRule="exact"/>
                    <w:ind w:firstLine="0" w:firstLineChars="0"/>
                    <w:jc w:val="center"/>
                    <w:rPr>
                      <w:rFonts w:hint="default" w:eastAsia="宋体" w:cs="Times New Roman"/>
                      <w:bCs/>
                      <w:kern w:val="0"/>
                      <w:sz w:val="21"/>
                      <w:lang w:val="en-US" w:eastAsia="zh-CN"/>
                    </w:rPr>
                  </w:pPr>
                  <w:r>
                    <w:rPr>
                      <w:rFonts w:hint="eastAsia" w:cs="Times New Roman"/>
                      <w:bCs/>
                      <w:kern w:val="0"/>
                      <w:sz w:val="21"/>
                      <w:lang w:val="en-US" w:eastAsia="zh-CN"/>
                    </w:rPr>
                    <w:t>85</w:t>
                  </w:r>
                </w:p>
              </w:tc>
              <w:tc>
                <w:tcPr>
                  <w:tcW w:w="1337" w:type="pct"/>
                  <w:vMerge w:val="restar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《环境空气质量标准》（GB3095-2012）二级标准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57" w:hRule="atLeast"/>
              </w:trPr>
              <w:tc>
                <w:tcPr>
                  <w:tcW w:w="521" w:type="pct"/>
                  <w:vMerge w:val="continue"/>
                  <w:tcBorders>
                    <w:tl2br w:val="nil"/>
                    <w:tr2bl w:val="nil"/>
                  </w:tcBorders>
                  <w:vAlign w:val="center"/>
                </w:tcPr>
                <w:p>
                  <w:pPr>
                    <w:spacing w:line="320" w:lineRule="exact"/>
                    <w:ind w:firstLine="0" w:firstLineChars="0"/>
                    <w:jc w:val="center"/>
                    <w:rPr>
                      <w:rFonts w:cs="Times New Roman"/>
                      <w:bCs/>
                      <w:kern w:val="0"/>
                      <w:sz w:val="21"/>
                    </w:rPr>
                  </w:pPr>
                </w:p>
              </w:tc>
              <w:tc>
                <w:tcPr>
                  <w:tcW w:w="647" w:type="pct"/>
                  <w:tcBorders>
                    <w:tl2br w:val="nil"/>
                    <w:tr2bl w:val="nil"/>
                  </w:tcBorders>
                  <w:vAlign w:val="center"/>
                </w:tcPr>
                <w:p>
                  <w:pPr>
                    <w:spacing w:line="320" w:lineRule="exact"/>
                    <w:ind w:firstLine="0" w:firstLineChars="0"/>
                    <w:jc w:val="center"/>
                    <w:rPr>
                      <w:rFonts w:hint="default" w:eastAsia="宋体" w:cs="Times New Roman"/>
                      <w:bCs/>
                      <w:kern w:val="0"/>
                      <w:sz w:val="21"/>
                      <w:lang w:val="en-US" w:eastAsia="zh-CN"/>
                    </w:rPr>
                  </w:pPr>
                  <w:r>
                    <w:rPr>
                      <w:rFonts w:hint="eastAsia" w:cs="Times New Roman"/>
                      <w:bCs/>
                      <w:kern w:val="0"/>
                      <w:sz w:val="21"/>
                      <w:lang w:val="en-US" w:eastAsia="zh-CN"/>
                    </w:rPr>
                    <w:t>福林庄村</w:t>
                  </w:r>
                </w:p>
              </w:tc>
              <w:tc>
                <w:tcPr>
                  <w:tcW w:w="577"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113.030841</w:t>
                  </w:r>
                </w:p>
              </w:tc>
              <w:tc>
                <w:tcPr>
                  <w:tcW w:w="583"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33.680282</w:t>
                  </w:r>
                </w:p>
              </w:tc>
              <w:tc>
                <w:tcPr>
                  <w:tcW w:w="508"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约2</w:t>
                  </w:r>
                  <w:r>
                    <w:rPr>
                      <w:rFonts w:hint="eastAsia" w:cs="Times New Roman"/>
                      <w:bCs/>
                      <w:kern w:val="0"/>
                      <w:sz w:val="21"/>
                      <w:lang w:val="en-US" w:eastAsia="zh-CN"/>
                    </w:rPr>
                    <w:t>3</w:t>
                  </w:r>
                  <w:r>
                    <w:rPr>
                      <w:rFonts w:cs="Times New Roman"/>
                      <w:bCs/>
                      <w:kern w:val="0"/>
                      <w:sz w:val="21"/>
                    </w:rPr>
                    <w:t>0</w:t>
                  </w:r>
                  <w:r>
                    <w:rPr>
                      <w:rFonts w:hint="eastAsia" w:cs="Times New Roman"/>
                      <w:bCs/>
                      <w:kern w:val="0"/>
                      <w:sz w:val="21"/>
                    </w:rPr>
                    <w:t>人</w:t>
                  </w:r>
                </w:p>
              </w:tc>
              <w:tc>
                <w:tcPr>
                  <w:tcW w:w="390"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北</w:t>
                  </w:r>
                </w:p>
              </w:tc>
              <w:tc>
                <w:tcPr>
                  <w:tcW w:w="435"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1</w:t>
                  </w:r>
                  <w:r>
                    <w:rPr>
                      <w:rFonts w:hint="eastAsia" w:cs="Times New Roman"/>
                      <w:bCs/>
                      <w:kern w:val="0"/>
                      <w:sz w:val="21"/>
                      <w:lang w:val="en-US" w:eastAsia="zh-CN"/>
                    </w:rPr>
                    <w:t>5</w:t>
                  </w:r>
                  <w:r>
                    <w:rPr>
                      <w:rFonts w:cs="Times New Roman"/>
                      <w:bCs/>
                      <w:kern w:val="0"/>
                      <w:sz w:val="21"/>
                    </w:rPr>
                    <w:t>0</w:t>
                  </w:r>
                </w:p>
              </w:tc>
              <w:tc>
                <w:tcPr>
                  <w:tcW w:w="1337" w:type="pct"/>
                  <w:vMerge w:val="continue"/>
                  <w:tcBorders>
                    <w:tl2br w:val="nil"/>
                    <w:tr2bl w:val="nil"/>
                  </w:tcBorders>
                  <w:vAlign w:val="center"/>
                </w:tcPr>
                <w:p>
                  <w:pPr>
                    <w:spacing w:line="320" w:lineRule="exact"/>
                    <w:ind w:firstLine="0" w:firstLineChars="0"/>
                    <w:jc w:val="center"/>
                    <w:rPr>
                      <w:rFonts w:cs="Times New Roman"/>
                      <w:bCs/>
                      <w:kern w:val="0"/>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57" w:hRule="atLeast"/>
              </w:trPr>
              <w:tc>
                <w:tcPr>
                  <w:tcW w:w="521" w:type="pct"/>
                  <w:vMerge w:val="continue"/>
                  <w:tcBorders>
                    <w:tl2br w:val="nil"/>
                    <w:tr2bl w:val="nil"/>
                  </w:tcBorders>
                  <w:vAlign w:val="center"/>
                </w:tcPr>
                <w:p>
                  <w:pPr>
                    <w:spacing w:line="320" w:lineRule="exact"/>
                    <w:ind w:firstLine="0" w:firstLineChars="0"/>
                    <w:jc w:val="center"/>
                    <w:rPr>
                      <w:rFonts w:cs="Times New Roman"/>
                      <w:bCs/>
                      <w:kern w:val="0"/>
                      <w:sz w:val="21"/>
                    </w:rPr>
                  </w:pPr>
                </w:p>
              </w:tc>
              <w:tc>
                <w:tcPr>
                  <w:tcW w:w="647" w:type="pct"/>
                  <w:tcBorders>
                    <w:tl2br w:val="nil"/>
                    <w:tr2bl w:val="nil"/>
                  </w:tcBorders>
                  <w:vAlign w:val="center"/>
                </w:tcPr>
                <w:p>
                  <w:pPr>
                    <w:spacing w:line="320" w:lineRule="exact"/>
                    <w:ind w:firstLine="0" w:firstLineChars="0"/>
                    <w:jc w:val="center"/>
                    <w:rPr>
                      <w:rFonts w:hint="default" w:eastAsia="宋体" w:cs="Times New Roman"/>
                      <w:bCs/>
                      <w:kern w:val="0"/>
                      <w:sz w:val="21"/>
                      <w:lang w:val="en-US" w:eastAsia="zh-CN"/>
                    </w:rPr>
                  </w:pPr>
                  <w:r>
                    <w:rPr>
                      <w:rFonts w:hint="eastAsia" w:cs="Times New Roman"/>
                      <w:bCs/>
                      <w:kern w:val="0"/>
                      <w:sz w:val="21"/>
                      <w:lang w:val="en-US" w:eastAsia="zh-CN"/>
                    </w:rPr>
                    <w:t>周楼村</w:t>
                  </w:r>
                </w:p>
              </w:tc>
              <w:tc>
                <w:tcPr>
                  <w:tcW w:w="577"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113.036098</w:t>
                  </w:r>
                </w:p>
              </w:tc>
              <w:tc>
                <w:tcPr>
                  <w:tcW w:w="583"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33.678389</w:t>
                  </w:r>
                </w:p>
              </w:tc>
              <w:tc>
                <w:tcPr>
                  <w:tcW w:w="508"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约</w:t>
                  </w:r>
                  <w:r>
                    <w:rPr>
                      <w:rFonts w:hint="eastAsia" w:cs="Times New Roman"/>
                      <w:bCs/>
                      <w:kern w:val="0"/>
                      <w:sz w:val="21"/>
                      <w:lang w:val="en-US" w:eastAsia="zh-CN"/>
                    </w:rPr>
                    <w:t>39</w:t>
                  </w:r>
                  <w:r>
                    <w:rPr>
                      <w:rFonts w:cs="Times New Roman"/>
                      <w:bCs/>
                      <w:kern w:val="0"/>
                      <w:sz w:val="21"/>
                    </w:rPr>
                    <w:t>0</w:t>
                  </w:r>
                  <w:r>
                    <w:rPr>
                      <w:rFonts w:hint="eastAsia" w:cs="Times New Roman"/>
                      <w:bCs/>
                      <w:kern w:val="0"/>
                      <w:sz w:val="21"/>
                    </w:rPr>
                    <w:t>人</w:t>
                  </w:r>
                </w:p>
              </w:tc>
              <w:tc>
                <w:tcPr>
                  <w:tcW w:w="390" w:type="pct"/>
                  <w:tcBorders>
                    <w:tl2br w:val="nil"/>
                    <w:tr2bl w:val="nil"/>
                  </w:tcBorders>
                  <w:vAlign w:val="center"/>
                </w:tcPr>
                <w:p>
                  <w:pPr>
                    <w:spacing w:line="320" w:lineRule="exact"/>
                    <w:ind w:firstLine="0" w:firstLineChars="0"/>
                    <w:jc w:val="center"/>
                    <w:rPr>
                      <w:rFonts w:hint="eastAsia" w:eastAsia="宋体" w:cs="Times New Roman"/>
                      <w:bCs/>
                      <w:kern w:val="0"/>
                      <w:sz w:val="21"/>
                      <w:lang w:val="en-US" w:eastAsia="zh-CN"/>
                    </w:rPr>
                  </w:pPr>
                  <w:r>
                    <w:rPr>
                      <w:rFonts w:hint="eastAsia" w:cs="Times New Roman"/>
                      <w:bCs/>
                      <w:kern w:val="0"/>
                      <w:sz w:val="21"/>
                      <w:lang w:val="en-US" w:eastAsia="zh-CN"/>
                    </w:rPr>
                    <w:t>东</w:t>
                  </w:r>
                </w:p>
              </w:tc>
              <w:tc>
                <w:tcPr>
                  <w:tcW w:w="435"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lang w:val="en-US" w:eastAsia="zh-CN"/>
                    </w:rPr>
                    <w:t>48</w:t>
                  </w:r>
                  <w:r>
                    <w:rPr>
                      <w:rFonts w:cs="Times New Roman"/>
                      <w:bCs/>
                      <w:kern w:val="0"/>
                      <w:sz w:val="21"/>
                    </w:rPr>
                    <w:t>0</w:t>
                  </w:r>
                </w:p>
              </w:tc>
              <w:tc>
                <w:tcPr>
                  <w:tcW w:w="1337" w:type="pct"/>
                  <w:vMerge w:val="continue"/>
                  <w:tcBorders>
                    <w:tl2br w:val="nil"/>
                    <w:tr2bl w:val="nil"/>
                  </w:tcBorders>
                  <w:vAlign w:val="center"/>
                </w:tcPr>
                <w:p>
                  <w:pPr>
                    <w:spacing w:line="320" w:lineRule="exact"/>
                    <w:ind w:firstLine="0" w:firstLineChars="0"/>
                    <w:jc w:val="center"/>
                    <w:rPr>
                      <w:rFonts w:cs="Times New Roman"/>
                      <w:bCs/>
                      <w:kern w:val="0"/>
                      <w:sz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0" w:hRule="atLeast"/>
              </w:trPr>
              <w:tc>
                <w:tcPr>
                  <w:tcW w:w="521" w:type="pc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地表水环境</w:t>
                  </w:r>
                </w:p>
              </w:tc>
              <w:tc>
                <w:tcPr>
                  <w:tcW w:w="647" w:type="pct"/>
                  <w:tcBorders>
                    <w:tl2br w:val="nil"/>
                    <w:tr2bl w:val="nil"/>
                  </w:tcBorders>
                  <w:vAlign w:val="center"/>
                </w:tcPr>
                <w:p>
                  <w:pPr>
                    <w:spacing w:line="320" w:lineRule="exact"/>
                    <w:ind w:firstLine="0" w:firstLineChars="0"/>
                    <w:jc w:val="center"/>
                    <w:rPr>
                      <w:rFonts w:hint="eastAsia" w:eastAsia="宋体" w:cs="Times New Roman"/>
                      <w:bCs/>
                      <w:kern w:val="0"/>
                      <w:sz w:val="21"/>
                      <w:lang w:eastAsia="zh-CN"/>
                    </w:rPr>
                  </w:pPr>
                  <w:r>
                    <w:rPr>
                      <w:rFonts w:hint="eastAsia" w:cs="Times New Roman"/>
                      <w:bCs/>
                      <w:kern w:val="0"/>
                      <w:sz w:val="21"/>
                      <w:lang w:val="en-US" w:eastAsia="zh-CN"/>
                    </w:rPr>
                    <w:t>澎河</w:t>
                  </w:r>
                </w:p>
              </w:tc>
              <w:tc>
                <w:tcPr>
                  <w:tcW w:w="577"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w:t>
                  </w:r>
                </w:p>
              </w:tc>
              <w:tc>
                <w:tcPr>
                  <w:tcW w:w="583"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rPr>
                    <w:t>/</w:t>
                  </w:r>
                </w:p>
              </w:tc>
              <w:tc>
                <w:tcPr>
                  <w:tcW w:w="508" w:type="pc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Ⅲ类水体</w:t>
                  </w:r>
                </w:p>
              </w:tc>
              <w:tc>
                <w:tcPr>
                  <w:tcW w:w="390" w:type="pct"/>
                  <w:tcBorders>
                    <w:tl2br w:val="nil"/>
                    <w:tr2bl w:val="nil"/>
                  </w:tcBorders>
                  <w:vAlign w:val="center"/>
                </w:tcPr>
                <w:p>
                  <w:pPr>
                    <w:spacing w:line="320" w:lineRule="exact"/>
                    <w:ind w:firstLine="0" w:firstLineChars="0"/>
                    <w:jc w:val="center"/>
                    <w:rPr>
                      <w:rFonts w:hint="eastAsia" w:eastAsia="宋体" w:cs="Times New Roman"/>
                      <w:bCs/>
                      <w:kern w:val="0"/>
                      <w:sz w:val="21"/>
                      <w:lang w:eastAsia="zh-CN"/>
                    </w:rPr>
                  </w:pPr>
                  <w:r>
                    <w:rPr>
                      <w:rFonts w:hint="eastAsia" w:cs="Times New Roman"/>
                      <w:bCs/>
                      <w:kern w:val="0"/>
                      <w:sz w:val="21"/>
                      <w:lang w:val="en-US" w:eastAsia="zh-CN"/>
                    </w:rPr>
                    <w:t>南</w:t>
                  </w:r>
                </w:p>
              </w:tc>
              <w:tc>
                <w:tcPr>
                  <w:tcW w:w="435" w:type="pct"/>
                  <w:tcBorders>
                    <w:tl2br w:val="nil"/>
                    <w:tr2bl w:val="nil"/>
                  </w:tcBorders>
                  <w:vAlign w:val="center"/>
                </w:tcPr>
                <w:p>
                  <w:pPr>
                    <w:spacing w:line="320" w:lineRule="exact"/>
                    <w:ind w:firstLine="0" w:firstLineChars="0"/>
                    <w:jc w:val="center"/>
                    <w:rPr>
                      <w:rFonts w:cs="Times New Roman"/>
                      <w:bCs/>
                      <w:kern w:val="0"/>
                      <w:sz w:val="21"/>
                    </w:rPr>
                  </w:pPr>
                  <w:r>
                    <w:rPr>
                      <w:rFonts w:hint="eastAsia" w:cs="Times New Roman"/>
                      <w:bCs/>
                      <w:kern w:val="0"/>
                      <w:sz w:val="21"/>
                      <w:lang w:val="en-US" w:eastAsia="zh-CN"/>
                    </w:rPr>
                    <w:t>5</w:t>
                  </w:r>
                  <w:r>
                    <w:rPr>
                      <w:rFonts w:cs="Times New Roman"/>
                      <w:bCs/>
                      <w:kern w:val="0"/>
                      <w:sz w:val="21"/>
                    </w:rPr>
                    <w:t>00</w:t>
                  </w:r>
                </w:p>
              </w:tc>
              <w:tc>
                <w:tcPr>
                  <w:tcW w:w="1337" w:type="pct"/>
                  <w:tcBorders>
                    <w:tl2br w:val="nil"/>
                    <w:tr2bl w:val="nil"/>
                  </w:tcBorders>
                  <w:vAlign w:val="center"/>
                </w:tcPr>
                <w:p>
                  <w:pPr>
                    <w:spacing w:line="320" w:lineRule="exact"/>
                    <w:ind w:firstLine="0" w:firstLineChars="0"/>
                    <w:jc w:val="center"/>
                    <w:rPr>
                      <w:rFonts w:cs="Times New Roman"/>
                      <w:bCs/>
                      <w:kern w:val="0"/>
                      <w:sz w:val="21"/>
                    </w:rPr>
                  </w:pPr>
                  <w:r>
                    <w:rPr>
                      <w:rFonts w:cs="Times New Roman"/>
                      <w:bCs/>
                      <w:kern w:val="0"/>
                      <w:sz w:val="21"/>
                    </w:rPr>
                    <w:t>《地表水环境质量标准》（GB3838-2002）Ⅲ类标准</w:t>
                  </w:r>
                </w:p>
              </w:tc>
            </w:tr>
          </w:tbl>
          <w:p>
            <w:pPr>
              <w:keepNext w:val="0"/>
              <w:keepLines w:val="0"/>
              <w:pageBreakBefore w:val="0"/>
              <w:widowControl w:val="0"/>
              <w:kinsoku/>
              <w:wordWrap/>
              <w:overflowPunct/>
              <w:topLinePunct w:val="0"/>
              <w:autoSpaceDE/>
              <w:autoSpaceDN/>
              <w:bidi w:val="0"/>
              <w:adjustRightInd/>
              <w:snapToGrid w:val="0"/>
              <w:spacing w:line="520" w:lineRule="exact"/>
              <w:ind w:left="0" w:leftChars="0"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2、声环境</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根据调查，项目厂界外</w:t>
            </w:r>
            <w:r>
              <w:rPr>
                <w:rFonts w:hint="default" w:ascii="Times New Roman" w:hAnsi="Times New Roman" w:cs="Times New Roman"/>
                <w:sz w:val="24"/>
                <w:szCs w:val="24"/>
                <w:lang w:val="en-US" w:eastAsia="zh-CN"/>
              </w:rPr>
              <w:t>50米范围内无声环境保护目标。</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3、地下水环境</w:t>
            </w:r>
          </w:p>
          <w:p>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本项目厂界外</w:t>
            </w:r>
            <w:r>
              <w:rPr>
                <w:rFonts w:hint="default" w:ascii="Times New Roman" w:hAnsi="Times New Roman" w:cs="Times New Roman"/>
                <w:sz w:val="24"/>
                <w:szCs w:val="24"/>
                <w:lang w:val="en-US" w:eastAsia="zh-CN"/>
              </w:rPr>
              <w:t>500米范围内无地下水集中式饮用水水源和热水、矿泉水、温泉等特殊地下水资源。</w:t>
            </w:r>
          </w:p>
          <w:p>
            <w:pPr>
              <w:keepNext w:val="0"/>
              <w:keepLines w:val="0"/>
              <w:pageBreakBefore w:val="0"/>
              <w:widowControl w:val="0"/>
              <w:kinsoku/>
              <w:wordWrap/>
              <w:overflowPunct/>
              <w:topLinePunct w:val="0"/>
              <w:autoSpaceDE/>
              <w:autoSpaceDN/>
              <w:bidi w:val="0"/>
              <w:adjustRightInd/>
              <w:snapToGrid w:val="0"/>
              <w:spacing w:line="520" w:lineRule="exact"/>
              <w:ind w:firstLine="48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4、生态环境</w:t>
            </w:r>
          </w:p>
          <w:p>
            <w:pPr>
              <w:keepNext w:val="0"/>
              <w:keepLines w:val="0"/>
              <w:pageBreakBefore w:val="0"/>
              <w:widowControl w:val="0"/>
              <w:kinsoku/>
              <w:wordWrap/>
              <w:overflowPunct/>
              <w:topLinePunct w:val="0"/>
              <w:autoSpaceDE/>
              <w:autoSpaceDN/>
              <w:bidi w:val="0"/>
              <w:adjustRightInd/>
              <w:snapToGrid w:val="0"/>
              <w:spacing w:line="520" w:lineRule="exact"/>
              <w:ind w:firstLine="480" w:firstLineChars="200"/>
              <w:textAlignment w:val="auto"/>
              <w:rPr>
                <w:b/>
              </w:rPr>
            </w:pPr>
            <w:r>
              <w:rPr>
                <w:rFonts w:hint="default" w:ascii="Times New Roman" w:hAnsi="Times New Roman" w:cs="Times New Roman"/>
                <w:sz w:val="24"/>
                <w:szCs w:val="24"/>
                <w:lang w:val="en-US" w:eastAsia="zh-CN"/>
              </w:rPr>
              <w:t>本项目厂区范围内无生态环境保护目标。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704" w:type="dxa"/>
            <w:tcBorders>
              <w:tl2br w:val="nil"/>
              <w:tr2bl w:val="nil"/>
            </w:tcBorders>
            <w:vAlign w:val="center"/>
          </w:tcPr>
          <w:p>
            <w:pPr>
              <w:ind w:firstLine="0" w:firstLineChars="0"/>
              <w:jc w:val="center"/>
            </w:pPr>
            <w:r>
              <w:rPr>
                <w:rFonts w:hint="eastAsia"/>
              </w:rPr>
              <w:t>污染物排放控制标准</w:t>
            </w:r>
          </w:p>
        </w:tc>
        <w:tc>
          <w:tcPr>
            <w:tcW w:w="8356" w:type="dxa"/>
            <w:tcBorders>
              <w:tl2br w:val="nil"/>
              <w:tr2bl w:val="nil"/>
            </w:tcBorders>
            <w:vAlign w:val="center"/>
          </w:tcPr>
          <w:p>
            <w:pPr>
              <w:pStyle w:val="15"/>
              <w:keepNext w:val="0"/>
              <w:keepLines w:val="0"/>
              <w:pageBreakBefore w:val="0"/>
              <w:widowControl w:val="0"/>
              <w:kinsoku/>
              <w:wordWrap/>
              <w:overflowPunct/>
              <w:topLinePunct w:val="0"/>
              <w:autoSpaceDE/>
              <w:autoSpaceDN/>
              <w:bidi w:val="0"/>
              <w:adjustRightInd w:val="0"/>
              <w:snapToGrid w:val="0"/>
              <w:ind w:firstLine="0"/>
              <w:textAlignment w:val="auto"/>
              <w:rPr>
                <w:rFonts w:ascii="Times New Roman" w:hAnsi="Times New Roman"/>
                <w:color w:val="000000"/>
                <w:sz w:val="24"/>
                <w:szCs w:val="24"/>
                <w:highlight w:val="none"/>
              </w:rPr>
            </w:pPr>
            <w:r>
              <w:rPr>
                <w:rFonts w:ascii="Times New Roman" w:hAnsi="Times New Roman"/>
                <w:color w:val="000000"/>
                <w:sz w:val="24"/>
                <w:szCs w:val="24"/>
                <w:highlight w:val="none"/>
              </w:rPr>
              <w:t>表</w:t>
            </w:r>
            <w:r>
              <w:rPr>
                <w:rFonts w:hint="eastAsia" w:ascii="Times New Roman" w:hAnsi="Times New Roman"/>
                <w:color w:val="000000"/>
                <w:sz w:val="24"/>
                <w:szCs w:val="24"/>
                <w:highlight w:val="none"/>
                <w:lang w:val="en-US" w:eastAsia="zh-CN"/>
              </w:rPr>
              <w:t>3-4</w:t>
            </w:r>
            <w:r>
              <w:rPr>
                <w:rFonts w:ascii="Times New Roman" w:hAnsi="Times New Roman"/>
                <w:color w:val="000000"/>
                <w:sz w:val="24"/>
                <w:szCs w:val="24"/>
                <w:highlight w:val="none"/>
              </w:rPr>
              <w:t xml:space="preserve">  污染物排放</w:t>
            </w:r>
            <w:r>
              <w:rPr>
                <w:rFonts w:hint="eastAsia" w:ascii="Times New Roman" w:hAnsi="Times New Roman"/>
                <w:color w:val="000000"/>
                <w:sz w:val="24"/>
                <w:szCs w:val="24"/>
                <w:highlight w:val="none"/>
                <w:lang w:val="en-US" w:eastAsia="zh-CN"/>
              </w:rPr>
              <w:t>控制</w:t>
            </w:r>
            <w:r>
              <w:rPr>
                <w:rFonts w:ascii="Times New Roman" w:hAnsi="Times New Roman"/>
                <w:color w:val="000000"/>
                <w:sz w:val="24"/>
                <w:szCs w:val="24"/>
                <w:highlight w:val="none"/>
              </w:rPr>
              <w:t>标准</w:t>
            </w:r>
          </w:p>
          <w:tbl>
            <w:tblPr>
              <w:tblStyle w:val="21"/>
              <w:tblW w:w="4996"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734"/>
              <w:gridCol w:w="3265"/>
              <w:gridCol w:w="1477"/>
              <w:gridCol w:w="1004"/>
              <w:gridCol w:w="1156"/>
              <w:gridCol w:w="1628"/>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highlight w:val="none"/>
                    </w:rPr>
                  </w:pPr>
                  <w:bookmarkStart w:id="1" w:name="_Toc153189198"/>
                  <w:r>
                    <w:rPr>
                      <w:rFonts w:hint="default" w:ascii="Times New Roman" w:hAnsi="Times New Roman" w:eastAsia="宋体" w:cs="Times New Roman"/>
                      <w:b w:val="0"/>
                      <w:bCs w:val="0"/>
                      <w:color w:val="000000"/>
                      <w:sz w:val="21"/>
                      <w:szCs w:val="21"/>
                      <w:highlight w:val="none"/>
                    </w:rPr>
                    <w:t>类别</w:t>
                  </w:r>
                  <w:bookmarkEnd w:id="1"/>
                </w:p>
              </w:tc>
              <w:tc>
                <w:tcPr>
                  <w:tcW w:w="176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highlight w:val="none"/>
                    </w:rPr>
                  </w:pPr>
                  <w:bookmarkStart w:id="2" w:name="_Toc153189199"/>
                  <w:r>
                    <w:rPr>
                      <w:rFonts w:hint="default" w:ascii="Times New Roman" w:hAnsi="Times New Roman" w:eastAsia="宋体" w:cs="Times New Roman"/>
                      <w:b w:val="0"/>
                      <w:bCs w:val="0"/>
                      <w:color w:val="000000"/>
                      <w:sz w:val="21"/>
                      <w:szCs w:val="21"/>
                      <w:highlight w:val="none"/>
                    </w:rPr>
                    <w:t>标准名称及级</w:t>
                  </w:r>
                  <w:r>
                    <w:rPr>
                      <w:rFonts w:hint="default" w:ascii="Times New Roman" w:hAnsi="Times New Roman" w:eastAsia="宋体" w:cs="Times New Roman"/>
                      <w:b w:val="0"/>
                      <w:bCs w:val="0"/>
                      <w:color w:val="000000"/>
                      <w:sz w:val="21"/>
                      <w:szCs w:val="21"/>
                      <w:highlight w:val="none"/>
                      <w:lang w:eastAsia="zh-CN"/>
                    </w:rPr>
                    <w:t>（</w:t>
                  </w:r>
                  <w:r>
                    <w:rPr>
                      <w:rFonts w:hint="default" w:ascii="Times New Roman" w:hAnsi="Times New Roman" w:eastAsia="宋体" w:cs="Times New Roman"/>
                      <w:b w:val="0"/>
                      <w:bCs w:val="0"/>
                      <w:color w:val="000000"/>
                      <w:sz w:val="21"/>
                      <w:szCs w:val="21"/>
                      <w:highlight w:val="none"/>
                    </w:rPr>
                    <w:t>类</w:t>
                  </w:r>
                  <w:r>
                    <w:rPr>
                      <w:rFonts w:hint="default" w:ascii="Times New Roman" w:hAnsi="Times New Roman" w:eastAsia="宋体" w:cs="Times New Roman"/>
                      <w:b w:val="0"/>
                      <w:bCs w:val="0"/>
                      <w:color w:val="000000"/>
                      <w:sz w:val="21"/>
                      <w:szCs w:val="21"/>
                      <w:highlight w:val="none"/>
                      <w:lang w:eastAsia="zh-CN"/>
                    </w:rPr>
                    <w:t>）</w:t>
                  </w:r>
                  <w:r>
                    <w:rPr>
                      <w:rFonts w:hint="default" w:ascii="Times New Roman" w:hAnsi="Times New Roman" w:eastAsia="宋体" w:cs="Times New Roman"/>
                      <w:b w:val="0"/>
                      <w:bCs w:val="0"/>
                      <w:color w:val="000000"/>
                      <w:sz w:val="21"/>
                      <w:szCs w:val="21"/>
                      <w:highlight w:val="none"/>
                    </w:rPr>
                    <w:t>别</w:t>
                  </w:r>
                  <w:bookmarkEnd w:id="2"/>
                </w:p>
              </w:tc>
              <w:tc>
                <w:tcPr>
                  <w:tcW w:w="797"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highlight w:val="none"/>
                    </w:rPr>
                  </w:pPr>
                  <w:bookmarkStart w:id="3" w:name="_Toc153189200"/>
                  <w:r>
                    <w:rPr>
                      <w:rFonts w:hint="default" w:ascii="Times New Roman" w:hAnsi="Times New Roman" w:eastAsia="宋体" w:cs="Times New Roman"/>
                      <w:b w:val="0"/>
                      <w:bCs w:val="0"/>
                      <w:color w:val="000000"/>
                      <w:sz w:val="21"/>
                      <w:szCs w:val="21"/>
                      <w:highlight w:val="none"/>
                    </w:rPr>
                    <w:t>污染</w:t>
                  </w:r>
                  <w:bookmarkEnd w:id="3"/>
                  <w:bookmarkStart w:id="4" w:name="_Toc153189201"/>
                  <w:r>
                    <w:rPr>
                      <w:rFonts w:hint="default" w:ascii="Times New Roman" w:hAnsi="Times New Roman" w:eastAsia="宋体" w:cs="Times New Roman"/>
                      <w:b w:val="0"/>
                      <w:bCs w:val="0"/>
                      <w:color w:val="000000"/>
                      <w:sz w:val="21"/>
                      <w:szCs w:val="21"/>
                      <w:highlight w:val="none"/>
                    </w:rPr>
                    <w:t>因子</w:t>
                  </w:r>
                  <w:bookmarkEnd w:id="4"/>
                </w:p>
              </w:tc>
              <w:tc>
                <w:tcPr>
                  <w:tcW w:w="2044" w:type="pct"/>
                  <w:gridSpan w:val="3"/>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highlight w:val="none"/>
                    </w:rPr>
                  </w:pPr>
                  <w:bookmarkStart w:id="5" w:name="_Toc153189202"/>
                  <w:r>
                    <w:rPr>
                      <w:rFonts w:hint="default" w:ascii="Times New Roman" w:hAnsi="Times New Roman" w:eastAsia="宋体" w:cs="Times New Roman"/>
                      <w:b w:val="0"/>
                      <w:bCs w:val="0"/>
                      <w:color w:val="000000"/>
                      <w:sz w:val="21"/>
                      <w:szCs w:val="21"/>
                      <w:highlight w:val="none"/>
                      <w:lang w:eastAsia="zh-CN"/>
                    </w:rPr>
                    <w:t>排放</w:t>
                  </w:r>
                  <w:r>
                    <w:rPr>
                      <w:rFonts w:hint="default" w:ascii="Times New Roman" w:hAnsi="Times New Roman" w:eastAsia="宋体" w:cs="Times New Roman"/>
                      <w:b w:val="0"/>
                      <w:bCs w:val="0"/>
                      <w:color w:val="000000"/>
                      <w:sz w:val="21"/>
                      <w:szCs w:val="21"/>
                      <w:highlight w:val="none"/>
                      <w:lang w:val="en-US" w:eastAsia="zh-CN"/>
                    </w:rPr>
                    <w:t>限</w:t>
                  </w:r>
                  <w:r>
                    <w:rPr>
                      <w:rFonts w:hint="default" w:ascii="Times New Roman" w:hAnsi="Times New Roman" w:eastAsia="宋体" w:cs="Times New Roman"/>
                      <w:b w:val="0"/>
                      <w:bCs w:val="0"/>
                      <w:color w:val="000000"/>
                      <w:sz w:val="21"/>
                      <w:szCs w:val="21"/>
                      <w:highlight w:val="none"/>
                    </w:rPr>
                    <w:t>值</w:t>
                  </w:r>
                  <w:bookmarkEnd w:id="5"/>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lang w:val="en-US" w:eastAsia="zh-CN"/>
                    </w:rPr>
                  </w:pPr>
                  <w:bookmarkStart w:id="6" w:name="_Toc153189242"/>
                  <w:r>
                    <w:rPr>
                      <w:rFonts w:hint="eastAsia" w:ascii="Times New Roman" w:hAnsi="Times New Roman" w:eastAsia="宋体" w:cs="Times New Roman"/>
                      <w:b w:val="0"/>
                      <w:bCs w:val="0"/>
                      <w:color w:val="000000"/>
                      <w:sz w:val="21"/>
                      <w:szCs w:val="21"/>
                      <w:lang w:val="en-US" w:eastAsia="zh-CN"/>
                    </w:rPr>
                    <w:t>废气</w:t>
                  </w:r>
                </w:p>
              </w:tc>
              <w:tc>
                <w:tcPr>
                  <w:tcW w:w="1762"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eastAsia="宋体"/>
                      <w:kern w:val="2"/>
                      <w:sz w:val="21"/>
                      <w:szCs w:val="21"/>
                      <w:highlight w:val="none"/>
                      <w:lang w:val="en-US" w:eastAsia="zh-CN" w:bidi="ar-SA"/>
                    </w:rPr>
                  </w:pPr>
                  <w:r>
                    <w:rPr>
                      <w:rFonts w:hint="eastAsia"/>
                      <w:sz w:val="21"/>
                      <w:szCs w:val="21"/>
                      <w:highlight w:val="none"/>
                    </w:rPr>
                    <w:t>《工业炉窑大气污染物排放标准》（DB41/1066-2020</w:t>
                  </w:r>
                  <w:r>
                    <w:rPr>
                      <w:rFonts w:hint="eastAsia"/>
                      <w:sz w:val="21"/>
                      <w:szCs w:val="21"/>
                      <w:highlight w:val="none"/>
                      <w:lang w:eastAsia="zh-CN"/>
                    </w:rPr>
                    <w:t>）</w:t>
                  </w:r>
                </w:p>
              </w:tc>
              <w:tc>
                <w:tcPr>
                  <w:tcW w:w="797"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eastAsia="宋体"/>
                      <w:b w:val="0"/>
                      <w:bCs w:val="0"/>
                      <w:color w:val="000000"/>
                      <w:kern w:val="2"/>
                      <w:sz w:val="21"/>
                      <w:szCs w:val="21"/>
                      <w:highlight w:val="none"/>
                      <w:lang w:val="en-US" w:eastAsia="zh-CN" w:bidi="ar-SA"/>
                    </w:rPr>
                  </w:pPr>
                  <w:r>
                    <w:rPr>
                      <w:rFonts w:hint="eastAsia"/>
                      <w:b w:val="0"/>
                      <w:bCs w:val="0"/>
                      <w:color w:val="000000"/>
                      <w:sz w:val="21"/>
                      <w:szCs w:val="21"/>
                      <w:highlight w:val="none"/>
                      <w:lang w:val="en-US" w:eastAsia="zh-CN"/>
                    </w:rPr>
                    <w:t>颗粒物</w:t>
                  </w:r>
                </w:p>
              </w:tc>
              <w:tc>
                <w:tcPr>
                  <w:tcW w:w="542" w:type="pct"/>
                  <w:vMerge w:val="restart"/>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bCs/>
                      <w:kern w:val="2"/>
                      <w:sz w:val="21"/>
                      <w:szCs w:val="21"/>
                      <w:lang w:val="en-US" w:eastAsia="zh-CN" w:bidi="ar-SA"/>
                    </w:rPr>
                  </w:pPr>
                  <w:r>
                    <w:rPr>
                      <w:rFonts w:hint="eastAsia"/>
                      <w:bCs/>
                      <w:kern w:val="2"/>
                      <w:sz w:val="21"/>
                      <w:szCs w:val="21"/>
                      <w:lang w:val="en-US" w:eastAsia="zh-CN" w:bidi="ar-SA"/>
                    </w:rPr>
                    <w:t>表1其他炉窑</w:t>
                  </w:r>
                </w:p>
              </w:tc>
              <w:tc>
                <w:tcPr>
                  <w:tcW w:w="1502" w:type="pct"/>
                  <w:gridSpan w:val="2"/>
                  <w:tcBorders>
                    <w:lef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Cs/>
                      <w:sz w:val="21"/>
                      <w:szCs w:val="21"/>
                      <w:lang w:val="en-US" w:eastAsia="zh-CN"/>
                    </w:rPr>
                  </w:pPr>
                  <w:r>
                    <w:rPr>
                      <w:rFonts w:hint="eastAsia"/>
                      <w:bCs/>
                      <w:sz w:val="21"/>
                      <w:szCs w:val="21"/>
                      <w:lang w:val="en-US" w:eastAsia="zh-CN"/>
                    </w:rPr>
                    <w:t>有组织30</w:t>
                  </w:r>
                  <w:r>
                    <w:rPr>
                      <w:rFonts w:hint="default" w:ascii="Times New Roman" w:hAnsi="Times New Roman" w:eastAsia="宋体" w:cs="Times New Roman"/>
                      <w:b w:val="0"/>
                      <w:bCs w:val="0"/>
                      <w:color w:val="auto"/>
                      <w:spacing w:val="0"/>
                      <w:sz w:val="21"/>
                      <w:szCs w:val="21"/>
                      <w:highlight w:val="none"/>
                      <w:u w:val="none"/>
                      <w:lang w:val="en-US" w:eastAsia="zh-CN"/>
                    </w:rPr>
                    <w:t>mg/m</w:t>
                  </w:r>
                  <w:r>
                    <w:rPr>
                      <w:rFonts w:hint="default" w:ascii="Times New Roman" w:hAnsi="Times New Roman" w:eastAsia="宋体" w:cs="Times New Roman"/>
                      <w:b w:val="0"/>
                      <w:bCs w:val="0"/>
                      <w:color w:val="auto"/>
                      <w:spacing w:val="0"/>
                      <w:sz w:val="21"/>
                      <w:szCs w:val="21"/>
                      <w:highlight w:val="none"/>
                      <w:u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color w:val="000000"/>
                      <w:sz w:val="21"/>
                      <w:szCs w:val="21"/>
                      <w:lang w:eastAsia="zh-CN"/>
                    </w:rPr>
                  </w:pPr>
                </w:p>
              </w:tc>
              <w:tc>
                <w:tcPr>
                  <w:tcW w:w="1762"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sz w:val="21"/>
                      <w:szCs w:val="21"/>
                      <w:highlight w:val="none"/>
                    </w:rPr>
                  </w:pPr>
                </w:p>
              </w:tc>
              <w:tc>
                <w:tcPr>
                  <w:tcW w:w="797"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b w:val="0"/>
                      <w:bCs w:val="0"/>
                      <w:color w:val="000000"/>
                      <w:sz w:val="21"/>
                      <w:szCs w:val="21"/>
                      <w:highlight w:val="none"/>
                      <w:lang w:val="en-US" w:eastAsia="zh-CN"/>
                    </w:rPr>
                  </w:pPr>
                  <w:r>
                    <w:rPr>
                      <w:rFonts w:hint="eastAsia"/>
                      <w:b w:val="0"/>
                      <w:bCs w:val="0"/>
                      <w:color w:val="000000"/>
                      <w:sz w:val="21"/>
                      <w:szCs w:val="21"/>
                      <w:highlight w:val="none"/>
                      <w:lang w:val="en-US" w:eastAsia="zh-CN"/>
                    </w:rPr>
                    <w:t>二氧化硫</w:t>
                  </w:r>
                </w:p>
              </w:tc>
              <w:tc>
                <w:tcPr>
                  <w:tcW w:w="542" w:type="pct"/>
                  <w:vMerge w:val="continue"/>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Cs/>
                      <w:sz w:val="21"/>
                      <w:szCs w:val="21"/>
                      <w:lang w:val="en-US" w:eastAsia="zh-CN"/>
                    </w:rPr>
                  </w:pPr>
                </w:p>
              </w:tc>
              <w:tc>
                <w:tcPr>
                  <w:tcW w:w="1502" w:type="pct"/>
                  <w:gridSpan w:val="2"/>
                  <w:tcBorders>
                    <w:lef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Cs/>
                      <w:sz w:val="21"/>
                      <w:szCs w:val="21"/>
                      <w:lang w:val="en-US" w:eastAsia="zh-CN"/>
                    </w:rPr>
                  </w:pPr>
                  <w:r>
                    <w:rPr>
                      <w:rFonts w:hint="eastAsia"/>
                      <w:bCs/>
                      <w:sz w:val="21"/>
                      <w:szCs w:val="21"/>
                      <w:lang w:val="en-US" w:eastAsia="zh-CN"/>
                    </w:rPr>
                    <w:t>有组织200</w:t>
                  </w:r>
                  <w:r>
                    <w:rPr>
                      <w:rFonts w:hint="default" w:ascii="Times New Roman" w:hAnsi="Times New Roman" w:eastAsia="宋体" w:cs="Times New Roman"/>
                      <w:b w:val="0"/>
                      <w:bCs w:val="0"/>
                      <w:color w:val="auto"/>
                      <w:spacing w:val="0"/>
                      <w:sz w:val="21"/>
                      <w:szCs w:val="21"/>
                      <w:highlight w:val="none"/>
                      <w:u w:val="none"/>
                      <w:lang w:val="en-US" w:eastAsia="zh-CN"/>
                    </w:rPr>
                    <w:t>mg/m</w:t>
                  </w:r>
                  <w:r>
                    <w:rPr>
                      <w:rFonts w:hint="default" w:ascii="Times New Roman" w:hAnsi="Times New Roman" w:eastAsia="宋体" w:cs="Times New Roman"/>
                      <w:b w:val="0"/>
                      <w:bCs w:val="0"/>
                      <w:color w:val="auto"/>
                      <w:spacing w:val="0"/>
                      <w:sz w:val="21"/>
                      <w:szCs w:val="21"/>
                      <w:highlight w:val="none"/>
                      <w:u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color w:val="000000"/>
                      <w:sz w:val="21"/>
                      <w:szCs w:val="21"/>
                      <w:lang w:eastAsia="zh-CN"/>
                    </w:rPr>
                  </w:pPr>
                </w:p>
              </w:tc>
              <w:tc>
                <w:tcPr>
                  <w:tcW w:w="1762"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sz w:val="21"/>
                      <w:szCs w:val="21"/>
                      <w:highlight w:val="none"/>
                    </w:rPr>
                  </w:pPr>
                </w:p>
              </w:tc>
              <w:tc>
                <w:tcPr>
                  <w:tcW w:w="797"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b w:val="0"/>
                      <w:bCs w:val="0"/>
                      <w:color w:val="000000"/>
                      <w:sz w:val="21"/>
                      <w:szCs w:val="21"/>
                      <w:highlight w:val="none"/>
                      <w:lang w:val="en-US" w:eastAsia="zh-CN"/>
                    </w:rPr>
                  </w:pPr>
                  <w:r>
                    <w:rPr>
                      <w:rFonts w:hint="eastAsia"/>
                      <w:b w:val="0"/>
                      <w:bCs w:val="0"/>
                      <w:color w:val="000000"/>
                      <w:sz w:val="21"/>
                      <w:szCs w:val="21"/>
                      <w:highlight w:val="none"/>
                      <w:lang w:val="en-US" w:eastAsia="zh-CN"/>
                    </w:rPr>
                    <w:t>氮氧化物</w:t>
                  </w:r>
                </w:p>
              </w:tc>
              <w:tc>
                <w:tcPr>
                  <w:tcW w:w="542" w:type="pct"/>
                  <w:vMerge w:val="continue"/>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Cs/>
                      <w:sz w:val="21"/>
                      <w:szCs w:val="21"/>
                      <w:lang w:val="en-US" w:eastAsia="zh-CN"/>
                    </w:rPr>
                  </w:pPr>
                </w:p>
              </w:tc>
              <w:tc>
                <w:tcPr>
                  <w:tcW w:w="1502" w:type="pct"/>
                  <w:gridSpan w:val="2"/>
                  <w:tcBorders>
                    <w:lef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Cs/>
                      <w:sz w:val="21"/>
                      <w:szCs w:val="21"/>
                      <w:lang w:val="en-US" w:eastAsia="zh-CN"/>
                    </w:rPr>
                  </w:pPr>
                  <w:r>
                    <w:rPr>
                      <w:rFonts w:hint="eastAsia"/>
                      <w:bCs/>
                      <w:sz w:val="21"/>
                      <w:szCs w:val="21"/>
                      <w:lang w:val="en-US" w:eastAsia="zh-CN"/>
                    </w:rPr>
                    <w:t>有组织300</w:t>
                  </w:r>
                  <w:r>
                    <w:rPr>
                      <w:rFonts w:hint="default" w:ascii="Times New Roman" w:hAnsi="Times New Roman" w:eastAsia="宋体" w:cs="Times New Roman"/>
                      <w:b w:val="0"/>
                      <w:bCs w:val="0"/>
                      <w:color w:val="auto"/>
                      <w:spacing w:val="0"/>
                      <w:sz w:val="21"/>
                      <w:szCs w:val="21"/>
                      <w:highlight w:val="none"/>
                      <w:u w:val="none"/>
                      <w:lang w:val="en-US" w:eastAsia="zh-CN"/>
                    </w:rPr>
                    <w:t>mg/m</w:t>
                  </w:r>
                  <w:r>
                    <w:rPr>
                      <w:rFonts w:hint="default" w:ascii="Times New Roman" w:hAnsi="Times New Roman" w:eastAsia="宋体" w:cs="Times New Roman"/>
                      <w:b w:val="0"/>
                      <w:bCs w:val="0"/>
                      <w:color w:val="auto"/>
                      <w:spacing w:val="0"/>
                      <w:sz w:val="21"/>
                      <w:szCs w:val="21"/>
                      <w:highlight w:val="none"/>
                      <w:u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color w:val="000000"/>
                      <w:sz w:val="21"/>
                      <w:szCs w:val="21"/>
                      <w:lang w:eastAsia="zh-CN"/>
                    </w:rPr>
                  </w:pPr>
                </w:p>
              </w:tc>
              <w:tc>
                <w:tcPr>
                  <w:tcW w:w="1762"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sz w:val="21"/>
                      <w:szCs w:val="21"/>
                      <w:highlight w:val="none"/>
                    </w:rPr>
                  </w:pPr>
                </w:p>
              </w:tc>
              <w:tc>
                <w:tcPr>
                  <w:tcW w:w="797"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 w:val="0"/>
                      <w:bCs w:val="0"/>
                      <w:color w:val="000000"/>
                      <w:sz w:val="21"/>
                      <w:szCs w:val="21"/>
                      <w:highlight w:val="none"/>
                      <w:lang w:val="en-US" w:eastAsia="zh-CN"/>
                    </w:rPr>
                  </w:pPr>
                  <w:r>
                    <w:rPr>
                      <w:rFonts w:hint="eastAsia"/>
                      <w:b w:val="0"/>
                      <w:bCs w:val="0"/>
                      <w:color w:val="000000"/>
                      <w:sz w:val="21"/>
                      <w:szCs w:val="21"/>
                      <w:highlight w:val="none"/>
                      <w:lang w:val="en-US" w:eastAsia="zh-CN"/>
                    </w:rPr>
                    <w:t>颗粒物</w:t>
                  </w:r>
                </w:p>
              </w:tc>
              <w:tc>
                <w:tcPr>
                  <w:tcW w:w="2044" w:type="pct"/>
                  <w:gridSpan w:val="3"/>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bCs/>
                      <w:sz w:val="21"/>
                      <w:szCs w:val="21"/>
                      <w:lang w:val="en-US" w:eastAsia="zh-CN"/>
                    </w:rPr>
                  </w:pPr>
                  <w:r>
                    <w:rPr>
                      <w:rFonts w:hint="eastAsia"/>
                      <w:bCs/>
                      <w:sz w:val="21"/>
                      <w:szCs w:val="21"/>
                      <w:lang w:val="en-US" w:eastAsia="zh-CN"/>
                    </w:rPr>
                    <w:t>企业边界，无组织1.0</w:t>
                  </w:r>
                  <w:r>
                    <w:rPr>
                      <w:rFonts w:hint="default" w:ascii="Times New Roman" w:hAnsi="Times New Roman" w:eastAsia="宋体" w:cs="Times New Roman"/>
                      <w:b w:val="0"/>
                      <w:bCs w:val="0"/>
                      <w:color w:val="auto"/>
                      <w:spacing w:val="0"/>
                      <w:sz w:val="21"/>
                      <w:szCs w:val="21"/>
                      <w:highlight w:val="none"/>
                      <w:u w:val="none"/>
                      <w:lang w:val="en-US" w:eastAsia="zh-CN"/>
                    </w:rPr>
                    <w:t>mg/m</w:t>
                  </w:r>
                  <w:r>
                    <w:rPr>
                      <w:rFonts w:hint="default" w:ascii="Times New Roman" w:hAnsi="Times New Roman" w:eastAsia="宋体" w:cs="Times New Roman"/>
                      <w:b w:val="0"/>
                      <w:bCs w:val="0"/>
                      <w:color w:val="auto"/>
                      <w:spacing w:val="0"/>
                      <w:sz w:val="21"/>
                      <w:szCs w:val="21"/>
                      <w:highlight w:val="none"/>
                      <w:u w:val="none"/>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color w:val="000000"/>
                      <w:sz w:val="21"/>
                      <w:szCs w:val="21"/>
                      <w:lang w:eastAsia="zh-CN"/>
                    </w:rPr>
                  </w:pPr>
                </w:p>
              </w:tc>
              <w:tc>
                <w:tcPr>
                  <w:tcW w:w="1762"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sz w:val="21"/>
                      <w:szCs w:val="21"/>
                      <w:highlight w:val="none"/>
                    </w:rPr>
                  </w:pPr>
                  <w:r>
                    <w:rPr>
                      <w:rFonts w:hint="default" w:ascii="Times New Roman" w:hAnsi="Times New Roman" w:eastAsia="宋体"/>
                      <w:sz w:val="21"/>
                      <w:szCs w:val="21"/>
                      <w:highlight w:val="none"/>
                      <w:lang w:val="en-US" w:eastAsia="zh-CN"/>
                    </w:rPr>
                    <w:t>《大气污染物综合排放标准》</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GB16297</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1996</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表2</w:t>
                  </w:r>
                  <w:r>
                    <w:rPr>
                      <w:rFonts w:hint="eastAsia" w:ascii="Times New Roman" w:hAnsi="Times New Roman" w:eastAsia="宋体"/>
                      <w:sz w:val="21"/>
                      <w:szCs w:val="21"/>
                      <w:highlight w:val="none"/>
                      <w:lang w:val="en-US" w:eastAsia="zh-CN"/>
                    </w:rPr>
                    <w:t>二级</w:t>
                  </w:r>
                  <w:r>
                    <w:rPr>
                      <w:rFonts w:hint="default" w:ascii="Times New Roman" w:hAnsi="Times New Roman" w:eastAsia="宋体"/>
                      <w:sz w:val="21"/>
                      <w:szCs w:val="21"/>
                      <w:highlight w:val="none"/>
                      <w:lang w:val="en-US" w:eastAsia="zh-CN"/>
                    </w:rPr>
                    <w:t>标准</w:t>
                  </w:r>
                </w:p>
              </w:tc>
              <w:tc>
                <w:tcPr>
                  <w:tcW w:w="797"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eastAsia="宋体"/>
                      <w:b w:val="0"/>
                      <w:bCs w:val="0"/>
                      <w:color w:val="000000"/>
                      <w:sz w:val="21"/>
                      <w:szCs w:val="21"/>
                      <w:highlight w:val="none"/>
                      <w:lang w:val="en-US" w:eastAsia="zh-CN"/>
                    </w:rPr>
                  </w:pPr>
                  <w:r>
                    <w:rPr>
                      <w:rFonts w:hint="eastAsia"/>
                      <w:b w:val="0"/>
                      <w:bCs w:val="0"/>
                      <w:color w:val="000000"/>
                      <w:sz w:val="21"/>
                      <w:szCs w:val="21"/>
                      <w:highlight w:val="none"/>
                      <w:lang w:val="en-US" w:eastAsia="zh-CN"/>
                    </w:rPr>
                    <w:t>颗粒物</w:t>
                  </w:r>
                </w:p>
              </w:tc>
              <w:tc>
                <w:tcPr>
                  <w:tcW w:w="2044" w:type="pct"/>
                  <w:gridSpan w:val="3"/>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bCs/>
                      <w:sz w:val="21"/>
                      <w:szCs w:val="21"/>
                      <w:lang w:val="en-US" w:eastAsia="zh-CN"/>
                    </w:rPr>
                  </w:pPr>
                  <w:r>
                    <w:rPr>
                      <w:rFonts w:hint="default" w:ascii="Times New Roman" w:hAnsi="Times New Roman" w:eastAsia="宋体" w:cs="Times New Roman"/>
                      <w:color w:val="auto"/>
                      <w:sz w:val="21"/>
                      <w:szCs w:val="21"/>
                      <w:highlight w:val="none"/>
                      <w:lang w:val="en-US" w:eastAsia="zh-CN" w:bidi="ar-SA"/>
                    </w:rPr>
                    <w:t>有组织：</w:t>
                  </w:r>
                  <w:r>
                    <w:rPr>
                      <w:rFonts w:hint="eastAsia" w:ascii="Times New Roman" w:hAnsi="Times New Roman" w:eastAsia="宋体" w:cs="Times New Roman"/>
                      <w:color w:val="auto"/>
                      <w:sz w:val="21"/>
                      <w:szCs w:val="21"/>
                      <w:highlight w:val="none"/>
                      <w:lang w:val="en-US" w:eastAsia="zh-CN" w:bidi="ar-SA"/>
                    </w:rPr>
                    <w:t>排放速率</w:t>
                  </w:r>
                  <w:r>
                    <w:rPr>
                      <w:rFonts w:hint="default" w:ascii="Times New Roman" w:hAnsi="Times New Roman" w:eastAsia="宋体" w:cs="Times New Roman"/>
                      <w:color w:val="auto"/>
                      <w:sz w:val="21"/>
                      <w:szCs w:val="21"/>
                      <w:highlight w:val="none"/>
                      <w:lang w:val="en-US" w:eastAsia="zh-CN" w:bidi="ar-SA"/>
                    </w:rPr>
                    <w:t>3.5kg/h、</w:t>
                  </w:r>
                  <w:r>
                    <w:rPr>
                      <w:rFonts w:hint="eastAsia" w:ascii="Times New Roman" w:hAnsi="Times New Roman" w:eastAsia="宋体" w:cs="Times New Roman"/>
                      <w:color w:val="auto"/>
                      <w:sz w:val="21"/>
                      <w:szCs w:val="21"/>
                      <w:highlight w:val="none"/>
                      <w:lang w:val="en-US" w:eastAsia="zh-CN" w:bidi="ar-SA"/>
                    </w:rPr>
                    <w:t>排放浓度</w:t>
                  </w:r>
                  <w:r>
                    <w:rPr>
                      <w:rFonts w:hint="default" w:ascii="Times New Roman" w:hAnsi="Times New Roman" w:eastAsia="宋体" w:cs="Times New Roman"/>
                      <w:color w:val="auto"/>
                      <w:sz w:val="21"/>
                      <w:szCs w:val="21"/>
                      <w:highlight w:val="none"/>
                      <w:lang w:val="en-US" w:eastAsia="zh-CN" w:bidi="ar-SA"/>
                    </w:rPr>
                    <w:t>120mg/m</w:t>
                  </w:r>
                  <w:r>
                    <w:rPr>
                      <w:rFonts w:hint="default" w:ascii="Times New Roman" w:hAnsi="Times New Roman" w:eastAsia="宋体" w:cs="Times New Roman"/>
                      <w:color w:val="auto"/>
                      <w:sz w:val="21"/>
                      <w:szCs w:val="21"/>
                      <w:highlight w:val="none"/>
                      <w:vertAlign w:val="superscript"/>
                      <w:lang w:val="en-US" w:eastAsia="zh-CN" w:bidi="ar-SA"/>
                    </w:rPr>
                    <w:t>3</w:t>
                  </w:r>
                  <w:r>
                    <w:rPr>
                      <w:rFonts w:hint="default" w:ascii="Times New Roman" w:hAnsi="Times New Roman" w:eastAsia="宋体" w:cs="Times New Roman"/>
                      <w:color w:val="auto"/>
                      <w:sz w:val="21"/>
                      <w:szCs w:val="21"/>
                      <w:highlight w:val="none"/>
                      <w:lang w:val="en-US" w:eastAsia="zh-CN" w:bidi="ar-SA"/>
                    </w:rPr>
                    <w:t>（15m</w:t>
                  </w:r>
                  <w:r>
                    <w:rPr>
                      <w:rFonts w:hint="eastAsia" w:ascii="Times New Roman" w:hAnsi="Times New Roman" w:eastAsia="宋体" w:cs="Times New Roman"/>
                      <w:color w:val="auto"/>
                      <w:sz w:val="21"/>
                      <w:szCs w:val="21"/>
                      <w:highlight w:val="none"/>
                      <w:lang w:val="en-US" w:eastAsia="zh-CN" w:bidi="ar-SA"/>
                    </w:rPr>
                    <w:t>高排气筒</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无组织：1.0mg/m</w:t>
                  </w:r>
                  <w:r>
                    <w:rPr>
                      <w:rFonts w:hint="default" w:ascii="Times New Roman" w:hAnsi="Times New Roman" w:eastAsia="宋体" w:cs="Times New Roman"/>
                      <w:color w:val="auto"/>
                      <w:sz w:val="21"/>
                      <w:szCs w:val="21"/>
                      <w:highlight w:val="none"/>
                      <w:vertAlign w:val="superscript"/>
                      <w:lang w:val="en-US" w:eastAsia="zh-CN" w:bidi="ar-SA"/>
                    </w:rPr>
                    <w:t>3</w:t>
                  </w:r>
                  <w:r>
                    <w:rPr>
                      <w:rFonts w:hint="default" w:ascii="Times New Roman" w:hAnsi="Times New Roman" w:eastAsia="宋体" w:cs="Times New Roman"/>
                      <w:color w:val="auto"/>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噪声</w:t>
                  </w:r>
                </w:p>
              </w:tc>
              <w:tc>
                <w:tcPr>
                  <w:tcW w:w="1762"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rPr>
                  </w:pPr>
                  <w:r>
                    <w:rPr>
                      <w:rFonts w:hint="default" w:ascii="Times New Roman" w:hAnsi="Times New Roman" w:eastAsia="宋体" w:cs="Times New Roman"/>
                      <w:b w:val="0"/>
                      <w:bCs w:val="0"/>
                      <w:color w:val="000000"/>
                      <w:sz w:val="21"/>
                      <w:szCs w:val="21"/>
                    </w:rPr>
                    <w:t>《工业企业厂界环境噪声排放标准》</w:t>
                  </w:r>
                  <w:r>
                    <w:rPr>
                      <w:rFonts w:hint="eastAsia" w:ascii="Times New Roman" w:hAnsi="Times New Roman" w:eastAsia="宋体" w:cs="Times New Roman"/>
                      <w:b w:val="0"/>
                      <w:bCs w:val="0"/>
                      <w:color w:val="000000"/>
                      <w:sz w:val="21"/>
                      <w:szCs w:val="21"/>
                      <w:lang w:eastAsia="zh-CN"/>
                    </w:rPr>
                    <w:t>（</w:t>
                  </w:r>
                  <w:r>
                    <w:rPr>
                      <w:rFonts w:hint="default" w:ascii="Times New Roman" w:hAnsi="Times New Roman" w:eastAsia="宋体" w:cs="Times New Roman"/>
                      <w:b w:val="0"/>
                      <w:bCs w:val="0"/>
                      <w:color w:val="000000"/>
                      <w:sz w:val="21"/>
                      <w:szCs w:val="21"/>
                    </w:rPr>
                    <w:t>GB12348-2008</w:t>
                  </w:r>
                  <w:r>
                    <w:rPr>
                      <w:rFonts w:hint="default" w:ascii="Times New Roman" w:hAnsi="Times New Roman" w:eastAsia="宋体" w:cs="Times New Roman"/>
                      <w:b w:val="0"/>
                      <w:bCs w:val="0"/>
                      <w:color w:val="000000"/>
                      <w:sz w:val="21"/>
                      <w:szCs w:val="21"/>
                      <w:lang w:eastAsia="zh-CN"/>
                    </w:rPr>
                    <w:t>）</w:t>
                  </w:r>
                  <w:r>
                    <w:rPr>
                      <w:rFonts w:hint="eastAsia" w:ascii="Times New Roman" w:hAnsi="Times New Roman" w:eastAsia="宋体" w:cs="Times New Roman"/>
                      <w:b w:val="0"/>
                      <w:bCs w:val="0"/>
                      <w:color w:val="000000"/>
                      <w:sz w:val="21"/>
                      <w:szCs w:val="21"/>
                      <w:lang w:val="en-US" w:eastAsia="zh-CN"/>
                    </w:rPr>
                    <w:t>2</w:t>
                  </w:r>
                  <w:r>
                    <w:rPr>
                      <w:rFonts w:hint="default" w:ascii="Times New Roman" w:hAnsi="Times New Roman" w:eastAsia="宋体" w:cs="Times New Roman"/>
                      <w:b w:val="0"/>
                      <w:bCs w:val="0"/>
                      <w:color w:val="000000"/>
                      <w:sz w:val="21"/>
                      <w:szCs w:val="21"/>
                    </w:rPr>
                    <w:t>类标准</w:t>
                  </w:r>
                </w:p>
              </w:tc>
              <w:tc>
                <w:tcPr>
                  <w:tcW w:w="797"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等效声级A</w:t>
                  </w:r>
                  <w:r>
                    <w:rPr>
                      <w:rFonts w:hint="default" w:ascii="Times New Roman" w:hAnsi="Times New Roman" w:eastAsia="宋体" w:cs="Times New Roman"/>
                      <w:sz w:val="21"/>
                      <w:szCs w:val="21"/>
                      <w:highlight w:val="none"/>
                      <w:vertAlign w:val="subscript"/>
                    </w:rPr>
                    <w:t>Leq</w:t>
                  </w:r>
                </w:p>
              </w:tc>
              <w:tc>
                <w:tcPr>
                  <w:tcW w:w="1166" w:type="pct"/>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sz w:val="21"/>
                      <w:szCs w:val="21"/>
                    </w:rPr>
                    <w:t>昼间</w:t>
                  </w:r>
                </w:p>
              </w:tc>
              <w:tc>
                <w:tcPr>
                  <w:tcW w:w="878"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sz w:val="21"/>
                      <w:szCs w:val="21"/>
                    </w:rPr>
                    <w:t>6</w:t>
                  </w:r>
                  <w:r>
                    <w:rPr>
                      <w:rFonts w:hint="eastAsia" w:ascii="Times New Roman" w:hAnsi="Times New Roman" w:eastAsia="宋体" w:cs="Times New Roman"/>
                      <w:b w:val="0"/>
                      <w:bCs w:val="0"/>
                      <w:color w:val="000000"/>
                      <w:sz w:val="21"/>
                      <w:szCs w:val="21"/>
                      <w:lang w:val="en-US" w:eastAsia="zh-CN"/>
                    </w:rPr>
                    <w:t>0</w:t>
                  </w:r>
                  <w:r>
                    <w:rPr>
                      <w:rFonts w:hint="default" w:ascii="Times New Roman" w:hAnsi="Times New Roman" w:eastAsia="宋体" w:cs="Times New Roman"/>
                      <w:b w:val="0"/>
                      <w:bCs w:val="0"/>
                      <w:color w:val="000000"/>
                      <w:sz w:val="21"/>
                      <w:szCs w:val="21"/>
                    </w:rPr>
                    <w:t>dB(A)</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sz w:val="21"/>
                      <w:szCs w:val="21"/>
                    </w:rPr>
                  </w:pPr>
                </w:p>
              </w:tc>
              <w:tc>
                <w:tcPr>
                  <w:tcW w:w="1762"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sz w:val="21"/>
                      <w:szCs w:val="21"/>
                    </w:rPr>
                  </w:pPr>
                </w:p>
              </w:tc>
              <w:tc>
                <w:tcPr>
                  <w:tcW w:w="797" w:type="pct"/>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sz w:val="21"/>
                      <w:szCs w:val="21"/>
                    </w:rPr>
                  </w:pPr>
                </w:p>
              </w:tc>
              <w:tc>
                <w:tcPr>
                  <w:tcW w:w="1166" w:type="pct"/>
                  <w:gridSpan w:val="2"/>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sz w:val="21"/>
                      <w:szCs w:val="21"/>
                    </w:rPr>
                    <w:t>夜间</w:t>
                  </w:r>
                </w:p>
              </w:tc>
              <w:tc>
                <w:tcPr>
                  <w:tcW w:w="878"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kern w:val="2"/>
                      <w:sz w:val="21"/>
                      <w:szCs w:val="21"/>
                      <w:lang w:val="en-US" w:eastAsia="zh-CN" w:bidi="ar-SA"/>
                    </w:rPr>
                  </w:pPr>
                  <w:r>
                    <w:rPr>
                      <w:rFonts w:hint="default" w:ascii="Times New Roman" w:hAnsi="Times New Roman" w:eastAsia="宋体" w:cs="Times New Roman"/>
                      <w:b w:val="0"/>
                      <w:bCs w:val="0"/>
                      <w:color w:val="000000"/>
                      <w:sz w:val="21"/>
                      <w:szCs w:val="21"/>
                    </w:rPr>
                    <w:t>5</w:t>
                  </w:r>
                  <w:r>
                    <w:rPr>
                      <w:rFonts w:hint="eastAsia" w:ascii="Times New Roman" w:hAnsi="Times New Roman" w:eastAsia="宋体" w:cs="Times New Roman"/>
                      <w:b w:val="0"/>
                      <w:bCs w:val="0"/>
                      <w:color w:val="000000"/>
                      <w:sz w:val="21"/>
                      <w:szCs w:val="21"/>
                      <w:lang w:val="en-US" w:eastAsia="zh-CN"/>
                    </w:rPr>
                    <w:t>0</w:t>
                  </w:r>
                  <w:r>
                    <w:rPr>
                      <w:rFonts w:hint="default" w:ascii="Times New Roman" w:hAnsi="Times New Roman" w:eastAsia="宋体" w:cs="Times New Roman"/>
                      <w:b w:val="0"/>
                      <w:bCs w:val="0"/>
                      <w:color w:val="000000"/>
                      <w:sz w:val="21"/>
                      <w:szCs w:val="21"/>
                    </w:rPr>
                    <w:t>dB(A)</w:t>
                  </w:r>
                </w:p>
              </w:tc>
            </w:tr>
            <w:bookmarkEnd w:id="6"/>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96" w:type="pct"/>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color w:val="000000"/>
                      <w:sz w:val="21"/>
                      <w:szCs w:val="21"/>
                    </w:rPr>
                  </w:pPr>
                  <w:bookmarkStart w:id="7" w:name="_Toc153189274"/>
                  <w:r>
                    <w:rPr>
                      <w:rFonts w:hint="default" w:ascii="Times New Roman" w:hAnsi="Times New Roman" w:eastAsia="宋体" w:cs="Times New Roman"/>
                      <w:b w:val="0"/>
                      <w:bCs w:val="0"/>
                      <w:color w:val="000000"/>
                      <w:sz w:val="21"/>
                      <w:szCs w:val="21"/>
                    </w:rPr>
                    <w:t>固体</w:t>
                  </w:r>
                  <w:bookmarkEnd w:id="7"/>
                  <w:bookmarkStart w:id="8" w:name="_Toc153189275"/>
                  <w:r>
                    <w:rPr>
                      <w:rFonts w:hint="default" w:ascii="Times New Roman" w:hAnsi="Times New Roman" w:eastAsia="宋体" w:cs="Times New Roman"/>
                      <w:b w:val="0"/>
                      <w:bCs w:val="0"/>
                      <w:color w:val="000000"/>
                      <w:sz w:val="21"/>
                      <w:szCs w:val="21"/>
                    </w:rPr>
                    <w:t>废物</w:t>
                  </w:r>
                  <w:bookmarkEnd w:id="8"/>
                </w:p>
              </w:tc>
              <w:tc>
                <w:tcPr>
                  <w:tcW w:w="4603" w:type="pct"/>
                  <w:gridSpan w:val="5"/>
                  <w:noWrap w:val="0"/>
                  <w:vAlign w:val="center"/>
                </w:tcPr>
                <w:p>
                  <w:pPr>
                    <w:pStyle w:val="57"/>
                    <w:keepNext w:val="0"/>
                    <w:keepLines w:val="0"/>
                    <w:pageBreakBefore w:val="0"/>
                    <w:kinsoku/>
                    <w:wordWrap/>
                    <w:overflowPunct/>
                    <w:topLinePunct w:val="0"/>
                    <w:bidi w:val="0"/>
                    <w:adjustRightInd w:val="0"/>
                    <w:snapToGrid w:val="0"/>
                    <w:spacing w:line="240" w:lineRule="auto"/>
                    <w:jc w:val="center"/>
                    <w:textAlignment w:val="auto"/>
                    <w:rPr>
                      <w:rFonts w:hint="eastAsia" w:ascii="Times New Roman" w:hAnsi="Times New Roman" w:eastAsia="宋体" w:cs="Times New Roman"/>
                      <w:b w:val="0"/>
                      <w:bCs w:val="0"/>
                      <w:color w:val="000000"/>
                      <w:sz w:val="21"/>
                      <w:szCs w:val="21"/>
                      <w:lang w:eastAsia="zh-CN"/>
                    </w:rPr>
                  </w:pPr>
                  <w:r>
                    <w:rPr>
                      <w:rFonts w:hint="eastAsia" w:ascii="Times New Roman" w:hAnsi="Times New Roman" w:eastAsia="宋体"/>
                      <w:color w:val="auto"/>
                      <w:sz w:val="21"/>
                      <w:szCs w:val="21"/>
                      <w:highlight w:val="none"/>
                    </w:rPr>
                    <w:t>《一般工业固体废物贮存和填埋污染控制标准》（GB18599-2020）</w:t>
                  </w:r>
                </w:p>
              </w:tc>
            </w:tr>
          </w:tbl>
          <w:p>
            <w:pPr>
              <w:adjustRightInd w:val="0"/>
              <w:snapToGrid w:val="0"/>
              <w:ind w:firstLine="480"/>
              <w:rPr>
                <w:rFonts w:cs="Times New Roman"/>
                <w:bCs/>
                <w:szCs w:val="24"/>
              </w:rPr>
            </w:pPr>
          </w:p>
          <w:p>
            <w:pPr>
              <w:widowControl/>
              <w:spacing w:line="440" w:lineRule="exact"/>
              <w:ind w:firstLine="480"/>
            </w:pPr>
          </w:p>
          <w:p>
            <w:pPr>
              <w:widowControl/>
              <w:spacing w:line="440" w:lineRule="exact"/>
              <w:ind w:firstLine="480"/>
            </w:pPr>
          </w:p>
          <w:p>
            <w:pPr>
              <w:widowControl/>
              <w:spacing w:line="440" w:lineRule="exact"/>
              <w:ind w:firstLine="480"/>
            </w:pPr>
          </w:p>
          <w:p>
            <w:pPr>
              <w:widowControl/>
              <w:spacing w:line="440" w:lineRule="exact"/>
              <w:ind w:left="0" w:leftChars="0" w:firstLine="0" w:firstLineChars="0"/>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704" w:type="dxa"/>
            <w:tcBorders>
              <w:tl2br w:val="nil"/>
              <w:tr2bl w:val="nil"/>
            </w:tcBorders>
            <w:vAlign w:val="center"/>
          </w:tcPr>
          <w:p>
            <w:pPr>
              <w:ind w:firstLine="0" w:firstLineChars="0"/>
              <w:jc w:val="center"/>
            </w:pPr>
            <w:r>
              <w:rPr>
                <w:rFonts w:hint="eastAsia"/>
              </w:rPr>
              <w:t>总量控制指标</w:t>
            </w:r>
          </w:p>
        </w:tc>
        <w:tc>
          <w:tcPr>
            <w:tcW w:w="8356" w:type="dxa"/>
            <w:tcBorders>
              <w:tl2br w:val="nil"/>
              <w:tr2bl w:val="nil"/>
            </w:tcBorders>
            <w:vAlign w:val="center"/>
          </w:tcPr>
          <w:p>
            <w:pPr>
              <w:adjustRightInd w:val="0"/>
              <w:snapToGrid w:val="0"/>
              <w:ind w:firstLine="480"/>
            </w:pPr>
            <w:r>
              <w:rPr>
                <w:rFonts w:hint="eastAsia"/>
              </w:rPr>
              <w:t>1、废气</w:t>
            </w:r>
          </w:p>
          <w:p>
            <w:pPr>
              <w:adjustRightInd w:val="0"/>
              <w:snapToGrid w:val="0"/>
              <w:ind w:firstLine="480"/>
              <w:rPr>
                <w:rFonts w:hint="default"/>
                <w:color w:val="auto"/>
                <w:lang w:val="en-US"/>
              </w:rPr>
            </w:pPr>
            <w:bookmarkStart w:id="9" w:name="_Hlk81401429"/>
            <w:r>
              <w:rPr>
                <w:color w:val="auto"/>
              </w:rPr>
              <w:t>根据国家总量控制指标，大气污染物总量控制指标为NO</w:t>
            </w:r>
            <w:r>
              <w:rPr>
                <w:color w:val="auto"/>
                <w:vertAlign w:val="subscript"/>
              </w:rPr>
              <w:t>X</w:t>
            </w:r>
            <w:r>
              <w:rPr>
                <w:color w:val="auto"/>
              </w:rPr>
              <w:t>。本项目生产过程</w:t>
            </w:r>
            <w:r>
              <w:rPr>
                <w:rFonts w:hint="eastAsia"/>
                <w:color w:val="auto"/>
                <w:lang w:val="en-US" w:eastAsia="zh-CN"/>
              </w:rPr>
              <w:t>天然气热风炉排放的氮氧化物约0.0606t/a，需进行倍量替代，倍量替代量为0.1212t/a，由区域削减支出给本项目。</w:t>
            </w:r>
          </w:p>
          <w:p>
            <w:pPr>
              <w:adjustRightInd w:val="0"/>
              <w:snapToGrid w:val="0"/>
              <w:ind w:firstLine="480"/>
            </w:pPr>
            <w:r>
              <w:rPr>
                <w:rFonts w:hint="eastAsia"/>
              </w:rPr>
              <w:t>2、废水</w:t>
            </w:r>
          </w:p>
          <w:p>
            <w:pPr>
              <w:adjustRightInd w:val="0"/>
              <w:snapToGrid w:val="0"/>
              <w:spacing w:line="480" w:lineRule="exact"/>
              <w:ind w:firstLine="480"/>
              <w:rPr>
                <w:rFonts w:hint="default" w:eastAsia="宋体"/>
                <w:lang w:val="en-US" w:eastAsia="zh-CN"/>
              </w:rPr>
            </w:pPr>
            <w:r>
              <w:rPr>
                <w:rFonts w:hint="eastAsia"/>
              </w:rPr>
              <w:t>本项目废水主要为生活污水，生活污水</w:t>
            </w:r>
            <w:bookmarkEnd w:id="9"/>
            <w:r>
              <w:rPr>
                <w:rFonts w:hint="eastAsia"/>
                <w:lang w:val="en-US" w:eastAsia="zh-CN"/>
              </w:rPr>
              <w:t>经化粪池处理后，定期清掏肥田，不涉及废水外排。</w:t>
            </w:r>
            <w:r>
              <w:rPr>
                <w:rFonts w:hint="eastAsia" w:cs="Times New Roman"/>
                <w:b w:val="0"/>
                <w:bCs w:val="0"/>
                <w:snapToGrid w:val="0"/>
                <w:color w:val="auto"/>
                <w:kern w:val="0"/>
                <w:sz w:val="24"/>
                <w:szCs w:val="24"/>
                <w:lang w:val="en-US" w:eastAsia="zh-CN"/>
              </w:rPr>
              <w:t>因此本项目废水无需申请总量。</w:t>
            </w:r>
          </w:p>
          <w:p>
            <w:pPr>
              <w:pStyle w:val="2"/>
              <w:spacing w:before="312" w:after="312"/>
            </w:pPr>
          </w:p>
          <w:p>
            <w:pPr>
              <w:ind w:firstLine="480"/>
            </w:pPr>
          </w:p>
          <w:p>
            <w:pPr>
              <w:pStyle w:val="2"/>
              <w:spacing w:before="312" w:after="312"/>
            </w:pPr>
          </w:p>
          <w:p>
            <w:pPr>
              <w:ind w:firstLine="480"/>
            </w:pPr>
          </w:p>
          <w:p>
            <w:pPr>
              <w:pStyle w:val="2"/>
              <w:spacing w:before="312" w:after="312"/>
            </w:pPr>
          </w:p>
          <w:p>
            <w:pPr>
              <w:ind w:firstLine="480"/>
            </w:pPr>
          </w:p>
          <w:p>
            <w:pPr>
              <w:pStyle w:val="2"/>
              <w:spacing w:before="312" w:after="312"/>
            </w:pPr>
          </w:p>
          <w:p>
            <w:pPr>
              <w:ind w:firstLine="480"/>
            </w:pPr>
          </w:p>
          <w:p>
            <w:pPr>
              <w:pStyle w:val="2"/>
              <w:spacing w:before="312" w:after="312"/>
            </w:pPr>
          </w:p>
          <w:p/>
          <w:p/>
          <w:p/>
          <w:p/>
          <w:p>
            <w:pPr>
              <w:ind w:left="0" w:leftChars="0" w:firstLine="0" w:firstLineChars="0"/>
            </w:pPr>
          </w:p>
        </w:tc>
      </w:tr>
    </w:tbl>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eastAsia="黑体" w:cs="Times New Roman"/>
          <w:b/>
          <w:sz w:val="30"/>
          <w:szCs w:val="30"/>
        </w:rPr>
      </w:pPr>
      <w:r>
        <w:rPr>
          <w:rFonts w:hint="eastAsia" w:eastAsia="黑体" w:cs="Times New Roman"/>
          <w:b/>
          <w:sz w:val="30"/>
          <w:szCs w:val="30"/>
        </w:rPr>
        <w:t>主要环境影响和保护措施</w:t>
      </w:r>
    </w:p>
    <w:tbl>
      <w:tblPr>
        <w:tblStyle w:val="22"/>
        <w:tblW w:w="963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57" w:type="dxa"/>
          <w:bottom w:w="0" w:type="dxa"/>
          <w:right w:w="57" w:type="dxa"/>
        </w:tblCellMar>
      </w:tblPr>
      <w:tblGrid>
        <w:gridCol w:w="354"/>
        <w:gridCol w:w="960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704" w:type="dxa"/>
            <w:tcBorders>
              <w:tl2br w:val="nil"/>
              <w:tr2bl w:val="nil"/>
            </w:tcBorders>
            <w:vAlign w:val="center"/>
          </w:tcPr>
          <w:p>
            <w:pPr>
              <w:spacing w:line="320" w:lineRule="exact"/>
              <w:ind w:firstLine="0" w:firstLineChars="0"/>
              <w:jc w:val="center"/>
            </w:pPr>
            <w:r>
              <w:rPr>
                <w:rFonts w:hint="eastAsia"/>
              </w:rPr>
              <w:t>施工期环境保护措施</w:t>
            </w:r>
          </w:p>
        </w:tc>
        <w:tc>
          <w:tcPr>
            <w:tcW w:w="8356" w:type="dxa"/>
            <w:tcBorders>
              <w:tl2br w:val="nil"/>
              <w:tr2bl w:val="nil"/>
            </w:tcBorders>
          </w:tcPr>
          <w:p>
            <w:pPr>
              <w:ind w:firstLine="480"/>
              <w:rPr>
                <w:rFonts w:cs="Times New Roman"/>
              </w:rPr>
            </w:pPr>
            <w:r>
              <w:rPr>
                <w:rFonts w:hint="eastAsia" w:hAnsi="宋体"/>
                <w:sz w:val="24"/>
              </w:rPr>
              <w:t>本项目</w:t>
            </w:r>
            <w:r>
              <w:rPr>
                <w:rFonts w:hint="eastAsia" w:hAnsi="宋体"/>
                <w:sz w:val="24"/>
                <w:lang w:val="en-US" w:eastAsia="zh-CN"/>
              </w:rPr>
              <w:t>租赁现有空厂房进行建设</w:t>
            </w:r>
            <w:r>
              <w:rPr>
                <w:rFonts w:hint="eastAsia" w:hAnsi="宋体"/>
                <w:sz w:val="24"/>
              </w:rPr>
              <w:t>，</w:t>
            </w:r>
            <w:r>
              <w:rPr>
                <w:rFonts w:hint="eastAsia" w:hAnsi="宋体"/>
                <w:sz w:val="24"/>
                <w:lang w:val="en-US" w:eastAsia="zh-CN"/>
              </w:rPr>
              <w:t>不涉及土建工程，</w:t>
            </w:r>
            <w:r>
              <w:rPr>
                <w:rFonts w:hint="eastAsia" w:hAnsi="宋体"/>
                <w:sz w:val="24"/>
              </w:rPr>
              <w:t>施工期主要为生产设备的安装和调试，在封闭的厂房内进行，且施工期时间较短，随着设备安装调试的结束，施工期的影响也随之结束，施工期对外界环境影响较小。</w:t>
            </w:r>
          </w:p>
          <w:p>
            <w:pPr>
              <w:ind w:firstLine="482"/>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704" w:type="dxa"/>
            <w:tcBorders>
              <w:tl2br w:val="nil"/>
              <w:tr2bl w:val="nil"/>
            </w:tcBorders>
            <w:vAlign w:val="center"/>
          </w:tcPr>
          <w:p>
            <w:pPr>
              <w:spacing w:line="320" w:lineRule="exact"/>
              <w:ind w:firstLine="0" w:firstLineChars="0"/>
              <w:jc w:val="center"/>
            </w:pPr>
            <w:r>
              <w:rPr>
                <w:rFonts w:hint="eastAsia"/>
              </w:rPr>
              <w:t>运营</w:t>
            </w:r>
          </w:p>
          <w:p>
            <w:pPr>
              <w:spacing w:line="320" w:lineRule="exact"/>
              <w:ind w:firstLine="0" w:firstLineChars="0"/>
              <w:jc w:val="center"/>
            </w:pPr>
            <w:r>
              <w:rPr>
                <w:rFonts w:hint="eastAsia"/>
              </w:rPr>
              <w:t>期环</w:t>
            </w:r>
          </w:p>
          <w:p>
            <w:pPr>
              <w:spacing w:line="320" w:lineRule="exact"/>
              <w:ind w:firstLine="0" w:firstLineChars="0"/>
              <w:jc w:val="center"/>
            </w:pPr>
            <w:r>
              <w:rPr>
                <w:rFonts w:hint="eastAsia"/>
              </w:rPr>
              <w:t>境影</w:t>
            </w:r>
          </w:p>
          <w:p>
            <w:pPr>
              <w:spacing w:line="320" w:lineRule="exact"/>
              <w:ind w:firstLine="0" w:firstLineChars="0"/>
              <w:jc w:val="center"/>
            </w:pPr>
            <w:r>
              <w:rPr>
                <w:rFonts w:hint="eastAsia"/>
              </w:rPr>
              <w:t>响和</w:t>
            </w:r>
          </w:p>
          <w:p>
            <w:pPr>
              <w:spacing w:line="320" w:lineRule="exact"/>
              <w:ind w:firstLine="0" w:firstLineChars="0"/>
              <w:jc w:val="center"/>
            </w:pPr>
            <w:r>
              <w:rPr>
                <w:rFonts w:hint="eastAsia"/>
              </w:rPr>
              <w:t>保护</w:t>
            </w:r>
          </w:p>
          <w:p>
            <w:pPr>
              <w:spacing w:line="320" w:lineRule="exact"/>
              <w:ind w:firstLine="0" w:firstLineChars="0"/>
              <w:jc w:val="center"/>
            </w:pPr>
            <w:r>
              <w:rPr>
                <w:rFonts w:hint="eastAsia"/>
              </w:rPr>
              <w:t>措施</w:t>
            </w:r>
          </w:p>
        </w:tc>
        <w:tc>
          <w:tcPr>
            <w:tcW w:w="8356" w:type="dxa"/>
            <w:tcBorders>
              <w:tl2br w:val="nil"/>
              <w:tr2bl w:val="nil"/>
            </w:tcBorders>
          </w:tcPr>
          <w:p>
            <w:pPr>
              <w:ind w:firstLine="482"/>
              <w:rPr>
                <w:b/>
                <w:bCs/>
              </w:rPr>
            </w:pPr>
            <w:r>
              <w:rPr>
                <w:rFonts w:hint="eastAsia"/>
                <w:b/>
                <w:bCs/>
              </w:rPr>
              <w:t>1、废气</w:t>
            </w:r>
          </w:p>
          <w:p>
            <w:pPr>
              <w:ind w:firstLine="482"/>
              <w:rPr>
                <w:b/>
                <w:bCs/>
              </w:rPr>
            </w:pPr>
            <w:r>
              <w:rPr>
                <w:rFonts w:hint="eastAsia"/>
                <w:b/>
                <w:bCs/>
              </w:rPr>
              <w:t>1</w:t>
            </w:r>
            <w:r>
              <w:rPr>
                <w:b/>
                <w:bCs/>
              </w:rPr>
              <w:t>.1</w:t>
            </w:r>
            <w:r>
              <w:rPr>
                <w:rFonts w:hint="eastAsia"/>
                <w:b/>
                <w:bCs/>
              </w:rPr>
              <w:t>大气污染物产排情况及治理措施</w:t>
            </w:r>
          </w:p>
          <w:p>
            <w:pPr>
              <w:ind w:firstLine="482"/>
              <w:rPr>
                <w:rFonts w:hint="default" w:eastAsia="宋体" w:cs="Times New Roman"/>
                <w:b w:val="0"/>
                <w:bCs/>
                <w:u w:val="none"/>
                <w:lang w:val="en-US" w:eastAsia="zh-CN"/>
              </w:rPr>
            </w:pPr>
            <w:r>
              <w:rPr>
                <w:rFonts w:hint="eastAsia"/>
                <w:b w:val="0"/>
                <w:bCs/>
                <w:u w:val="none"/>
              </w:rPr>
              <w:t>（1）</w:t>
            </w:r>
            <w:r>
              <w:rPr>
                <w:rFonts w:hint="eastAsia"/>
                <w:b w:val="0"/>
                <w:bCs/>
                <w:u w:val="none"/>
                <w:lang w:val="en-US" w:eastAsia="zh-CN"/>
              </w:rPr>
              <w:t>调味料生产线工艺粉尘</w:t>
            </w:r>
          </w:p>
          <w:p>
            <w:pPr>
              <w:ind w:firstLine="482"/>
              <w:rPr>
                <w:rFonts w:hint="default"/>
                <w:b w:val="0"/>
                <w:bCs/>
                <w:u w:val="none"/>
                <w:lang w:val="en-US" w:eastAsia="zh-CN"/>
              </w:rPr>
            </w:pPr>
            <w:r>
              <w:rPr>
                <w:rFonts w:hint="eastAsia" w:cs="Times New Roman"/>
                <w:b w:val="0"/>
                <w:bCs/>
                <w:u w:val="none"/>
                <w:lang w:val="en-US" w:eastAsia="zh-CN"/>
              </w:rPr>
              <w:t>本项目</w:t>
            </w:r>
            <w:r>
              <w:rPr>
                <w:rFonts w:hint="eastAsia"/>
                <w:b w:val="0"/>
                <w:bCs/>
                <w:u w:val="none"/>
                <w:lang w:val="en-US" w:eastAsia="zh-CN"/>
              </w:rPr>
              <w:t>调味料生产线工艺粉尘主要物料投料、粉碎、混合搅拌、制粒、干燥、筛分、包装等工序产生的工艺粉尘，根据“1469其他调味品、发酵制品制造行业系数手册”中“2.4其他需要说明的问题”：单纯拌混工艺的调味料、粉、不涉及熬煮的粉质汤料及其制品系数参考1329饲料行业(或其它类似行业)预混配制等工艺的系数计，因此本项目调味料生产线工艺粉尘产污系数参考(132饲料加工行业系数手册)中配合饲料(</w:t>
            </w:r>
            <w:r>
              <w:rPr>
                <w:rFonts w:hint="default" w:ascii="Times New Roman" w:hAnsi="Times New Roman" w:cs="Times New Roman"/>
                <w:b w:val="0"/>
                <w:bCs/>
                <w:u w:val="none"/>
                <w:lang w:val="en-US" w:eastAsia="zh-CN"/>
              </w:rPr>
              <w:t>产量＜10万吨/a规模</w:t>
            </w:r>
            <w:r>
              <w:rPr>
                <w:rFonts w:hint="eastAsia"/>
                <w:b w:val="0"/>
                <w:bCs/>
                <w:u w:val="none"/>
                <w:lang w:val="en-US" w:eastAsia="zh-CN"/>
              </w:rPr>
              <w:t>)产污系数0.043千克/吨-产品计。</w:t>
            </w:r>
          </w:p>
          <w:p>
            <w:pPr>
              <w:ind w:firstLine="482"/>
              <w:rPr>
                <w:rFonts w:hint="default"/>
                <w:b w:val="0"/>
                <w:bCs/>
                <w:u w:val="none"/>
                <w:lang w:val="en-US" w:eastAsia="zh-CN"/>
              </w:rPr>
            </w:pPr>
            <w:r>
              <w:rPr>
                <w:rFonts w:hint="eastAsia" w:cs="Times New Roman"/>
                <w:b w:val="0"/>
                <w:bCs/>
                <w:u w:val="none"/>
                <w:lang w:val="en-US" w:eastAsia="zh-CN"/>
              </w:rPr>
              <w:t>本项目鸡精调味料产品产量为360t/a，则本项目</w:t>
            </w:r>
            <w:r>
              <w:rPr>
                <w:rFonts w:hint="eastAsia"/>
                <w:b w:val="0"/>
                <w:bCs/>
                <w:u w:val="none"/>
                <w:lang w:val="en-US" w:eastAsia="zh-CN"/>
              </w:rPr>
              <w:t>调味料生产线工艺粉尘的产生量为0.0155t/a。项目年运行2400h，粉尘产生速率为0.0065kg/h。</w:t>
            </w:r>
          </w:p>
          <w:p>
            <w:pPr>
              <w:ind w:firstLine="482"/>
              <w:rPr>
                <w:rFonts w:hint="default"/>
                <w:b w:val="0"/>
                <w:bCs/>
                <w:u w:val="none"/>
                <w:lang w:val="en-US" w:eastAsia="zh-CN"/>
              </w:rPr>
            </w:pPr>
            <w:r>
              <w:rPr>
                <w:rFonts w:hint="eastAsia"/>
                <w:b w:val="0"/>
                <w:bCs/>
                <w:u w:val="none"/>
                <w:lang w:val="en-US" w:eastAsia="zh-CN"/>
              </w:rPr>
              <w:t>项目调味料生产线投料、粉碎、混合搅拌、制粒、干燥、筛分、包装等工序上方设置集气罩，废气经收集引至一套袋式除尘器，处理后经一根15m高排气筒排放（DA001）。处理设施设计风量为1000m</w:t>
            </w:r>
            <w:r>
              <w:rPr>
                <w:rFonts w:hint="eastAsia"/>
                <w:b w:val="0"/>
                <w:bCs/>
                <w:u w:val="none"/>
                <w:vertAlign w:val="superscript"/>
                <w:lang w:val="en-US" w:eastAsia="zh-CN"/>
              </w:rPr>
              <w:t>3</w:t>
            </w:r>
            <w:r>
              <w:rPr>
                <w:rFonts w:hint="eastAsia"/>
                <w:b w:val="0"/>
                <w:bCs/>
                <w:u w:val="none"/>
                <w:lang w:val="en-US" w:eastAsia="zh-CN"/>
              </w:rPr>
              <w:t>/h，集气罩收集效率为90%，则有组织粉尘产生量为0.01395t/a，产生浓度为5.81mg/m</w:t>
            </w:r>
            <w:r>
              <w:rPr>
                <w:rFonts w:hint="eastAsia"/>
                <w:b w:val="0"/>
                <w:bCs/>
                <w:u w:val="none"/>
                <w:vertAlign w:val="superscript"/>
                <w:lang w:val="en-US" w:eastAsia="zh-CN"/>
              </w:rPr>
              <w:t>3</w:t>
            </w:r>
            <w:r>
              <w:rPr>
                <w:rFonts w:hint="eastAsia"/>
                <w:b w:val="0"/>
                <w:bCs/>
                <w:u w:val="none"/>
                <w:lang w:val="en-US" w:eastAsia="zh-CN"/>
              </w:rPr>
              <w:t>；袋式除尘器处理效率为99%，则有组织排放量为0.0001t/a，排放浓度为0.06mg/m</w:t>
            </w:r>
            <w:r>
              <w:rPr>
                <w:rFonts w:hint="eastAsia"/>
                <w:b w:val="0"/>
                <w:bCs/>
                <w:u w:val="none"/>
                <w:vertAlign w:val="superscript"/>
                <w:lang w:val="en-US" w:eastAsia="zh-CN"/>
              </w:rPr>
              <w:t>3</w:t>
            </w:r>
            <w:r>
              <w:rPr>
                <w:rFonts w:hint="eastAsia"/>
                <w:b w:val="0"/>
                <w:bCs/>
                <w:u w:val="none"/>
                <w:vertAlign w:val="baseline"/>
                <w:lang w:val="en-US" w:eastAsia="zh-CN"/>
              </w:rPr>
              <w:t>，排放速率为0.00004kg/h</w:t>
            </w:r>
            <w:r>
              <w:rPr>
                <w:rFonts w:hint="eastAsia"/>
                <w:b w:val="0"/>
                <w:bCs/>
                <w:u w:val="none"/>
                <w:lang w:val="en-US" w:eastAsia="zh-CN"/>
              </w:rPr>
              <w:t>。无组织排放量为0.00155t/a。</w:t>
            </w:r>
          </w:p>
          <w:p>
            <w:pPr>
              <w:ind w:firstLine="482"/>
              <w:rPr>
                <w:rFonts w:hint="default" w:eastAsia="宋体"/>
                <w:b w:val="0"/>
                <w:bCs/>
                <w:u w:val="none"/>
                <w:lang w:val="en-US" w:eastAsia="zh-CN"/>
              </w:rPr>
            </w:pPr>
            <w:r>
              <w:rPr>
                <w:rFonts w:hint="eastAsia"/>
                <w:b w:val="0"/>
                <w:bCs/>
                <w:u w:val="none"/>
              </w:rPr>
              <w:t>（2）</w:t>
            </w:r>
            <w:r>
              <w:rPr>
                <w:rFonts w:hint="eastAsia"/>
                <w:b w:val="0"/>
                <w:bCs/>
                <w:u w:val="none"/>
                <w:lang w:val="en-US" w:eastAsia="zh-CN"/>
              </w:rPr>
              <w:t>天然气热风炉废气</w:t>
            </w:r>
          </w:p>
          <w:p>
            <w:pPr>
              <w:ind w:firstLine="482"/>
              <w:rPr>
                <w:rFonts w:hint="eastAsia" w:cs="Times New Roman"/>
                <w:b w:val="0"/>
                <w:bCs/>
                <w:u w:val="none"/>
                <w:lang w:val="en-US" w:eastAsia="zh-CN"/>
              </w:rPr>
            </w:pPr>
            <w:r>
              <w:rPr>
                <w:rFonts w:hint="eastAsia" w:cs="Times New Roman"/>
                <w:b w:val="0"/>
                <w:bCs/>
                <w:u w:val="none"/>
                <w:lang w:val="en-US" w:eastAsia="zh-CN"/>
              </w:rPr>
              <w:t>本项目天然气热风炉参照天然气锅炉源强核算技术指南进行源强核算。根据《污染源源强核算技术指南 锅炉》（HJ991-2018）要求“新(改、扩)建工程污染源正常工况时，废气有组织源强优先采用物料衡算法核算，其次采用类比法、产污系数法核算；非正常工况时，废气有组织源强采用类比法核算”。因此，本项目采用物料衡算法进行计算。</w:t>
            </w:r>
          </w:p>
          <w:p>
            <w:pPr>
              <w:ind w:firstLine="482"/>
              <w:rPr>
                <w:rFonts w:hint="default" w:cs="Times New Roman"/>
                <w:b w:val="0"/>
                <w:bCs/>
                <w:u w:val="none"/>
                <w:lang w:val="en-US" w:eastAsia="zh-CN"/>
              </w:rPr>
            </w:pPr>
            <w:r>
              <w:rPr>
                <w:rFonts w:hint="eastAsia" w:cs="Times New Roman"/>
                <w:b w:val="0"/>
                <w:bCs/>
                <w:u w:val="none"/>
                <w:lang w:val="en-US" w:eastAsia="zh-CN"/>
              </w:rPr>
              <w:t>①烟气量</w:t>
            </w:r>
          </w:p>
          <w:p>
            <w:pPr>
              <w:ind w:firstLine="482"/>
              <w:rPr>
                <w:rFonts w:hint="eastAsia" w:cs="Times New Roman"/>
                <w:b w:val="0"/>
                <w:bCs/>
                <w:u w:val="none"/>
                <w:lang w:val="en-US" w:eastAsia="zh-CN"/>
              </w:rPr>
            </w:pPr>
            <w:r>
              <w:rPr>
                <w:rFonts w:hint="eastAsia" w:cs="Times New Roman"/>
                <w:b w:val="0"/>
                <w:bCs/>
                <w:u w:val="none"/>
                <w:lang w:val="en-US" w:eastAsia="zh-CN"/>
              </w:rPr>
              <w:t>根据《污染源源强核算技术指南 锅炉》（HJ991-2018）要求“没有元素分析时，干烟气排放量的经验公式计算参照HI953”。《排污许可证申请与核发技术规范 锅炉》（HJ953-2018）中干烟气排放量的计算公式见下表。</w:t>
            </w:r>
          </w:p>
          <w:p>
            <w:pPr>
              <w:pStyle w:val="28"/>
              <w:jc w:val="center"/>
              <w:rPr>
                <w:rFonts w:hint="default" w:eastAsia="黑体" w:cs="Times New Roman"/>
                <w:b w:val="0"/>
                <w:bCs w:val="0"/>
                <w:sz w:val="24"/>
                <w:szCs w:val="24"/>
                <w:lang w:val="en-US" w:eastAsia="zh-CN"/>
              </w:rPr>
            </w:pPr>
            <w:r>
              <w:rPr>
                <w:rFonts w:eastAsia="黑体" w:cs="Times New Roman"/>
                <w:b w:val="0"/>
                <w:bCs w:val="0"/>
                <w:sz w:val="24"/>
                <w:szCs w:val="24"/>
              </w:rPr>
              <w:t>表4-</w:t>
            </w:r>
            <w:r>
              <w:rPr>
                <w:rFonts w:hint="eastAsia" w:eastAsia="黑体" w:cs="Times New Roman"/>
                <w:b w:val="0"/>
                <w:bCs w:val="0"/>
                <w:sz w:val="24"/>
                <w:szCs w:val="24"/>
                <w:lang w:val="en-US" w:eastAsia="zh-CN"/>
              </w:rPr>
              <w:t>1</w:t>
            </w:r>
            <w:r>
              <w:rPr>
                <w:rFonts w:eastAsia="黑体" w:cs="Times New Roman"/>
                <w:b w:val="0"/>
                <w:bCs w:val="0"/>
                <w:sz w:val="24"/>
                <w:szCs w:val="24"/>
              </w:rPr>
              <w:t xml:space="preserve">   </w:t>
            </w:r>
            <w:r>
              <w:rPr>
                <w:rFonts w:hint="eastAsia" w:eastAsia="黑体" w:cs="Times New Roman"/>
                <w:b w:val="0"/>
                <w:bCs w:val="0"/>
                <w:sz w:val="24"/>
                <w:szCs w:val="24"/>
                <w:lang w:val="en-US" w:eastAsia="zh-CN"/>
              </w:rPr>
              <w:t>基准烟气量取值表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4"/>
              <w:gridCol w:w="3165"/>
              <w:gridCol w:w="3157"/>
            </w:tblGrid>
            <w:tr>
              <w:tblPrEx>
                <w:tblCellMar>
                  <w:top w:w="0" w:type="dxa"/>
                  <w:left w:w="108" w:type="dxa"/>
                  <w:bottom w:w="0" w:type="dxa"/>
                  <w:right w:w="108" w:type="dxa"/>
                </w:tblCellMar>
              </w:tblPrEx>
              <w:trPr>
                <w:trHeight w:val="320" w:hRule="atLeast"/>
              </w:trPr>
              <w:tc>
                <w:tcPr>
                  <w:tcW w:w="31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bCs w:val="0"/>
                      <w:sz w:val="21"/>
                      <w:szCs w:val="21"/>
                      <w:u w:val="none"/>
                      <w:vertAlign w:val="baseline"/>
                      <w:lang w:val="en-US" w:eastAsia="zh-CN"/>
                    </w:rPr>
                  </w:pPr>
                  <w:r>
                    <w:rPr>
                      <w:rFonts w:hint="eastAsia" w:cs="Times New Roman"/>
                      <w:b/>
                      <w:bCs w:val="0"/>
                      <w:sz w:val="21"/>
                      <w:szCs w:val="21"/>
                      <w:u w:val="none"/>
                      <w:vertAlign w:val="baseline"/>
                      <w:lang w:val="en-US" w:eastAsia="zh-CN"/>
                    </w:rPr>
                    <w:t>锅炉</w:t>
                  </w:r>
                </w:p>
              </w:tc>
              <w:tc>
                <w:tcPr>
                  <w:tcW w:w="31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bCs w:val="0"/>
                      <w:sz w:val="21"/>
                      <w:szCs w:val="21"/>
                      <w:u w:val="none"/>
                      <w:vertAlign w:val="baseline"/>
                      <w:lang w:val="en-US" w:eastAsia="zh-CN"/>
                    </w:rPr>
                  </w:pPr>
                  <w:r>
                    <w:rPr>
                      <w:rFonts w:hint="eastAsia" w:cs="Times New Roman"/>
                      <w:b/>
                      <w:bCs w:val="0"/>
                      <w:sz w:val="21"/>
                      <w:szCs w:val="21"/>
                      <w:u w:val="none"/>
                      <w:vertAlign w:val="baseline"/>
                      <w:lang w:val="en-US" w:eastAsia="zh-CN"/>
                    </w:rPr>
                    <w:t>基准烟气量</w:t>
                  </w:r>
                </w:p>
              </w:tc>
              <w:tc>
                <w:tcPr>
                  <w:tcW w:w="31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bCs w:val="0"/>
                      <w:sz w:val="21"/>
                      <w:szCs w:val="21"/>
                      <w:u w:val="none"/>
                      <w:vertAlign w:val="baseline"/>
                      <w:lang w:val="en-US" w:eastAsia="zh-CN"/>
                    </w:rPr>
                  </w:pPr>
                  <w:r>
                    <w:rPr>
                      <w:rFonts w:hint="eastAsia" w:cs="Times New Roman"/>
                      <w:b/>
                      <w:bCs w:val="0"/>
                      <w:sz w:val="21"/>
                      <w:szCs w:val="21"/>
                      <w:u w:val="none"/>
                      <w:vertAlign w:val="baseline"/>
                      <w:lang w:val="en-US" w:eastAsia="zh-CN"/>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天然气锅炉</w:t>
                  </w:r>
                </w:p>
              </w:tc>
              <w:tc>
                <w:tcPr>
                  <w:tcW w:w="31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V</w:t>
                  </w:r>
                  <w:r>
                    <w:rPr>
                      <w:rFonts w:hint="eastAsia" w:cs="Times New Roman"/>
                      <w:b w:val="0"/>
                      <w:bCs/>
                      <w:sz w:val="21"/>
                      <w:szCs w:val="21"/>
                      <w:u w:val="none"/>
                      <w:vertAlign w:val="subscript"/>
                      <w:lang w:val="en-US" w:eastAsia="zh-CN"/>
                    </w:rPr>
                    <w:t>gy</w:t>
                  </w:r>
                  <w:r>
                    <w:rPr>
                      <w:rFonts w:hint="eastAsia" w:cs="Times New Roman"/>
                      <w:b w:val="0"/>
                      <w:bCs/>
                      <w:sz w:val="21"/>
                      <w:szCs w:val="21"/>
                      <w:u w:val="none"/>
                      <w:vertAlign w:val="baseline"/>
                      <w:lang w:val="en-US" w:eastAsia="zh-CN"/>
                    </w:rPr>
                    <w:t>=0.285Qnet+0.343</w:t>
                  </w:r>
                </w:p>
              </w:tc>
              <w:tc>
                <w:tcPr>
                  <w:tcW w:w="3173"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Nm</w:t>
                  </w:r>
                  <w:r>
                    <w:rPr>
                      <w:rFonts w:hint="eastAsia" w:cs="Times New Roman"/>
                      <w:b w:val="0"/>
                      <w:bCs/>
                      <w:sz w:val="21"/>
                      <w:szCs w:val="21"/>
                      <w:u w:val="none"/>
                      <w:vertAlign w:val="superscript"/>
                      <w:lang w:val="en-US" w:eastAsia="zh-CN"/>
                    </w:rPr>
                    <w:t>3</w:t>
                  </w:r>
                  <w:r>
                    <w:rPr>
                      <w:rFonts w:hint="eastAsia" w:cs="Times New Roman"/>
                      <w:b w:val="0"/>
                      <w:bCs/>
                      <w:sz w:val="21"/>
                      <w:szCs w:val="21"/>
                      <w:u w:val="none"/>
                      <w:vertAlign w:val="baseline"/>
                      <w:lang w:val="en-US" w:eastAsia="zh-CN"/>
                    </w:rPr>
                    <w:t>/m</w:t>
                  </w:r>
                  <w:r>
                    <w:rPr>
                      <w:rFonts w:hint="eastAsia" w:cs="Times New Roman"/>
                      <w:b w:val="0"/>
                      <w:bCs/>
                      <w:sz w:val="21"/>
                      <w:szCs w:val="21"/>
                      <w:u w:val="none"/>
                      <w:vertAlign w:val="superscript"/>
                      <w:lang w:val="en-US" w:eastAsia="zh-CN"/>
                    </w:rPr>
                    <w:t>3</w:t>
                  </w:r>
                </w:p>
              </w:tc>
            </w:tr>
          </w:tbl>
          <w:p>
            <w:pPr>
              <w:ind w:firstLine="482"/>
              <w:rPr>
                <w:rFonts w:hint="default" w:cs="Times New Roman"/>
                <w:b w:val="0"/>
                <w:bCs/>
                <w:u w:val="none"/>
                <w:lang w:val="en-US" w:eastAsia="zh-CN"/>
              </w:rPr>
            </w:pPr>
            <w:r>
              <w:rPr>
                <w:rFonts w:hint="eastAsia" w:cs="Times New Roman"/>
                <w:b w:val="0"/>
                <w:bCs/>
                <w:u w:val="none"/>
                <w:lang w:val="en-US" w:eastAsia="zh-CN"/>
              </w:rPr>
              <w:t>根据企业提供资料，本项目使用天然气低位发热量为34.26MJ/Nm</w:t>
            </w:r>
            <w:r>
              <w:rPr>
                <w:rFonts w:hint="eastAsia" w:cs="Times New Roman"/>
                <w:b w:val="0"/>
                <w:bCs/>
                <w:u w:val="none"/>
                <w:vertAlign w:val="superscript"/>
                <w:lang w:val="en-US" w:eastAsia="zh-CN"/>
              </w:rPr>
              <w:t>3</w:t>
            </w:r>
            <w:r>
              <w:rPr>
                <w:rFonts w:hint="eastAsia" w:cs="Times New Roman"/>
                <w:b w:val="0"/>
                <w:bCs/>
                <w:u w:val="none"/>
                <w:lang w:val="en-US" w:eastAsia="zh-CN"/>
              </w:rPr>
              <w:t>，项目天然气热风炉天然气消耗量为20万m</w:t>
            </w:r>
            <w:r>
              <w:rPr>
                <w:rFonts w:hint="eastAsia" w:cs="Times New Roman"/>
                <w:b w:val="0"/>
                <w:bCs/>
                <w:u w:val="none"/>
                <w:vertAlign w:val="superscript"/>
                <w:lang w:val="en-US" w:eastAsia="zh-CN"/>
              </w:rPr>
              <w:t>3</w:t>
            </w:r>
            <w:r>
              <w:rPr>
                <w:rFonts w:hint="eastAsia" w:cs="Times New Roman"/>
                <w:b w:val="0"/>
                <w:bCs/>
                <w:u w:val="none"/>
                <w:lang w:val="en-US" w:eastAsia="zh-CN"/>
              </w:rPr>
              <w:t>/a，则烟气量为202.142万m</w:t>
            </w:r>
            <w:r>
              <w:rPr>
                <w:rFonts w:hint="eastAsia" w:cs="Times New Roman"/>
                <w:b w:val="0"/>
                <w:bCs/>
                <w:u w:val="none"/>
                <w:vertAlign w:val="superscript"/>
                <w:lang w:val="en-US" w:eastAsia="zh-CN"/>
              </w:rPr>
              <w:t>3</w:t>
            </w:r>
            <w:r>
              <w:rPr>
                <w:rFonts w:hint="eastAsia" w:cs="Times New Roman"/>
                <w:b w:val="0"/>
                <w:bCs/>
                <w:u w:val="none"/>
                <w:lang w:val="en-US" w:eastAsia="zh-CN"/>
              </w:rPr>
              <w:t>/a，</w:t>
            </w:r>
            <w:r>
              <w:rPr>
                <w:rFonts w:hint="eastAsia"/>
                <w:b w:val="0"/>
                <w:bCs/>
                <w:u w:val="none"/>
                <w:lang w:val="en-US" w:eastAsia="zh-CN"/>
              </w:rPr>
              <w:t>天然气热风炉年运行2400h，烟气流速为842.26m</w:t>
            </w:r>
            <w:r>
              <w:rPr>
                <w:rFonts w:hint="eastAsia"/>
                <w:b w:val="0"/>
                <w:bCs/>
                <w:u w:val="none"/>
                <w:vertAlign w:val="superscript"/>
                <w:lang w:val="en-US" w:eastAsia="zh-CN"/>
              </w:rPr>
              <w:t>3</w:t>
            </w:r>
            <w:r>
              <w:rPr>
                <w:rFonts w:hint="eastAsia"/>
                <w:b w:val="0"/>
                <w:bCs/>
                <w:u w:val="none"/>
                <w:lang w:val="en-US" w:eastAsia="zh-CN"/>
              </w:rPr>
              <w:t>/h。</w:t>
            </w:r>
          </w:p>
          <w:p>
            <w:pPr>
              <w:ind w:firstLine="482"/>
              <w:rPr>
                <w:rFonts w:hint="default" w:cs="Times New Roman"/>
                <w:b w:val="0"/>
                <w:bCs/>
                <w:u w:val="none"/>
                <w:lang w:val="en-US" w:eastAsia="zh-CN"/>
              </w:rPr>
            </w:pPr>
            <w:r>
              <w:rPr>
                <w:rFonts w:hint="eastAsia" w:cs="Times New Roman"/>
                <w:b w:val="0"/>
                <w:bCs/>
                <w:u w:val="none"/>
                <w:lang w:val="en-US" w:eastAsia="zh-CN"/>
              </w:rPr>
              <w:t>②SO</w:t>
            </w:r>
            <w:r>
              <w:rPr>
                <w:rFonts w:hint="eastAsia" w:cs="Times New Roman"/>
                <w:b w:val="0"/>
                <w:bCs/>
                <w:u w:val="none"/>
                <w:vertAlign w:val="subscript"/>
                <w:lang w:val="en-US" w:eastAsia="zh-CN"/>
              </w:rPr>
              <w:t>2</w:t>
            </w:r>
            <w:r>
              <w:rPr>
                <w:rFonts w:hint="eastAsia" w:cs="Times New Roman"/>
                <w:b w:val="0"/>
                <w:bCs/>
                <w:u w:val="none"/>
                <w:lang w:val="en-US" w:eastAsia="zh-CN"/>
              </w:rPr>
              <w:t>排放量</w:t>
            </w:r>
          </w:p>
          <w:p>
            <w:pPr>
              <w:ind w:firstLine="482"/>
              <w:rPr>
                <w:rFonts w:hint="eastAsia" w:cs="Times New Roman"/>
                <w:b w:val="0"/>
                <w:bCs/>
                <w:u w:val="none"/>
                <w:lang w:val="en-US" w:eastAsia="zh-CN"/>
              </w:rPr>
            </w:pPr>
            <w:r>
              <w:rPr>
                <w:rFonts w:hint="eastAsia" w:cs="Times New Roman"/>
                <w:b w:val="0"/>
                <w:bCs/>
                <w:u w:val="none"/>
                <w:lang w:val="en-US" w:eastAsia="zh-CN"/>
              </w:rPr>
              <w:t>SO</w:t>
            </w:r>
            <w:r>
              <w:rPr>
                <w:rFonts w:hint="eastAsia" w:cs="Times New Roman"/>
                <w:b w:val="0"/>
                <w:bCs/>
                <w:u w:val="none"/>
                <w:vertAlign w:val="subscript"/>
                <w:lang w:val="en-US" w:eastAsia="zh-CN"/>
              </w:rPr>
              <w:t>2</w:t>
            </w:r>
            <w:r>
              <w:rPr>
                <w:rFonts w:hint="eastAsia" w:cs="Times New Roman"/>
                <w:b w:val="0"/>
                <w:bCs/>
                <w:u w:val="none"/>
                <w:lang w:val="en-US" w:eastAsia="zh-CN"/>
              </w:rPr>
              <w:t>排放量按下列公式计算：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cs="Times New Roman"/>
                <w:b w:val="0"/>
                <w:bCs/>
                <w:u w:val="none"/>
                <w:lang w:val="en-US" w:eastAsia="zh-CN"/>
              </w:rPr>
            </w:pPr>
            <w:r>
              <w:rPr>
                <w:rFonts w:hint="default" w:cs="Times New Roman"/>
                <w:b w:val="0"/>
                <w:bCs/>
                <w:position w:val="-24"/>
                <w:u w:val="none"/>
                <w:lang w:val="en-US" w:eastAsia="zh-CN"/>
              </w:rPr>
              <w:object>
                <v:shape id="_x0000_i1026" o:spt="75" type="#_x0000_t75" style="height:31pt;width:171pt;" o:ole="t" filled="f" o:preferrelative="t" stroked="f" coordsize="21600,21600">
                  <v:path/>
                  <v:fill on="f" focussize="0,0"/>
                  <v:stroke on="f"/>
                  <v:imagedata r:id="rId18" o:title=""/>
                  <o:lock v:ext="edit" aspectratio="t"/>
                  <w10:wrap type="none"/>
                  <w10:anchorlock/>
                </v:shape>
                <o:OLEObject Type="Embed" ProgID="Equation.KSEE3" ShapeID="_x0000_i1026" DrawAspect="Content" ObjectID="_1468075726" r:id="rId17">
                  <o:LockedField>false</o:LockedField>
                </o:OLEObject>
              </w:object>
            </w:r>
          </w:p>
          <w:p>
            <w:pPr>
              <w:ind w:firstLine="482"/>
              <w:rPr>
                <w:rFonts w:hint="default" w:cs="Times New Roman"/>
                <w:b w:val="0"/>
                <w:bCs/>
                <w:u w:val="none"/>
                <w:lang w:val="en-US" w:eastAsia="zh-CN"/>
              </w:rPr>
            </w:pPr>
            <w:r>
              <w:rPr>
                <w:rFonts w:hint="eastAsia" w:cs="Times New Roman"/>
                <w:b w:val="0"/>
                <w:bCs/>
                <w:u w:val="none"/>
                <w:lang w:val="en-US" w:eastAsia="zh-CN"/>
              </w:rPr>
              <w:t>式中：E</w:t>
            </w:r>
            <w:r>
              <w:rPr>
                <w:rFonts w:hint="eastAsia" w:cs="Times New Roman"/>
                <w:b w:val="0"/>
                <w:bCs/>
                <w:u w:val="none"/>
                <w:vertAlign w:val="subscript"/>
                <w:lang w:val="en-US" w:eastAsia="zh-CN"/>
              </w:rPr>
              <w:t>SO2</w:t>
            </w:r>
            <w:r>
              <w:rPr>
                <w:rFonts w:hint="eastAsia" w:cs="Times New Roman"/>
                <w:b w:val="0"/>
                <w:bCs/>
                <w:u w:val="none"/>
                <w:lang w:val="en-US" w:eastAsia="zh-CN"/>
              </w:rPr>
              <w:t>—核算时段内二氧化硫排放量，t；</w:t>
            </w:r>
          </w:p>
          <w:p>
            <w:pPr>
              <w:ind w:firstLine="482"/>
              <w:rPr>
                <w:rFonts w:hint="default" w:cs="Times New Roman"/>
                <w:b w:val="0"/>
                <w:bCs/>
                <w:u w:val="none"/>
                <w:lang w:val="en-US" w:eastAsia="zh-CN"/>
              </w:rPr>
            </w:pPr>
            <w:r>
              <w:rPr>
                <w:rFonts w:hint="eastAsia" w:cs="Times New Roman"/>
                <w:b w:val="0"/>
                <w:bCs/>
                <w:u w:val="none"/>
                <w:lang w:val="en-US" w:eastAsia="zh-CN"/>
              </w:rPr>
              <w:t xml:space="preserve">      R—核算时段内锅炉燃料耗量，万m</w:t>
            </w:r>
            <w:r>
              <w:rPr>
                <w:rFonts w:hint="eastAsia" w:cs="Times New Roman"/>
                <w:b w:val="0"/>
                <w:bCs/>
                <w:u w:val="none"/>
                <w:vertAlign w:val="superscript"/>
                <w:lang w:val="en-US" w:eastAsia="zh-CN"/>
              </w:rPr>
              <w:t>3</w:t>
            </w:r>
            <w:r>
              <w:rPr>
                <w:rFonts w:hint="eastAsia" w:cs="Times New Roman"/>
                <w:b w:val="0"/>
                <w:bCs/>
                <w:u w:val="none"/>
                <w:lang w:val="en-US" w:eastAsia="zh-CN"/>
              </w:rPr>
              <w:t>；</w:t>
            </w:r>
          </w:p>
          <w:p>
            <w:pPr>
              <w:ind w:firstLine="482"/>
              <w:rPr>
                <w:rFonts w:hint="default" w:cs="Times New Roman"/>
                <w:b w:val="0"/>
                <w:bCs/>
                <w:u w:val="none"/>
                <w:lang w:val="en-US" w:eastAsia="zh-CN"/>
              </w:rPr>
            </w:pPr>
            <w:r>
              <w:rPr>
                <w:rFonts w:hint="eastAsia" w:cs="Times New Roman"/>
                <w:b w:val="0"/>
                <w:bCs/>
                <w:u w:val="none"/>
                <w:lang w:val="en-US" w:eastAsia="zh-CN"/>
              </w:rPr>
              <w:t xml:space="preserve">      S</w:t>
            </w:r>
            <w:r>
              <w:rPr>
                <w:rFonts w:hint="eastAsia" w:cs="Times New Roman"/>
                <w:b w:val="0"/>
                <w:bCs/>
                <w:u w:val="none"/>
                <w:vertAlign w:val="subscript"/>
                <w:lang w:val="en-US" w:eastAsia="zh-CN"/>
              </w:rPr>
              <w:t>t</w:t>
            </w:r>
            <w:r>
              <w:rPr>
                <w:rFonts w:hint="eastAsia" w:cs="Times New Roman"/>
                <w:b w:val="0"/>
                <w:bCs/>
                <w:u w:val="none"/>
                <w:lang w:val="en-US" w:eastAsia="zh-CN"/>
              </w:rPr>
              <w:t>—燃料总硫的质量浓度，mg/m</w:t>
            </w:r>
            <w:r>
              <w:rPr>
                <w:rFonts w:hint="eastAsia" w:cs="Times New Roman"/>
                <w:b w:val="0"/>
                <w:bCs/>
                <w:u w:val="none"/>
                <w:vertAlign w:val="superscript"/>
                <w:lang w:val="en-US" w:eastAsia="zh-CN"/>
              </w:rPr>
              <w:t>3</w:t>
            </w:r>
            <w:r>
              <w:rPr>
                <w:rFonts w:hint="eastAsia" w:cs="Times New Roman"/>
                <w:b w:val="0"/>
                <w:bCs/>
                <w:u w:val="none"/>
                <w:lang w:val="en-US" w:eastAsia="zh-CN"/>
              </w:rPr>
              <w:t>；本项目取值20；</w:t>
            </w:r>
          </w:p>
          <w:p>
            <w:pPr>
              <w:ind w:firstLine="482"/>
              <w:rPr>
                <w:rFonts w:hint="default" w:cs="Times New Roman"/>
                <w:b w:val="0"/>
                <w:bCs/>
                <w:u w:val="none"/>
                <w:lang w:val="en-US" w:eastAsia="zh-CN"/>
              </w:rPr>
            </w:pPr>
            <w:r>
              <w:rPr>
                <w:rFonts w:hint="eastAsia" w:cs="Times New Roman"/>
                <w:b w:val="0"/>
                <w:bCs/>
                <w:u w:val="none"/>
                <w:lang w:val="en-US" w:eastAsia="zh-CN"/>
              </w:rPr>
              <w:t xml:space="preserve">      </w:t>
            </w:r>
            <w:r>
              <w:rPr>
                <w:rFonts w:hint="default" w:ascii="Times New Roman" w:hAnsi="Times New Roman" w:cs="Times New Roman"/>
                <w:b w:val="0"/>
                <w:bCs/>
                <w:u w:val="none"/>
                <w:lang w:val="en-US" w:eastAsia="zh-CN"/>
              </w:rPr>
              <w:t>η</w:t>
            </w:r>
            <w:r>
              <w:rPr>
                <w:rFonts w:hint="eastAsia" w:cs="Times New Roman"/>
                <w:b w:val="0"/>
                <w:bCs/>
                <w:u w:val="none"/>
                <w:vertAlign w:val="subscript"/>
                <w:lang w:val="en-US" w:eastAsia="zh-CN"/>
              </w:rPr>
              <w:t>s</w:t>
            </w:r>
            <w:r>
              <w:rPr>
                <w:rFonts w:hint="eastAsia" w:cs="Times New Roman"/>
                <w:b w:val="0"/>
                <w:bCs/>
                <w:u w:val="none"/>
                <w:lang w:val="en-US" w:eastAsia="zh-CN"/>
              </w:rPr>
              <w:t>—脱硫效率，%；本项目取值0；</w:t>
            </w:r>
          </w:p>
          <w:p>
            <w:pPr>
              <w:ind w:firstLine="482"/>
              <w:rPr>
                <w:rFonts w:hint="default" w:cs="Times New Roman"/>
                <w:b w:val="0"/>
                <w:bCs/>
                <w:u w:val="none"/>
                <w:lang w:val="en-US" w:eastAsia="zh-CN"/>
              </w:rPr>
            </w:pPr>
            <w:r>
              <w:rPr>
                <w:rFonts w:hint="eastAsia" w:cs="Times New Roman"/>
                <w:b w:val="0"/>
                <w:bCs/>
                <w:u w:val="none"/>
                <w:lang w:val="en-US" w:eastAsia="zh-CN"/>
              </w:rPr>
              <w:t xml:space="preserve">      K—燃料中的硫燃烧后氧化成二氧化硫的份额，量纲一的量。取值1.0；</w:t>
            </w:r>
          </w:p>
          <w:p>
            <w:pPr>
              <w:ind w:firstLine="482"/>
              <w:rPr>
                <w:rFonts w:hint="eastAsia" w:cs="Times New Roman"/>
                <w:b w:val="0"/>
                <w:bCs/>
                <w:u w:val="none"/>
                <w:lang w:val="en-US" w:eastAsia="zh-CN"/>
              </w:rPr>
            </w:pPr>
            <w:r>
              <w:rPr>
                <w:rFonts w:hint="eastAsia" w:cs="Times New Roman"/>
                <w:b w:val="0"/>
                <w:bCs/>
                <w:u w:val="none"/>
                <w:lang w:val="en-US" w:eastAsia="zh-CN"/>
              </w:rPr>
              <w:t>根据《天然气》(GB17820-2018)中对天然气质量要求，天然气总硫量应</w:t>
            </w:r>
            <w:r>
              <w:rPr>
                <w:rFonts w:hint="default" w:ascii="Times New Roman" w:hAnsi="Times New Roman" w:cs="Times New Roman"/>
                <w:b w:val="0"/>
                <w:bCs/>
                <w:u w:val="none"/>
                <w:lang w:val="en-US" w:eastAsia="zh-CN"/>
              </w:rPr>
              <w:t>≤</w:t>
            </w:r>
            <w:r>
              <w:rPr>
                <w:rFonts w:hint="eastAsia" w:cs="Times New Roman"/>
                <w:b w:val="0"/>
                <w:bCs/>
                <w:u w:val="none"/>
                <w:lang w:val="en-US" w:eastAsia="zh-CN"/>
              </w:rPr>
              <w:t>20mg/m</w:t>
            </w:r>
            <w:r>
              <w:rPr>
                <w:rFonts w:hint="eastAsia" w:cs="Times New Roman"/>
                <w:b w:val="0"/>
                <w:bCs/>
                <w:u w:val="none"/>
                <w:vertAlign w:val="superscript"/>
                <w:lang w:val="en-US" w:eastAsia="zh-CN"/>
              </w:rPr>
              <w:t>3</w:t>
            </w:r>
            <w:r>
              <w:rPr>
                <w:rFonts w:hint="eastAsia" w:cs="Times New Roman"/>
                <w:b w:val="0"/>
                <w:bCs/>
                <w:u w:val="none"/>
                <w:vertAlign w:val="baseline"/>
                <w:lang w:val="en-US" w:eastAsia="zh-CN"/>
              </w:rPr>
              <w:t>，</w:t>
            </w:r>
            <w:r>
              <w:rPr>
                <w:rFonts w:hint="eastAsia" w:cs="Times New Roman"/>
                <w:b w:val="0"/>
                <w:bCs/>
                <w:u w:val="none"/>
                <w:lang w:val="en-US" w:eastAsia="zh-CN"/>
              </w:rPr>
              <w:t>为保守起见本项目以含硫量20mg/m</w:t>
            </w:r>
            <w:r>
              <w:rPr>
                <w:rFonts w:hint="eastAsia" w:cs="Times New Roman"/>
                <w:b w:val="0"/>
                <w:bCs/>
                <w:u w:val="none"/>
                <w:vertAlign w:val="superscript"/>
                <w:lang w:val="en-US" w:eastAsia="zh-CN"/>
              </w:rPr>
              <w:t>3</w:t>
            </w:r>
            <w:r>
              <w:rPr>
                <w:rFonts w:hint="eastAsia" w:cs="Times New Roman"/>
                <w:b w:val="0"/>
                <w:bCs/>
                <w:u w:val="none"/>
                <w:lang w:val="en-US" w:eastAsia="zh-CN"/>
              </w:rPr>
              <w:t>计。天然气用气量为20万m</w:t>
            </w:r>
            <w:r>
              <w:rPr>
                <w:rFonts w:hint="eastAsia" w:cs="Times New Roman"/>
                <w:b w:val="0"/>
                <w:bCs/>
                <w:u w:val="none"/>
                <w:vertAlign w:val="superscript"/>
                <w:lang w:val="en-US" w:eastAsia="zh-CN"/>
              </w:rPr>
              <w:t>3</w:t>
            </w:r>
            <w:r>
              <w:rPr>
                <w:rFonts w:hint="eastAsia" w:cs="Times New Roman"/>
                <w:b w:val="0"/>
                <w:bCs/>
                <w:u w:val="none"/>
                <w:lang w:val="en-US" w:eastAsia="zh-CN"/>
              </w:rPr>
              <w:t>/a，经计算SO</w:t>
            </w:r>
            <w:r>
              <w:rPr>
                <w:rFonts w:hint="eastAsia" w:cs="Times New Roman"/>
                <w:b w:val="0"/>
                <w:bCs/>
                <w:u w:val="none"/>
                <w:vertAlign w:val="subscript"/>
                <w:lang w:val="en-US" w:eastAsia="zh-CN"/>
              </w:rPr>
              <w:t>2</w:t>
            </w:r>
            <w:r>
              <w:rPr>
                <w:rFonts w:hint="eastAsia" w:cs="Times New Roman"/>
                <w:b w:val="0"/>
                <w:bCs/>
                <w:u w:val="none"/>
                <w:lang w:val="en-US" w:eastAsia="zh-CN"/>
              </w:rPr>
              <w:t>的产生量为0.008t/a，产生速率为0.0033kg/h，产生浓度为3.96mg/m</w:t>
            </w:r>
            <w:r>
              <w:rPr>
                <w:rFonts w:hint="eastAsia" w:cs="Times New Roman"/>
                <w:b w:val="0"/>
                <w:bCs/>
                <w:u w:val="none"/>
                <w:vertAlign w:val="superscript"/>
                <w:lang w:val="en-US" w:eastAsia="zh-CN"/>
              </w:rPr>
              <w:t>3</w:t>
            </w:r>
            <w:r>
              <w:rPr>
                <w:rFonts w:hint="eastAsia" w:cs="Times New Roman"/>
                <w:b w:val="0"/>
                <w:bCs/>
                <w:u w:val="none"/>
                <w:lang w:val="en-US" w:eastAsia="zh-CN"/>
              </w:rPr>
              <w:t>。</w:t>
            </w:r>
          </w:p>
          <w:p>
            <w:pPr>
              <w:ind w:firstLine="482"/>
              <w:rPr>
                <w:rFonts w:hint="default" w:cs="Times New Roman"/>
                <w:b w:val="0"/>
                <w:bCs/>
                <w:u w:val="none"/>
                <w:lang w:val="en-US" w:eastAsia="zh-CN"/>
              </w:rPr>
            </w:pPr>
            <w:r>
              <w:rPr>
                <w:rFonts w:hint="eastAsia" w:cs="Times New Roman"/>
                <w:b w:val="0"/>
                <w:bCs/>
                <w:u w:val="none"/>
                <w:lang w:val="en-US" w:eastAsia="zh-CN"/>
              </w:rPr>
              <w:t>③NO</w:t>
            </w:r>
            <w:r>
              <w:rPr>
                <w:rFonts w:hint="eastAsia" w:cs="Times New Roman"/>
                <w:b w:val="0"/>
                <w:bCs/>
                <w:u w:val="none"/>
                <w:vertAlign w:val="subscript"/>
                <w:lang w:val="en-US" w:eastAsia="zh-CN"/>
              </w:rPr>
              <w:t>X</w:t>
            </w:r>
            <w:r>
              <w:rPr>
                <w:rFonts w:hint="eastAsia" w:cs="Times New Roman"/>
                <w:b w:val="0"/>
                <w:bCs/>
                <w:u w:val="none"/>
                <w:lang w:val="en-US" w:eastAsia="zh-CN"/>
              </w:rPr>
              <w:t>排放量</w:t>
            </w:r>
          </w:p>
          <w:p>
            <w:pPr>
              <w:ind w:firstLine="482"/>
              <w:rPr>
                <w:rFonts w:hint="eastAsia" w:cs="Times New Roman"/>
                <w:b w:val="0"/>
                <w:bCs/>
                <w:u w:val="none"/>
                <w:lang w:val="en-US" w:eastAsia="zh-CN"/>
              </w:rPr>
            </w:pPr>
            <w:r>
              <w:rPr>
                <w:rFonts w:hint="eastAsia" w:cs="Times New Roman"/>
                <w:b w:val="0"/>
                <w:bCs/>
                <w:u w:val="none"/>
                <w:lang w:val="en-US" w:eastAsia="zh-CN"/>
              </w:rPr>
              <w:t>NO</w:t>
            </w:r>
            <w:r>
              <w:rPr>
                <w:rFonts w:hint="eastAsia" w:cs="Times New Roman"/>
                <w:b w:val="0"/>
                <w:bCs/>
                <w:u w:val="none"/>
                <w:vertAlign w:val="subscript"/>
                <w:lang w:val="en-US" w:eastAsia="zh-CN"/>
              </w:rPr>
              <w:t>X</w:t>
            </w:r>
            <w:r>
              <w:rPr>
                <w:rFonts w:hint="eastAsia" w:cs="Times New Roman"/>
                <w:b w:val="0"/>
                <w:bCs/>
                <w:u w:val="none"/>
                <w:lang w:val="en-US" w:eastAsia="zh-CN"/>
              </w:rPr>
              <w:t>排放量按下列公式计算：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b w:val="0"/>
                <w:bCs/>
                <w:u w:val="none"/>
                <w:lang w:val="en-US" w:eastAsia="zh-CN"/>
              </w:rPr>
            </w:pPr>
            <w:r>
              <w:rPr>
                <w:rFonts w:hint="eastAsia" w:cs="Times New Roman"/>
                <w:b w:val="0"/>
                <w:bCs/>
                <w:position w:val="-24"/>
                <w:u w:val="none"/>
                <w:lang w:val="en-US" w:eastAsia="zh-CN"/>
              </w:rPr>
              <w:object>
                <v:shape id="_x0000_i1027" o:spt="75" type="#_x0000_t75" style="height:33pt;width:168pt;" o:ole="t" filled="f" o:preferrelative="t" stroked="f" coordsize="21600,21600">
                  <v:path/>
                  <v:fill on="f" focussize="0,0"/>
                  <v:stroke on="f"/>
                  <v:imagedata r:id="rId20" o:title=""/>
                  <o:lock v:ext="edit" aspectratio="t"/>
                  <w10:wrap type="none"/>
                  <w10:anchorlock/>
                </v:shape>
                <o:OLEObject Type="Embed" ProgID="Equation.KSEE3" ShapeID="_x0000_i1027" DrawAspect="Content" ObjectID="_1468075727" r:id="rId19">
                  <o:LockedField>false</o:LockedField>
                </o:OLEObject>
              </w:object>
            </w:r>
          </w:p>
          <w:p>
            <w:pPr>
              <w:ind w:firstLine="482"/>
              <w:rPr>
                <w:rFonts w:hint="eastAsia" w:cs="Times New Roman"/>
                <w:b w:val="0"/>
                <w:bCs/>
                <w:u w:val="none"/>
                <w:lang w:val="en-US" w:eastAsia="zh-CN"/>
              </w:rPr>
            </w:pPr>
            <w:r>
              <w:rPr>
                <w:rFonts w:hint="eastAsia" w:cs="Times New Roman"/>
                <w:b w:val="0"/>
                <w:bCs/>
                <w:u w:val="none"/>
                <w:lang w:val="en-US" w:eastAsia="zh-CN"/>
              </w:rPr>
              <w:t>式中：E</w:t>
            </w:r>
            <w:r>
              <w:rPr>
                <w:rFonts w:hint="eastAsia" w:cs="Times New Roman"/>
                <w:b w:val="0"/>
                <w:bCs/>
                <w:u w:val="none"/>
                <w:vertAlign w:val="subscript"/>
                <w:lang w:val="en-US" w:eastAsia="zh-CN"/>
              </w:rPr>
              <w:t>NOx</w:t>
            </w:r>
            <w:r>
              <w:rPr>
                <w:rFonts w:hint="eastAsia" w:cs="Times New Roman"/>
                <w:b w:val="0"/>
                <w:bCs/>
                <w:u w:val="none"/>
                <w:lang w:val="en-US" w:eastAsia="zh-CN"/>
              </w:rPr>
              <w:t>—核算时段内氮氧化物排放量，t；</w:t>
            </w:r>
          </w:p>
          <w:p>
            <w:pPr>
              <w:ind w:firstLine="1200" w:firstLineChars="500"/>
              <w:rPr>
                <w:rFonts w:hint="default" w:cs="Times New Roman"/>
                <w:b w:val="0"/>
                <w:bCs/>
                <w:u w:val="none"/>
                <w:lang w:val="en-US" w:eastAsia="zh-CN"/>
              </w:rPr>
            </w:pPr>
            <w:r>
              <w:rPr>
                <w:rFonts w:hint="default" w:ascii="Times New Roman" w:hAnsi="Times New Roman" w:cs="Times New Roman"/>
                <w:b w:val="0"/>
                <w:bCs/>
                <w:u w:val="none"/>
                <w:lang w:val="en-US" w:eastAsia="zh-CN"/>
              </w:rPr>
              <w:t>ρ</w:t>
            </w:r>
            <w:r>
              <w:rPr>
                <w:rFonts w:hint="eastAsia" w:cs="Times New Roman"/>
                <w:b w:val="0"/>
                <w:bCs/>
                <w:u w:val="none"/>
                <w:vertAlign w:val="subscript"/>
                <w:lang w:val="en-US" w:eastAsia="zh-CN"/>
              </w:rPr>
              <w:t>NOx</w:t>
            </w:r>
            <w:r>
              <w:rPr>
                <w:rFonts w:hint="eastAsia" w:cs="Times New Roman"/>
                <w:b w:val="0"/>
                <w:bCs/>
                <w:u w:val="none"/>
                <w:lang w:val="en-US" w:eastAsia="zh-CN"/>
              </w:rPr>
              <w:t>—锅炉炉膛出口氮氧化物质量浓度，mg/m</w:t>
            </w:r>
            <w:r>
              <w:rPr>
                <w:rFonts w:hint="eastAsia" w:cs="Times New Roman"/>
                <w:b w:val="0"/>
                <w:bCs/>
                <w:u w:val="none"/>
                <w:vertAlign w:val="superscript"/>
                <w:lang w:val="en-US" w:eastAsia="zh-CN"/>
              </w:rPr>
              <w:t>3</w:t>
            </w:r>
            <w:r>
              <w:rPr>
                <w:rFonts w:hint="eastAsia" w:cs="Times New Roman"/>
                <w:b w:val="0"/>
                <w:bCs/>
                <w:u w:val="none"/>
                <w:lang w:val="en-US" w:eastAsia="zh-CN"/>
              </w:rPr>
              <w:t>；本项目采取低氮燃烧措施，设备厂家设计值为30；</w:t>
            </w:r>
          </w:p>
          <w:p>
            <w:pPr>
              <w:ind w:firstLine="1200" w:firstLineChars="500"/>
              <w:rPr>
                <w:rFonts w:hint="eastAsia" w:cs="Times New Roman"/>
                <w:b w:val="0"/>
                <w:bCs/>
                <w:u w:val="none"/>
                <w:lang w:val="en-US" w:eastAsia="zh-CN"/>
              </w:rPr>
            </w:pPr>
            <w:r>
              <w:rPr>
                <w:rFonts w:hint="eastAsia" w:cs="Times New Roman"/>
                <w:b w:val="0"/>
                <w:bCs/>
                <w:u w:val="none"/>
                <w:lang w:val="en-US" w:eastAsia="zh-CN"/>
              </w:rPr>
              <w:t>Q—核算时段内标态干烟气排放量，m</w:t>
            </w:r>
            <w:r>
              <w:rPr>
                <w:rFonts w:hint="eastAsia" w:cs="Times New Roman"/>
                <w:b w:val="0"/>
                <w:bCs/>
                <w:u w:val="none"/>
                <w:vertAlign w:val="superscript"/>
                <w:lang w:val="en-US" w:eastAsia="zh-CN"/>
              </w:rPr>
              <w:t>3</w:t>
            </w:r>
            <w:r>
              <w:rPr>
                <w:rFonts w:hint="eastAsia" w:cs="Times New Roman"/>
                <w:b w:val="0"/>
                <w:bCs/>
                <w:u w:val="none"/>
                <w:lang w:val="en-US" w:eastAsia="zh-CN"/>
              </w:rPr>
              <w:t>；</w:t>
            </w:r>
          </w:p>
          <w:p>
            <w:pPr>
              <w:ind w:firstLine="1200" w:firstLineChars="500"/>
              <w:rPr>
                <w:rFonts w:hint="eastAsia" w:cs="Times New Roman"/>
                <w:b w:val="0"/>
                <w:bCs/>
                <w:u w:val="none"/>
                <w:lang w:val="en-US" w:eastAsia="zh-CN"/>
              </w:rPr>
            </w:pPr>
            <w:r>
              <w:rPr>
                <w:rFonts w:hint="eastAsia" w:cs="Times New Roman"/>
                <w:b w:val="0"/>
                <w:bCs/>
                <w:u w:val="none"/>
                <w:lang w:val="en-US" w:eastAsia="zh-CN"/>
              </w:rPr>
              <w:t>NOx—脱硝效率，%。本项目取值0；</w:t>
            </w:r>
          </w:p>
          <w:p>
            <w:pPr>
              <w:ind w:firstLine="482"/>
              <w:rPr>
                <w:rFonts w:hint="default" w:cs="Times New Roman"/>
                <w:b w:val="0"/>
                <w:bCs/>
                <w:u w:val="none"/>
                <w:lang w:val="en-US" w:eastAsia="zh-CN"/>
              </w:rPr>
            </w:pPr>
            <w:r>
              <w:rPr>
                <w:rFonts w:hint="eastAsia" w:cs="Times New Roman"/>
                <w:b w:val="0"/>
                <w:bCs/>
                <w:u w:val="none"/>
                <w:lang w:val="en-US" w:eastAsia="zh-CN"/>
              </w:rPr>
              <w:t>经计算，NO</w:t>
            </w:r>
            <w:r>
              <w:rPr>
                <w:rFonts w:hint="eastAsia" w:cs="Times New Roman"/>
                <w:b w:val="0"/>
                <w:bCs/>
                <w:u w:val="none"/>
                <w:vertAlign w:val="subscript"/>
                <w:lang w:val="en-US" w:eastAsia="zh-CN"/>
              </w:rPr>
              <w:t>X</w:t>
            </w:r>
            <w:r>
              <w:rPr>
                <w:rFonts w:hint="eastAsia" w:cs="Times New Roman"/>
                <w:b w:val="0"/>
                <w:bCs/>
                <w:u w:val="none"/>
                <w:lang w:val="en-US" w:eastAsia="zh-CN"/>
              </w:rPr>
              <w:t>产生量为0.0606t/a，产生速率为0.0253kg/h，产生浓度为30mg/m</w:t>
            </w:r>
            <w:r>
              <w:rPr>
                <w:rFonts w:hint="eastAsia" w:cs="Times New Roman"/>
                <w:b w:val="0"/>
                <w:bCs/>
                <w:u w:val="none"/>
                <w:vertAlign w:val="superscript"/>
                <w:lang w:val="en-US" w:eastAsia="zh-CN"/>
              </w:rPr>
              <w:t>3</w:t>
            </w:r>
            <w:r>
              <w:rPr>
                <w:rFonts w:hint="eastAsia" w:cs="Times New Roman"/>
                <w:b w:val="0"/>
                <w:bCs/>
                <w:u w:val="none"/>
                <w:lang w:val="en-US" w:eastAsia="zh-CN"/>
              </w:rPr>
              <w:t>。</w:t>
            </w:r>
          </w:p>
          <w:p>
            <w:pPr>
              <w:ind w:firstLine="482"/>
              <w:rPr>
                <w:rFonts w:hint="default" w:cs="Times New Roman"/>
                <w:b w:val="0"/>
                <w:bCs/>
                <w:u w:val="none"/>
                <w:lang w:val="en-US" w:eastAsia="zh-CN"/>
              </w:rPr>
            </w:pPr>
            <w:r>
              <w:rPr>
                <w:rFonts w:hint="eastAsia" w:cs="Times New Roman"/>
                <w:b w:val="0"/>
                <w:bCs/>
                <w:u w:val="none"/>
                <w:lang w:val="en-US" w:eastAsia="zh-CN"/>
              </w:rPr>
              <w:t>④颗粒物排放量</w:t>
            </w:r>
          </w:p>
          <w:p>
            <w:pPr>
              <w:ind w:firstLine="482"/>
              <w:rPr>
                <w:rFonts w:hint="default" w:cs="Times New Roman"/>
                <w:b w:val="0"/>
                <w:bCs/>
                <w:u w:val="none"/>
                <w:lang w:val="en-US" w:eastAsia="zh-CN"/>
              </w:rPr>
            </w:pPr>
            <w:r>
              <w:rPr>
                <w:rFonts w:hint="eastAsia" w:cs="Times New Roman"/>
                <w:b w:val="0"/>
                <w:bCs/>
                <w:u w:val="none"/>
                <w:lang w:val="en-US" w:eastAsia="zh-CN"/>
              </w:rPr>
              <w:t>颗粒物排放量按下列公式计算：</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cs="Times New Roman"/>
                <w:b w:val="0"/>
                <w:bCs/>
                <w:u w:val="none"/>
                <w:lang w:val="en-US" w:eastAsia="zh-CN"/>
              </w:rPr>
            </w:pPr>
            <w:r>
              <w:rPr>
                <w:rFonts w:hint="eastAsia" w:cs="Times New Roman"/>
                <w:b w:val="0"/>
                <w:bCs/>
                <w:position w:val="-24"/>
                <w:u w:val="none"/>
                <w:lang w:val="en-US" w:eastAsia="zh-CN"/>
              </w:rPr>
              <w:object>
                <v:shape id="_x0000_i1028" o:spt="75" type="#_x0000_t75" style="height:31pt;width:135pt;" o:ole="t" filled="f" o:preferrelative="t" stroked="f" coordsize="21600,21600">
                  <v:path/>
                  <v:fill on="f" focussize="0,0"/>
                  <v:stroke on="f"/>
                  <v:imagedata r:id="rId22" o:title=""/>
                  <o:lock v:ext="edit" aspectratio="t"/>
                  <w10:wrap type="none"/>
                  <w10:anchorlock/>
                </v:shape>
                <o:OLEObject Type="Embed" ProgID="Equation.KSEE3" ShapeID="_x0000_i1028" DrawAspect="Content" ObjectID="_1468075728" r:id="rId21">
                  <o:LockedField>false</o:LockedField>
                </o:OLEObject>
              </w:object>
            </w:r>
          </w:p>
          <w:p>
            <w:pPr>
              <w:ind w:firstLine="482"/>
              <w:rPr>
                <w:rFonts w:hint="eastAsia" w:cs="Times New Roman"/>
                <w:b w:val="0"/>
                <w:bCs/>
                <w:u w:val="none"/>
                <w:lang w:val="en-US" w:eastAsia="zh-CN"/>
              </w:rPr>
            </w:pPr>
            <w:r>
              <w:rPr>
                <w:rFonts w:hint="eastAsia" w:cs="Times New Roman"/>
                <w:b w:val="0"/>
                <w:bCs/>
                <w:u w:val="none"/>
                <w:lang w:val="en-US" w:eastAsia="zh-CN"/>
              </w:rPr>
              <w:t>式中：E</w:t>
            </w:r>
            <w:r>
              <w:rPr>
                <w:rFonts w:hint="eastAsia" w:cs="Times New Roman"/>
                <w:b w:val="0"/>
                <w:bCs/>
                <w:u w:val="none"/>
                <w:vertAlign w:val="subscript"/>
                <w:lang w:val="en-US" w:eastAsia="zh-CN"/>
              </w:rPr>
              <w:t>j</w:t>
            </w:r>
            <w:r>
              <w:rPr>
                <w:rFonts w:hint="eastAsia" w:cs="Times New Roman"/>
                <w:b w:val="0"/>
                <w:bCs/>
                <w:u w:val="none"/>
                <w:lang w:val="en-US" w:eastAsia="zh-CN"/>
              </w:rPr>
              <w:t>——核算时段内第j种污染物排放量，t；</w:t>
            </w:r>
          </w:p>
          <w:p>
            <w:pPr>
              <w:ind w:firstLine="1200" w:firstLineChars="500"/>
              <w:rPr>
                <w:rFonts w:hint="eastAsia" w:cs="Times New Roman"/>
                <w:b w:val="0"/>
                <w:bCs/>
                <w:u w:val="none"/>
                <w:lang w:val="en-US" w:eastAsia="zh-CN"/>
              </w:rPr>
            </w:pPr>
            <w:r>
              <w:rPr>
                <w:rFonts w:hint="eastAsia" w:cs="Times New Roman"/>
                <w:b w:val="0"/>
                <w:bCs/>
                <w:u w:val="none"/>
                <w:lang w:val="en-US" w:eastAsia="zh-CN"/>
              </w:rPr>
              <w:t>R—核算时段内燃料耗量，万m</w:t>
            </w:r>
            <w:r>
              <w:rPr>
                <w:rFonts w:hint="eastAsia" w:cs="Times New Roman"/>
                <w:b w:val="0"/>
                <w:bCs/>
                <w:u w:val="none"/>
                <w:vertAlign w:val="superscript"/>
                <w:lang w:val="en-US" w:eastAsia="zh-CN"/>
              </w:rPr>
              <w:t>3</w:t>
            </w:r>
            <w:r>
              <w:rPr>
                <w:rFonts w:hint="eastAsia" w:cs="Times New Roman"/>
                <w:b w:val="0"/>
                <w:bCs/>
                <w:u w:val="none"/>
                <w:lang w:val="en-US" w:eastAsia="zh-CN"/>
              </w:rPr>
              <w:t>；</w:t>
            </w:r>
          </w:p>
          <w:p>
            <w:pPr>
              <w:ind w:firstLine="1200" w:firstLineChars="500"/>
              <w:rPr>
                <w:rFonts w:hint="eastAsia" w:ascii="Times New Roman" w:hAnsi="Times New Roman" w:cs="Times New Roman"/>
                <w:b w:val="0"/>
                <w:bCs/>
                <w:u w:val="none"/>
                <w:vertAlign w:val="baseline"/>
                <w:lang w:val="en-US" w:eastAsia="zh-CN"/>
              </w:rPr>
            </w:pPr>
            <w:r>
              <w:rPr>
                <w:rFonts w:hint="default" w:ascii="Times New Roman" w:hAnsi="Times New Roman" w:cs="Times New Roman"/>
                <w:b w:val="0"/>
                <w:bCs/>
                <w:u w:val="none"/>
                <w:lang w:val="en-US" w:eastAsia="zh-CN"/>
              </w:rPr>
              <w:t>β</w:t>
            </w:r>
            <w:r>
              <w:rPr>
                <w:rFonts w:hint="default" w:ascii="Times New Roman" w:hAnsi="Times New Roman" w:cs="Times New Roman"/>
                <w:b w:val="0"/>
                <w:bCs/>
                <w:u w:val="none"/>
                <w:vertAlign w:val="subscript"/>
                <w:lang w:val="en-US" w:eastAsia="zh-CN"/>
              </w:rPr>
              <w:t>j</w:t>
            </w:r>
            <w:r>
              <w:rPr>
                <w:rFonts w:hint="default" w:ascii="Times New Roman" w:hAnsi="Times New Roman" w:cs="Times New Roman"/>
                <w:b w:val="0"/>
                <w:bCs/>
                <w:u w:val="none"/>
                <w:lang w:val="en-US" w:eastAsia="zh-CN"/>
              </w:rPr>
              <w:t>—产污系数，kg/万m</w:t>
            </w:r>
            <w:r>
              <w:rPr>
                <w:rFonts w:hint="default" w:ascii="Times New Roman" w:hAnsi="Times New Roman" w:cs="Times New Roman"/>
                <w:b w:val="0"/>
                <w:bCs/>
                <w:u w:val="none"/>
                <w:vertAlign w:val="superscript"/>
                <w:lang w:val="en-US" w:eastAsia="zh-CN"/>
              </w:rPr>
              <w:t>3</w:t>
            </w:r>
            <w:r>
              <w:rPr>
                <w:rFonts w:hint="eastAsia" w:ascii="Times New Roman" w:hAnsi="Times New Roman" w:cs="Times New Roman"/>
                <w:b w:val="0"/>
                <w:bCs/>
                <w:u w:val="none"/>
                <w:vertAlign w:val="baseline"/>
                <w:lang w:val="en-US" w:eastAsia="zh-CN"/>
              </w:rPr>
              <w:t>，本项目取值2.86；</w:t>
            </w:r>
          </w:p>
          <w:p>
            <w:pPr>
              <w:ind w:firstLine="1200" w:firstLineChars="500"/>
              <w:rPr>
                <w:rFonts w:hint="default" w:ascii="Times New Roman" w:hAnsi="Times New Roman" w:cs="Times New Roman"/>
                <w:b w:val="0"/>
                <w:bCs/>
                <w:u w:val="none"/>
                <w:vertAlign w:val="baseline"/>
                <w:lang w:val="en-US" w:eastAsia="zh-CN"/>
              </w:rPr>
            </w:pPr>
            <w:r>
              <w:rPr>
                <w:rFonts w:hint="default" w:ascii="Times New Roman" w:hAnsi="Times New Roman" w:cs="Times New Roman"/>
                <w:b w:val="0"/>
                <w:bCs/>
                <w:u w:val="none"/>
                <w:vertAlign w:val="baseline"/>
                <w:lang w:val="en-US" w:eastAsia="zh-CN"/>
              </w:rPr>
              <w:t>η</w:t>
            </w:r>
            <w:r>
              <w:rPr>
                <w:rFonts w:hint="eastAsia" w:ascii="Times New Roman" w:hAnsi="Times New Roman" w:cs="Times New Roman"/>
                <w:b w:val="0"/>
                <w:bCs/>
                <w:u w:val="none"/>
                <w:vertAlign w:val="baseline"/>
                <w:lang w:val="en-US" w:eastAsia="zh-CN"/>
              </w:rPr>
              <w:t>—除尘效率，%，本项目取值0；</w:t>
            </w:r>
          </w:p>
          <w:p>
            <w:pPr>
              <w:ind w:firstLine="482"/>
              <w:rPr>
                <w:rFonts w:hint="eastAsia" w:cs="Times New Roman"/>
                <w:b w:val="0"/>
                <w:bCs/>
                <w:u w:val="none"/>
                <w:lang w:val="en-US" w:eastAsia="zh-CN"/>
              </w:rPr>
            </w:pPr>
            <w:r>
              <w:rPr>
                <w:rFonts w:hint="eastAsia" w:cs="Times New Roman"/>
                <w:b w:val="0"/>
                <w:bCs/>
                <w:u w:val="none"/>
                <w:lang w:val="en-US" w:eastAsia="zh-CN"/>
              </w:rPr>
              <w:t>经计算，颗粒物产生量为0.0572t/a，产生速率为0.0238kg/h，产生浓度为28.3mg/m</w:t>
            </w:r>
            <w:r>
              <w:rPr>
                <w:rFonts w:hint="eastAsia" w:cs="Times New Roman"/>
                <w:b w:val="0"/>
                <w:bCs/>
                <w:u w:val="none"/>
                <w:vertAlign w:val="superscript"/>
                <w:lang w:val="en-US" w:eastAsia="zh-CN"/>
              </w:rPr>
              <w:t>3</w:t>
            </w:r>
            <w:r>
              <w:rPr>
                <w:rFonts w:hint="eastAsia" w:cs="Times New Roman"/>
                <w:b w:val="0"/>
                <w:bCs/>
                <w:u w:val="none"/>
                <w:lang w:val="en-US" w:eastAsia="zh-CN"/>
              </w:rPr>
              <w:t>。</w:t>
            </w:r>
          </w:p>
          <w:p>
            <w:pPr>
              <w:ind w:firstLine="482"/>
              <w:rPr>
                <w:rFonts w:hint="default" w:cs="Times New Roman"/>
                <w:b w:val="0"/>
                <w:bCs/>
                <w:u w:val="none"/>
                <w:lang w:val="en-US" w:eastAsia="zh-CN"/>
              </w:rPr>
            </w:pPr>
            <w:r>
              <w:rPr>
                <w:rFonts w:hint="eastAsia" w:cs="Times New Roman"/>
                <w:b w:val="0"/>
                <w:bCs/>
                <w:u w:val="none"/>
                <w:lang w:val="en-US" w:eastAsia="zh-CN"/>
              </w:rPr>
              <w:t>本项目天然气热风炉燃烧废气经一根15m高排气筒排放（DA002）。</w:t>
            </w:r>
          </w:p>
          <w:p>
            <w:pPr>
              <w:pStyle w:val="28"/>
              <w:jc w:val="center"/>
              <w:rPr>
                <w:rFonts w:hint="default" w:eastAsia="黑体" w:cs="Times New Roman"/>
                <w:b w:val="0"/>
                <w:bCs w:val="0"/>
                <w:sz w:val="24"/>
                <w:szCs w:val="24"/>
                <w:lang w:val="en-US" w:eastAsia="zh-CN"/>
              </w:rPr>
            </w:pPr>
            <w:r>
              <w:rPr>
                <w:rFonts w:eastAsia="黑体" w:cs="Times New Roman"/>
                <w:b w:val="0"/>
                <w:bCs w:val="0"/>
                <w:sz w:val="24"/>
                <w:szCs w:val="24"/>
              </w:rPr>
              <w:t>表4-</w:t>
            </w:r>
            <w:r>
              <w:rPr>
                <w:rFonts w:hint="eastAsia" w:eastAsia="黑体" w:cs="Times New Roman"/>
                <w:b w:val="0"/>
                <w:bCs w:val="0"/>
                <w:sz w:val="24"/>
                <w:szCs w:val="24"/>
                <w:lang w:val="en-US" w:eastAsia="zh-CN"/>
              </w:rPr>
              <w:t>2</w:t>
            </w:r>
            <w:r>
              <w:rPr>
                <w:rFonts w:eastAsia="黑体" w:cs="Times New Roman"/>
                <w:b w:val="0"/>
                <w:bCs w:val="0"/>
                <w:sz w:val="24"/>
                <w:szCs w:val="24"/>
              </w:rPr>
              <w:t xml:space="preserve">   </w:t>
            </w:r>
            <w:r>
              <w:rPr>
                <w:rFonts w:hint="eastAsia" w:eastAsia="黑体" w:cs="Times New Roman"/>
                <w:b w:val="0"/>
                <w:bCs w:val="0"/>
                <w:sz w:val="24"/>
                <w:szCs w:val="24"/>
                <w:lang w:val="en-US" w:eastAsia="zh-CN"/>
              </w:rPr>
              <w:t>本项目天然气热风炉废气产排情况表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947"/>
              <w:gridCol w:w="949"/>
              <w:gridCol w:w="949"/>
              <w:gridCol w:w="949"/>
              <w:gridCol w:w="943"/>
              <w:gridCol w:w="947"/>
              <w:gridCol w:w="949"/>
              <w:gridCol w:w="950"/>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产污环节</w:t>
                  </w:r>
                </w:p>
              </w:tc>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污染物种类</w:t>
                  </w:r>
                </w:p>
              </w:tc>
              <w:tc>
                <w:tcPr>
                  <w:tcW w:w="285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产生情况</w:t>
                  </w:r>
                </w:p>
              </w:tc>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排放形式</w:t>
                  </w:r>
                </w:p>
              </w:tc>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治理措施</w:t>
                  </w:r>
                </w:p>
              </w:tc>
              <w:tc>
                <w:tcPr>
                  <w:tcW w:w="285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浓度mg/m</w:t>
                  </w:r>
                  <w:r>
                    <w:rPr>
                      <w:rFonts w:hint="eastAsia" w:cs="Times New Roman"/>
                      <w:b w:val="0"/>
                      <w:bCs/>
                      <w:sz w:val="21"/>
                      <w:szCs w:val="21"/>
                      <w:u w:val="none"/>
                      <w:vertAlign w:val="superscript"/>
                      <w:lang w:val="en-US" w:eastAsia="zh-CN"/>
                    </w:rPr>
                    <w:t>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产生速率kg/h</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产生量t/a</w:t>
                  </w: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浓度mg/m</w:t>
                  </w:r>
                  <w:r>
                    <w:rPr>
                      <w:rFonts w:hint="eastAsia" w:cs="Times New Roman"/>
                      <w:b w:val="0"/>
                      <w:bCs/>
                      <w:sz w:val="21"/>
                      <w:szCs w:val="21"/>
                      <w:u w:val="none"/>
                      <w:vertAlign w:val="superscript"/>
                      <w:lang w:val="en-US" w:eastAsia="zh-CN"/>
                    </w:rPr>
                    <w:t>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排放速率kg/h</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天然气热风炉</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SO</w:t>
                  </w:r>
                  <w:r>
                    <w:rPr>
                      <w:rFonts w:hint="eastAsia" w:cs="Times New Roman"/>
                      <w:b w:val="0"/>
                      <w:bCs/>
                      <w:sz w:val="21"/>
                      <w:szCs w:val="21"/>
                      <w:u w:val="none"/>
                      <w:vertAlign w:val="subscript"/>
                      <w:lang w:val="en-US" w:eastAsia="zh-CN"/>
                    </w:rPr>
                    <w:t>2</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3.96</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0.0033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0.008</w:t>
                  </w:r>
                </w:p>
              </w:tc>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有组织</w:t>
                  </w:r>
                </w:p>
              </w:tc>
              <w:tc>
                <w:tcPr>
                  <w:tcW w:w="95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低氮燃烧，一根15m高排气筒</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3.96</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0.0033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NO</w:t>
                  </w:r>
                  <w:r>
                    <w:rPr>
                      <w:rFonts w:hint="eastAsia" w:cs="Times New Roman"/>
                      <w:b w:val="0"/>
                      <w:bCs/>
                      <w:sz w:val="21"/>
                      <w:szCs w:val="21"/>
                      <w:u w:val="none"/>
                      <w:vertAlign w:val="subscript"/>
                      <w:lang w:val="en-US" w:eastAsia="zh-CN"/>
                    </w:rPr>
                    <w:t>X</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30</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0.0253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0.0606</w:t>
                  </w: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30</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0.0253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0.0606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颗粒物</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28.3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0.0238</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s="Times New Roman"/>
                      <w:b w:val="0"/>
                      <w:bCs/>
                      <w:sz w:val="21"/>
                      <w:szCs w:val="21"/>
                      <w:u w:val="none"/>
                      <w:vertAlign w:val="baseline"/>
                      <w:lang w:val="en-US" w:eastAsia="zh-CN"/>
                    </w:rPr>
                  </w:pPr>
                  <w:r>
                    <w:rPr>
                      <w:rFonts w:hint="eastAsia" w:cs="Times New Roman"/>
                      <w:b w:val="0"/>
                      <w:bCs/>
                      <w:sz w:val="21"/>
                      <w:szCs w:val="21"/>
                      <w:u w:val="none"/>
                      <w:vertAlign w:val="baseline"/>
                      <w:lang w:val="en-US" w:eastAsia="zh-CN"/>
                    </w:rPr>
                    <w:t>0.0572</w:t>
                  </w: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28.3</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0.0238</w:t>
                  </w:r>
                </w:p>
              </w:tc>
              <w:tc>
                <w:tcPr>
                  <w:tcW w:w="95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b w:val="0"/>
                      <w:bCs/>
                      <w:sz w:val="21"/>
                      <w:szCs w:val="21"/>
                      <w:u w:val="none"/>
                      <w:vertAlign w:val="baseline"/>
                    </w:rPr>
                  </w:pPr>
                  <w:r>
                    <w:rPr>
                      <w:rFonts w:hint="eastAsia" w:cs="Times New Roman"/>
                      <w:b w:val="0"/>
                      <w:bCs/>
                      <w:sz w:val="21"/>
                      <w:szCs w:val="21"/>
                      <w:u w:val="none"/>
                      <w:vertAlign w:val="baseline"/>
                      <w:lang w:val="en-US" w:eastAsia="zh-CN"/>
                    </w:rPr>
                    <w:t>0.0572</w:t>
                  </w:r>
                </w:p>
              </w:tc>
            </w:tr>
          </w:tbl>
          <w:p>
            <w:pPr>
              <w:ind w:firstLine="480"/>
            </w:pPr>
            <w:r>
              <w:rPr>
                <w:rFonts w:hint="eastAsia"/>
              </w:rPr>
              <w:t>本项目废气产排情况统计见下表：</w:t>
            </w:r>
          </w:p>
          <w:p>
            <w:pPr>
              <w:pStyle w:val="28"/>
              <w:jc w:val="center"/>
              <w:rPr>
                <w:rFonts w:eastAsia="黑体" w:cs="Times New Roman"/>
                <w:b w:val="0"/>
                <w:bCs w:val="0"/>
                <w:sz w:val="24"/>
                <w:szCs w:val="24"/>
              </w:rPr>
            </w:pPr>
            <w:r>
              <w:rPr>
                <w:rFonts w:eastAsia="黑体" w:cs="Times New Roman"/>
                <w:b w:val="0"/>
                <w:bCs w:val="0"/>
                <w:sz w:val="24"/>
                <w:szCs w:val="24"/>
              </w:rPr>
              <w:t>表4-</w:t>
            </w:r>
            <w:r>
              <w:rPr>
                <w:rFonts w:hint="eastAsia" w:eastAsia="黑体" w:cs="Times New Roman"/>
                <w:b w:val="0"/>
                <w:bCs w:val="0"/>
                <w:sz w:val="24"/>
                <w:szCs w:val="24"/>
                <w:lang w:val="en-US" w:eastAsia="zh-CN"/>
              </w:rPr>
              <w:t>3</w:t>
            </w:r>
            <w:r>
              <w:rPr>
                <w:rFonts w:eastAsia="黑体" w:cs="Times New Roman"/>
                <w:b w:val="0"/>
                <w:bCs w:val="0"/>
                <w:sz w:val="24"/>
                <w:szCs w:val="24"/>
              </w:rPr>
              <w:t xml:space="preserve">   本项目废气产排情况汇总表</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26"/>
              <w:gridCol w:w="723"/>
              <w:gridCol w:w="806"/>
              <w:gridCol w:w="753"/>
              <w:gridCol w:w="797"/>
              <w:gridCol w:w="1116"/>
              <w:gridCol w:w="530"/>
              <w:gridCol w:w="946"/>
              <w:gridCol w:w="946"/>
              <w:gridCol w:w="971"/>
              <w:gridCol w:w="9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490" w:type="pct"/>
                  <w:vMerge w:val="restart"/>
                  <w:tcBorders>
                    <w:tl2br w:val="nil"/>
                    <w:tr2bl w:val="nil"/>
                  </w:tcBorders>
                  <w:vAlign w:val="center"/>
                </w:tcPr>
                <w:p>
                  <w:pPr>
                    <w:pStyle w:val="26"/>
                    <w:spacing w:line="240" w:lineRule="exact"/>
                  </w:pPr>
                  <w:r>
                    <w:rPr>
                      <w:rFonts w:hint="eastAsia"/>
                    </w:rPr>
                    <w:t>产排污环节</w:t>
                  </w:r>
                </w:p>
              </w:tc>
              <w:tc>
                <w:tcPr>
                  <w:tcW w:w="382" w:type="pct"/>
                  <w:vMerge w:val="restart"/>
                  <w:tcBorders>
                    <w:tl2br w:val="nil"/>
                    <w:tr2bl w:val="nil"/>
                  </w:tcBorders>
                  <w:vAlign w:val="center"/>
                </w:tcPr>
                <w:p>
                  <w:pPr>
                    <w:pStyle w:val="26"/>
                    <w:spacing w:line="240" w:lineRule="exact"/>
                  </w:pPr>
                  <w:r>
                    <w:rPr>
                      <w:rFonts w:hint="eastAsia"/>
                    </w:rPr>
                    <w:t>污染物种类</w:t>
                  </w:r>
                </w:p>
              </w:tc>
              <w:tc>
                <w:tcPr>
                  <w:tcW w:w="1245" w:type="pct"/>
                  <w:gridSpan w:val="3"/>
                  <w:tcBorders>
                    <w:tl2br w:val="nil"/>
                    <w:tr2bl w:val="nil"/>
                  </w:tcBorders>
                  <w:vAlign w:val="center"/>
                </w:tcPr>
                <w:p>
                  <w:pPr>
                    <w:pStyle w:val="26"/>
                    <w:spacing w:line="240" w:lineRule="exact"/>
                  </w:pPr>
                  <w:r>
                    <w:rPr>
                      <w:rFonts w:hint="eastAsia"/>
                    </w:rPr>
                    <w:t>产生情况</w:t>
                  </w:r>
                </w:p>
              </w:tc>
              <w:tc>
                <w:tcPr>
                  <w:tcW w:w="590" w:type="pct"/>
                  <w:vMerge w:val="restart"/>
                  <w:tcBorders>
                    <w:tl2br w:val="nil"/>
                    <w:tr2bl w:val="nil"/>
                  </w:tcBorders>
                  <w:vAlign w:val="center"/>
                </w:tcPr>
                <w:p>
                  <w:pPr>
                    <w:pStyle w:val="26"/>
                    <w:spacing w:line="240" w:lineRule="exact"/>
                  </w:pPr>
                  <w:r>
                    <w:rPr>
                      <w:rFonts w:hint="eastAsia"/>
                    </w:rPr>
                    <w:t>治理设施</w:t>
                  </w:r>
                </w:p>
              </w:tc>
              <w:tc>
                <w:tcPr>
                  <w:tcW w:w="280" w:type="pct"/>
                  <w:vMerge w:val="restart"/>
                  <w:tcBorders>
                    <w:tl2br w:val="nil"/>
                    <w:tr2bl w:val="nil"/>
                  </w:tcBorders>
                  <w:vAlign w:val="center"/>
                </w:tcPr>
                <w:p>
                  <w:pPr>
                    <w:pStyle w:val="26"/>
                    <w:spacing w:line="240" w:lineRule="exact"/>
                  </w:pPr>
                  <w:r>
                    <w:rPr>
                      <w:rFonts w:hint="eastAsia"/>
                    </w:rPr>
                    <w:t>排放形式</w:t>
                  </w:r>
                </w:p>
              </w:tc>
              <w:tc>
                <w:tcPr>
                  <w:tcW w:w="1513" w:type="pct"/>
                  <w:gridSpan w:val="3"/>
                  <w:tcBorders>
                    <w:tl2br w:val="nil"/>
                    <w:tr2bl w:val="nil"/>
                  </w:tcBorders>
                  <w:vAlign w:val="center"/>
                </w:tcPr>
                <w:p>
                  <w:pPr>
                    <w:pStyle w:val="26"/>
                    <w:spacing w:line="240" w:lineRule="exact"/>
                  </w:pPr>
                  <w:r>
                    <w:rPr>
                      <w:rFonts w:hint="eastAsia"/>
                    </w:rPr>
                    <w:t>排放情况</w:t>
                  </w:r>
                </w:p>
              </w:tc>
              <w:tc>
                <w:tcPr>
                  <w:tcW w:w="498" w:type="pct"/>
                  <w:vMerge w:val="restart"/>
                  <w:tcBorders>
                    <w:tl2br w:val="nil"/>
                    <w:tr2bl w:val="nil"/>
                  </w:tcBorders>
                  <w:vAlign w:val="center"/>
                </w:tcPr>
                <w:p>
                  <w:pPr>
                    <w:pStyle w:val="26"/>
                    <w:spacing w:line="240" w:lineRule="exact"/>
                  </w:pPr>
                  <w:r>
                    <w:rPr>
                      <w:rFonts w:hint="eastAsia"/>
                    </w:rPr>
                    <w:t>对应排放口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490" w:type="pct"/>
                  <w:vMerge w:val="continue"/>
                  <w:tcBorders>
                    <w:tl2br w:val="nil"/>
                    <w:tr2bl w:val="nil"/>
                  </w:tcBorders>
                  <w:vAlign w:val="center"/>
                </w:tcPr>
                <w:p>
                  <w:pPr>
                    <w:pStyle w:val="26"/>
                    <w:spacing w:line="240" w:lineRule="exact"/>
                  </w:pPr>
                </w:p>
              </w:tc>
              <w:tc>
                <w:tcPr>
                  <w:tcW w:w="382" w:type="pct"/>
                  <w:vMerge w:val="continue"/>
                  <w:tcBorders>
                    <w:tl2br w:val="nil"/>
                    <w:tr2bl w:val="nil"/>
                  </w:tcBorders>
                  <w:vAlign w:val="center"/>
                </w:tcPr>
                <w:p>
                  <w:pPr>
                    <w:pStyle w:val="26"/>
                    <w:spacing w:line="240" w:lineRule="exact"/>
                  </w:pPr>
                </w:p>
              </w:tc>
              <w:tc>
                <w:tcPr>
                  <w:tcW w:w="426" w:type="pct"/>
                  <w:tcBorders>
                    <w:tl2br w:val="nil"/>
                    <w:tr2bl w:val="nil"/>
                  </w:tcBorders>
                  <w:vAlign w:val="center"/>
                </w:tcPr>
                <w:p>
                  <w:pPr>
                    <w:pStyle w:val="26"/>
                    <w:spacing w:line="240" w:lineRule="exact"/>
                  </w:pPr>
                  <w:r>
                    <w:rPr>
                      <w:rFonts w:hint="eastAsia"/>
                    </w:rPr>
                    <w:t>产生浓度mg/m</w:t>
                  </w:r>
                  <w:r>
                    <w:rPr>
                      <w:vertAlign w:val="superscript"/>
                    </w:rPr>
                    <w:t>3</w:t>
                  </w:r>
                </w:p>
              </w:tc>
              <w:tc>
                <w:tcPr>
                  <w:tcW w:w="398" w:type="pct"/>
                  <w:tcBorders>
                    <w:tl2br w:val="nil"/>
                    <w:tr2bl w:val="nil"/>
                  </w:tcBorders>
                  <w:vAlign w:val="center"/>
                </w:tcPr>
                <w:p>
                  <w:pPr>
                    <w:pStyle w:val="26"/>
                    <w:spacing w:line="240" w:lineRule="exact"/>
                    <w:rPr>
                      <w:rFonts w:hint="eastAsia"/>
                    </w:rPr>
                  </w:pPr>
                  <w:r>
                    <w:rPr>
                      <w:rFonts w:hint="eastAsia"/>
                      <w:lang w:val="en-US" w:eastAsia="zh-CN"/>
                    </w:rPr>
                    <w:t>产生</w:t>
                  </w:r>
                  <w:r>
                    <w:rPr>
                      <w:rFonts w:hint="eastAsia"/>
                    </w:rPr>
                    <w:t>速率kg/h</w:t>
                  </w:r>
                </w:p>
              </w:tc>
              <w:tc>
                <w:tcPr>
                  <w:tcW w:w="420" w:type="pct"/>
                  <w:tcBorders>
                    <w:tl2br w:val="nil"/>
                    <w:tr2bl w:val="nil"/>
                  </w:tcBorders>
                  <w:vAlign w:val="center"/>
                </w:tcPr>
                <w:p>
                  <w:pPr>
                    <w:pStyle w:val="26"/>
                    <w:spacing w:line="240" w:lineRule="exact"/>
                    <w:rPr>
                      <w:vertAlign w:val="superscript"/>
                    </w:rPr>
                  </w:pPr>
                  <w:r>
                    <w:rPr>
                      <w:rFonts w:hint="eastAsia"/>
                    </w:rPr>
                    <w:t>产生量</w:t>
                  </w:r>
                  <w:r>
                    <w:rPr>
                      <w:rFonts w:hint="eastAsia"/>
                      <w:lang w:val="en-US" w:eastAsia="zh-CN"/>
                    </w:rPr>
                    <w:t>t</w:t>
                  </w:r>
                  <w:r>
                    <w:rPr>
                      <w:rFonts w:hint="eastAsia"/>
                    </w:rPr>
                    <w:t>/a</w:t>
                  </w:r>
                </w:p>
              </w:tc>
              <w:tc>
                <w:tcPr>
                  <w:tcW w:w="590" w:type="pct"/>
                  <w:vMerge w:val="continue"/>
                  <w:tcBorders>
                    <w:tl2br w:val="nil"/>
                    <w:tr2bl w:val="nil"/>
                  </w:tcBorders>
                  <w:vAlign w:val="center"/>
                </w:tcPr>
                <w:p>
                  <w:pPr>
                    <w:pStyle w:val="26"/>
                    <w:spacing w:line="240" w:lineRule="exact"/>
                  </w:pPr>
                </w:p>
              </w:tc>
              <w:tc>
                <w:tcPr>
                  <w:tcW w:w="280" w:type="pct"/>
                  <w:vMerge w:val="continue"/>
                  <w:tcBorders>
                    <w:tl2br w:val="nil"/>
                    <w:tr2bl w:val="nil"/>
                  </w:tcBorders>
                  <w:vAlign w:val="center"/>
                </w:tcPr>
                <w:p>
                  <w:pPr>
                    <w:pStyle w:val="26"/>
                    <w:spacing w:line="240" w:lineRule="exact"/>
                  </w:pPr>
                </w:p>
              </w:tc>
              <w:tc>
                <w:tcPr>
                  <w:tcW w:w="500" w:type="pct"/>
                  <w:tcBorders>
                    <w:tl2br w:val="nil"/>
                    <w:tr2bl w:val="nil"/>
                  </w:tcBorders>
                  <w:vAlign w:val="center"/>
                </w:tcPr>
                <w:p>
                  <w:pPr>
                    <w:pStyle w:val="26"/>
                    <w:spacing w:line="240" w:lineRule="exact"/>
                  </w:pPr>
                  <w:r>
                    <w:rPr>
                      <w:rFonts w:hint="eastAsia"/>
                      <w:lang w:val="en-US" w:eastAsia="zh-CN"/>
                    </w:rPr>
                    <w:t>排放</w:t>
                  </w:r>
                  <w:r>
                    <w:rPr>
                      <w:rFonts w:hint="eastAsia"/>
                    </w:rPr>
                    <w:t>浓度mg/m</w:t>
                  </w:r>
                  <w:r>
                    <w:rPr>
                      <w:vertAlign w:val="superscript"/>
                    </w:rPr>
                    <w:t>3</w:t>
                  </w:r>
                </w:p>
              </w:tc>
              <w:tc>
                <w:tcPr>
                  <w:tcW w:w="500" w:type="pct"/>
                  <w:tcBorders>
                    <w:tl2br w:val="nil"/>
                    <w:tr2bl w:val="nil"/>
                  </w:tcBorders>
                  <w:vAlign w:val="center"/>
                </w:tcPr>
                <w:p>
                  <w:pPr>
                    <w:pStyle w:val="26"/>
                    <w:spacing w:line="240" w:lineRule="exact"/>
                  </w:pPr>
                  <w:r>
                    <w:rPr>
                      <w:rFonts w:hint="eastAsia"/>
                      <w:lang w:val="en-US" w:eastAsia="zh-CN"/>
                    </w:rPr>
                    <w:t>排放</w:t>
                  </w:r>
                  <w:r>
                    <w:rPr>
                      <w:rFonts w:hint="eastAsia"/>
                    </w:rPr>
                    <w:t>速率kg/h</w:t>
                  </w:r>
                </w:p>
              </w:tc>
              <w:tc>
                <w:tcPr>
                  <w:tcW w:w="513" w:type="pct"/>
                  <w:tcBorders>
                    <w:tl2br w:val="nil"/>
                    <w:tr2bl w:val="nil"/>
                  </w:tcBorders>
                  <w:vAlign w:val="center"/>
                </w:tcPr>
                <w:p>
                  <w:pPr>
                    <w:pStyle w:val="26"/>
                    <w:spacing w:line="240" w:lineRule="exact"/>
                    <w:rPr>
                      <w:vertAlign w:val="superscript"/>
                    </w:rPr>
                  </w:pPr>
                  <w:r>
                    <w:rPr>
                      <w:rFonts w:hint="eastAsia"/>
                      <w:lang w:val="en-US" w:eastAsia="zh-CN"/>
                    </w:rPr>
                    <w:t>排放</w:t>
                  </w:r>
                  <w:r>
                    <w:rPr>
                      <w:rFonts w:hint="eastAsia"/>
                    </w:rPr>
                    <w:t>量</w:t>
                  </w:r>
                  <w:r>
                    <w:rPr>
                      <w:rFonts w:hint="eastAsia"/>
                      <w:lang w:val="en-US" w:eastAsia="zh-CN"/>
                    </w:rPr>
                    <w:t>t</w:t>
                  </w:r>
                  <w:r>
                    <w:rPr>
                      <w:rFonts w:hint="eastAsia"/>
                    </w:rPr>
                    <w:t>/a</w:t>
                  </w:r>
                </w:p>
              </w:tc>
              <w:tc>
                <w:tcPr>
                  <w:tcW w:w="498" w:type="pct"/>
                  <w:vMerge w:val="continue"/>
                  <w:tcBorders>
                    <w:tl2br w:val="nil"/>
                    <w:tr2bl w:val="nil"/>
                  </w:tcBorders>
                  <w:vAlign w:val="center"/>
                </w:tcPr>
                <w:p>
                  <w:pPr>
                    <w:pStyle w:val="26"/>
                    <w:spacing w:line="240" w:lineRule="exact"/>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6" w:hRule="atLeast"/>
                <w:jc w:val="center"/>
              </w:trPr>
              <w:tc>
                <w:tcPr>
                  <w:tcW w:w="490" w:type="pct"/>
                  <w:vMerge w:val="restart"/>
                  <w:tcBorders>
                    <w:tl2br w:val="nil"/>
                    <w:tr2bl w:val="nil"/>
                  </w:tcBorders>
                  <w:vAlign w:val="center"/>
                </w:tcPr>
                <w:p>
                  <w:pPr>
                    <w:pStyle w:val="26"/>
                    <w:spacing w:line="240" w:lineRule="exact"/>
                  </w:pPr>
                  <w:r>
                    <w:rPr>
                      <w:rFonts w:hint="eastAsia"/>
                      <w:b w:val="0"/>
                      <w:bCs/>
                      <w:u w:val="none"/>
                      <w:lang w:val="en-US" w:eastAsia="zh-CN"/>
                    </w:rPr>
                    <w:t>调味料生产线工艺粉尘</w:t>
                  </w:r>
                </w:p>
              </w:tc>
              <w:tc>
                <w:tcPr>
                  <w:tcW w:w="382" w:type="pct"/>
                  <w:tcBorders>
                    <w:tl2br w:val="nil"/>
                    <w:tr2bl w:val="nil"/>
                  </w:tcBorders>
                  <w:vAlign w:val="center"/>
                </w:tcPr>
                <w:p>
                  <w:pPr>
                    <w:pStyle w:val="26"/>
                    <w:spacing w:line="240" w:lineRule="exact"/>
                    <w:rPr>
                      <w:rFonts w:hint="eastAsia" w:eastAsia="宋体"/>
                      <w:lang w:val="en-US" w:eastAsia="zh-CN"/>
                    </w:rPr>
                  </w:pPr>
                  <w:r>
                    <w:rPr>
                      <w:rFonts w:hint="eastAsia"/>
                      <w:lang w:val="en-US" w:eastAsia="zh-CN"/>
                    </w:rPr>
                    <w:t>颗粒物</w:t>
                  </w:r>
                </w:p>
              </w:tc>
              <w:tc>
                <w:tcPr>
                  <w:tcW w:w="426"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5.81</w:t>
                  </w:r>
                </w:p>
              </w:tc>
              <w:tc>
                <w:tcPr>
                  <w:tcW w:w="398"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0.0058</w:t>
                  </w:r>
                </w:p>
              </w:tc>
              <w:tc>
                <w:tcPr>
                  <w:tcW w:w="420"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0.01395</w:t>
                  </w:r>
                </w:p>
              </w:tc>
              <w:tc>
                <w:tcPr>
                  <w:tcW w:w="590" w:type="pct"/>
                  <w:tcBorders>
                    <w:tl2br w:val="nil"/>
                    <w:tr2bl w:val="nil"/>
                  </w:tcBorders>
                  <w:vAlign w:val="center"/>
                </w:tcPr>
                <w:p>
                  <w:pPr>
                    <w:pStyle w:val="26"/>
                    <w:spacing w:line="240" w:lineRule="exact"/>
                  </w:pPr>
                  <w:r>
                    <w:rPr>
                      <w:rFonts w:hint="eastAsia"/>
                      <w:b w:val="0"/>
                      <w:bCs/>
                      <w:u w:val="none"/>
                      <w:lang w:val="en-US" w:eastAsia="zh-CN"/>
                    </w:rPr>
                    <w:t>一套袋式除尘器+一根15m高排气筒</w:t>
                  </w:r>
                </w:p>
              </w:tc>
              <w:tc>
                <w:tcPr>
                  <w:tcW w:w="280" w:type="pct"/>
                  <w:tcBorders>
                    <w:tl2br w:val="nil"/>
                    <w:tr2bl w:val="nil"/>
                  </w:tcBorders>
                  <w:vAlign w:val="center"/>
                </w:tcPr>
                <w:p>
                  <w:pPr>
                    <w:pStyle w:val="26"/>
                    <w:spacing w:line="240" w:lineRule="exact"/>
                  </w:pPr>
                  <w:r>
                    <w:rPr>
                      <w:rFonts w:hint="eastAsia"/>
                    </w:rPr>
                    <w:t>有组织</w:t>
                  </w:r>
                </w:p>
              </w:tc>
              <w:tc>
                <w:tcPr>
                  <w:tcW w:w="500"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0.06</w:t>
                  </w:r>
                </w:p>
              </w:tc>
              <w:tc>
                <w:tcPr>
                  <w:tcW w:w="500"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0.00004</w:t>
                  </w:r>
                </w:p>
              </w:tc>
              <w:tc>
                <w:tcPr>
                  <w:tcW w:w="513"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0.0001</w:t>
                  </w:r>
                </w:p>
              </w:tc>
              <w:tc>
                <w:tcPr>
                  <w:tcW w:w="498" w:type="pct"/>
                  <w:tcBorders>
                    <w:tl2br w:val="nil"/>
                    <w:tr2bl w:val="nil"/>
                  </w:tcBorders>
                  <w:vAlign w:val="center"/>
                </w:tcPr>
                <w:p>
                  <w:pPr>
                    <w:pStyle w:val="26"/>
                    <w:spacing w:line="240" w:lineRule="exact"/>
                  </w:pPr>
                  <w:r>
                    <w:rPr>
                      <w:rFonts w:hint="eastAsia"/>
                    </w:rPr>
                    <w:t>DA</w:t>
                  </w:r>
                  <w:r>
                    <w:t>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6" w:hRule="atLeast"/>
                <w:jc w:val="center"/>
              </w:trPr>
              <w:tc>
                <w:tcPr>
                  <w:tcW w:w="490" w:type="pct"/>
                  <w:vMerge w:val="continue"/>
                  <w:tcBorders>
                    <w:tl2br w:val="nil"/>
                    <w:tr2bl w:val="nil"/>
                  </w:tcBorders>
                  <w:vAlign w:val="center"/>
                </w:tcPr>
                <w:p>
                  <w:pPr>
                    <w:pStyle w:val="26"/>
                    <w:spacing w:line="240" w:lineRule="exact"/>
                  </w:pPr>
                </w:p>
              </w:tc>
              <w:tc>
                <w:tcPr>
                  <w:tcW w:w="382"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颗粒物</w:t>
                  </w:r>
                </w:p>
              </w:tc>
              <w:tc>
                <w:tcPr>
                  <w:tcW w:w="426" w:type="pct"/>
                  <w:tcBorders>
                    <w:tl2br w:val="nil"/>
                    <w:tr2bl w:val="nil"/>
                  </w:tcBorders>
                  <w:vAlign w:val="center"/>
                </w:tcPr>
                <w:p>
                  <w:pPr>
                    <w:pStyle w:val="26"/>
                    <w:spacing w:line="240" w:lineRule="exact"/>
                    <w:rPr>
                      <w:rFonts w:hint="eastAsia" w:eastAsia="宋体"/>
                      <w:lang w:val="en-US" w:eastAsia="zh-CN"/>
                    </w:rPr>
                  </w:pPr>
                  <w:r>
                    <w:rPr>
                      <w:rFonts w:hint="eastAsia"/>
                      <w:lang w:val="en-US" w:eastAsia="zh-CN"/>
                    </w:rPr>
                    <w:t>/</w:t>
                  </w:r>
                </w:p>
              </w:tc>
              <w:tc>
                <w:tcPr>
                  <w:tcW w:w="398"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0.0006</w:t>
                  </w:r>
                </w:p>
              </w:tc>
              <w:tc>
                <w:tcPr>
                  <w:tcW w:w="420"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0.00155</w:t>
                  </w:r>
                </w:p>
              </w:tc>
              <w:tc>
                <w:tcPr>
                  <w:tcW w:w="590" w:type="pc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车间密闭</w:t>
                  </w:r>
                </w:p>
              </w:tc>
              <w:tc>
                <w:tcPr>
                  <w:tcW w:w="280" w:type="pct"/>
                  <w:tcBorders>
                    <w:tl2br w:val="nil"/>
                    <w:tr2bl w:val="nil"/>
                  </w:tcBorders>
                  <w:vAlign w:val="center"/>
                </w:tcPr>
                <w:p>
                  <w:pPr>
                    <w:pStyle w:val="26"/>
                    <w:spacing w:line="240" w:lineRule="exact"/>
                    <w:rPr>
                      <w:rFonts w:hint="eastAsia" w:eastAsia="宋体"/>
                      <w:lang w:val="en-US" w:eastAsia="zh-CN"/>
                    </w:rPr>
                  </w:pPr>
                  <w:r>
                    <w:rPr>
                      <w:rFonts w:hint="eastAsia"/>
                      <w:lang w:val="en-US" w:eastAsia="zh-CN"/>
                    </w:rPr>
                    <w:t>无组织</w:t>
                  </w:r>
                </w:p>
              </w:tc>
              <w:tc>
                <w:tcPr>
                  <w:tcW w:w="500" w:type="pct"/>
                  <w:tcBorders>
                    <w:tl2br w:val="nil"/>
                    <w:tr2bl w:val="nil"/>
                  </w:tcBorders>
                  <w:vAlign w:val="center"/>
                </w:tcPr>
                <w:p>
                  <w:pPr>
                    <w:pStyle w:val="26"/>
                    <w:spacing w:line="240" w:lineRule="exact"/>
                    <w:rPr>
                      <w:rFonts w:hint="eastAsia" w:eastAsia="宋体"/>
                      <w:lang w:val="en-US" w:eastAsia="zh-CN"/>
                    </w:rPr>
                  </w:pPr>
                  <w:r>
                    <w:rPr>
                      <w:rFonts w:hint="eastAsia"/>
                      <w:lang w:val="en-US" w:eastAsia="zh-CN"/>
                    </w:rPr>
                    <w:t>/</w:t>
                  </w:r>
                </w:p>
              </w:tc>
              <w:tc>
                <w:tcPr>
                  <w:tcW w:w="950" w:type="dxa"/>
                  <w:tcBorders>
                    <w:tl2br w:val="nil"/>
                    <w:tr2bl w:val="nil"/>
                  </w:tcBorders>
                  <w:vAlign w:val="center"/>
                </w:tcPr>
                <w:p>
                  <w:pPr>
                    <w:pStyle w:val="26"/>
                    <w:spacing w:line="240" w:lineRule="exact"/>
                  </w:pPr>
                  <w:r>
                    <w:rPr>
                      <w:rFonts w:hint="eastAsia"/>
                      <w:lang w:val="en-US" w:eastAsia="zh-CN"/>
                    </w:rPr>
                    <w:t>0.0006</w:t>
                  </w:r>
                </w:p>
              </w:tc>
              <w:tc>
                <w:tcPr>
                  <w:tcW w:w="975" w:type="dxa"/>
                  <w:tcBorders>
                    <w:tl2br w:val="nil"/>
                    <w:tr2bl w:val="nil"/>
                  </w:tcBorders>
                  <w:vAlign w:val="center"/>
                </w:tcPr>
                <w:p>
                  <w:pPr>
                    <w:pStyle w:val="26"/>
                    <w:spacing w:line="240" w:lineRule="exact"/>
                  </w:pPr>
                  <w:r>
                    <w:rPr>
                      <w:rFonts w:hint="eastAsia"/>
                      <w:lang w:val="en-US" w:eastAsia="zh-CN"/>
                    </w:rPr>
                    <w:t>0.00155</w:t>
                  </w:r>
                </w:p>
              </w:tc>
              <w:tc>
                <w:tcPr>
                  <w:tcW w:w="498" w:type="pct"/>
                  <w:tcBorders>
                    <w:tl2br w:val="nil"/>
                    <w:tr2bl w:val="nil"/>
                  </w:tcBorders>
                  <w:vAlign w:val="center"/>
                </w:tcPr>
                <w:p>
                  <w:pPr>
                    <w:pStyle w:val="26"/>
                    <w:spacing w:line="240" w:lineRule="exact"/>
                    <w:rPr>
                      <w:rFonts w:hint="eastAsia" w:eastAsia="宋体"/>
                      <w:lang w:val="en-US" w:eastAsia="zh-CN"/>
                    </w:rPr>
                  </w:pPr>
                  <w:r>
                    <w:rPr>
                      <w:rFonts w:hint="eastAsia"/>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490" w:type="pct"/>
                  <w:vMerge w:val="restar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天然气热风炉</w:t>
                  </w:r>
                </w:p>
              </w:tc>
              <w:tc>
                <w:tcPr>
                  <w:tcW w:w="38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vertAlign w:val="subscript"/>
                    </w:rPr>
                  </w:pPr>
                  <w:r>
                    <w:rPr>
                      <w:rFonts w:hint="eastAsia" w:cs="Times New Roman"/>
                      <w:b w:val="0"/>
                      <w:bCs/>
                      <w:sz w:val="21"/>
                      <w:szCs w:val="21"/>
                      <w:u w:val="none"/>
                      <w:vertAlign w:val="baseline"/>
                      <w:lang w:val="en-US" w:eastAsia="zh-CN"/>
                    </w:rPr>
                    <w:t>SO</w:t>
                  </w:r>
                  <w:r>
                    <w:rPr>
                      <w:rFonts w:hint="eastAsia" w:cs="Times New Roman"/>
                      <w:b w:val="0"/>
                      <w:bCs/>
                      <w:sz w:val="21"/>
                      <w:szCs w:val="21"/>
                      <w:u w:val="none"/>
                      <w:vertAlign w:val="subscript"/>
                      <w:lang w:val="en-US" w:eastAsia="zh-CN"/>
                    </w:rPr>
                    <w:t>2</w:t>
                  </w:r>
                </w:p>
              </w:tc>
              <w:tc>
                <w:tcPr>
                  <w:tcW w:w="42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3.96</w:t>
                  </w:r>
                </w:p>
              </w:tc>
              <w:tc>
                <w:tcPr>
                  <w:tcW w:w="39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0.0033</w:t>
                  </w:r>
                </w:p>
              </w:tc>
              <w:tc>
                <w:tcPr>
                  <w:tcW w:w="42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0.008</w:t>
                  </w:r>
                </w:p>
              </w:tc>
              <w:tc>
                <w:tcPr>
                  <w:tcW w:w="590" w:type="pct"/>
                  <w:vMerge w:val="restart"/>
                  <w:tcBorders>
                    <w:tl2br w:val="nil"/>
                    <w:tr2bl w:val="nil"/>
                  </w:tcBorders>
                  <w:vAlign w:val="center"/>
                </w:tcPr>
                <w:p>
                  <w:pPr>
                    <w:pStyle w:val="26"/>
                    <w:spacing w:line="240" w:lineRule="exact"/>
                    <w:rPr>
                      <w:rFonts w:hint="default"/>
                      <w:lang w:val="en-US"/>
                    </w:rPr>
                  </w:pPr>
                  <w:r>
                    <w:rPr>
                      <w:rFonts w:hint="eastAsia" w:cs="Times New Roman"/>
                      <w:b w:val="0"/>
                      <w:bCs/>
                      <w:sz w:val="21"/>
                      <w:szCs w:val="21"/>
                      <w:u w:val="none"/>
                      <w:vertAlign w:val="baseline"/>
                      <w:lang w:val="en-US" w:eastAsia="zh-CN"/>
                    </w:rPr>
                    <w:t>低氮燃烧，一根15m高排气筒</w:t>
                  </w:r>
                </w:p>
              </w:tc>
              <w:tc>
                <w:tcPr>
                  <w:tcW w:w="280" w:type="pct"/>
                  <w:vMerge w:val="restart"/>
                  <w:tcBorders>
                    <w:tl2br w:val="nil"/>
                    <w:tr2bl w:val="nil"/>
                  </w:tcBorders>
                  <w:vAlign w:val="center"/>
                </w:tcPr>
                <w:p>
                  <w:pPr>
                    <w:pStyle w:val="26"/>
                    <w:spacing w:line="240" w:lineRule="exact"/>
                    <w:rPr>
                      <w:rFonts w:hint="eastAsia" w:eastAsia="宋体"/>
                      <w:lang w:val="en-US" w:eastAsia="zh-CN"/>
                    </w:rPr>
                  </w:pPr>
                  <w:r>
                    <w:rPr>
                      <w:rFonts w:hint="eastAsia"/>
                      <w:lang w:val="en-US" w:eastAsia="zh-CN"/>
                    </w:rPr>
                    <w:t>有组织</w:t>
                  </w:r>
                </w:p>
              </w:tc>
              <w:tc>
                <w:tcPr>
                  <w:tcW w:w="50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3.96</w:t>
                  </w:r>
                </w:p>
              </w:tc>
              <w:tc>
                <w:tcPr>
                  <w:tcW w:w="50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0.0033</w:t>
                  </w:r>
                </w:p>
              </w:tc>
              <w:tc>
                <w:tcPr>
                  <w:tcW w:w="51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0.008</w:t>
                  </w:r>
                </w:p>
              </w:tc>
              <w:tc>
                <w:tcPr>
                  <w:tcW w:w="498" w:type="pct"/>
                  <w:vMerge w:val="restart"/>
                  <w:tcBorders>
                    <w:tl2br w:val="nil"/>
                    <w:tr2bl w:val="nil"/>
                  </w:tcBorders>
                  <w:vAlign w:val="center"/>
                </w:tcPr>
                <w:p>
                  <w:pPr>
                    <w:pStyle w:val="26"/>
                    <w:spacing w:line="240" w:lineRule="exact"/>
                    <w:rPr>
                      <w:rFonts w:hint="default" w:eastAsia="宋体"/>
                      <w:lang w:val="en-US" w:eastAsia="zh-CN"/>
                    </w:rPr>
                  </w:pPr>
                  <w:r>
                    <w:rPr>
                      <w:rFonts w:hint="eastAsia"/>
                      <w:lang w:val="en-US" w:eastAsia="zh-CN"/>
                    </w:rPr>
                    <w:t>DA002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490" w:type="pct"/>
                  <w:vMerge w:val="continue"/>
                  <w:tcBorders>
                    <w:tl2br w:val="nil"/>
                    <w:tr2bl w:val="nil"/>
                  </w:tcBorders>
                  <w:vAlign w:val="center"/>
                </w:tcPr>
                <w:p>
                  <w:pPr>
                    <w:pStyle w:val="26"/>
                    <w:spacing w:line="240" w:lineRule="exact"/>
                  </w:pPr>
                </w:p>
              </w:tc>
              <w:tc>
                <w:tcPr>
                  <w:tcW w:w="38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NO</w:t>
                  </w:r>
                  <w:r>
                    <w:rPr>
                      <w:rFonts w:hint="eastAsia" w:cs="Times New Roman"/>
                      <w:b w:val="0"/>
                      <w:bCs/>
                      <w:sz w:val="21"/>
                      <w:szCs w:val="21"/>
                      <w:u w:val="none"/>
                      <w:vertAlign w:val="subscript"/>
                      <w:lang w:val="en-US" w:eastAsia="zh-CN"/>
                    </w:rPr>
                    <w:t>X</w:t>
                  </w:r>
                </w:p>
              </w:tc>
              <w:tc>
                <w:tcPr>
                  <w:tcW w:w="42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30</w:t>
                  </w:r>
                </w:p>
              </w:tc>
              <w:tc>
                <w:tcPr>
                  <w:tcW w:w="39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0.0253</w:t>
                  </w:r>
                </w:p>
              </w:tc>
              <w:tc>
                <w:tcPr>
                  <w:tcW w:w="42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0.0606</w:t>
                  </w:r>
                </w:p>
              </w:tc>
              <w:tc>
                <w:tcPr>
                  <w:tcW w:w="590" w:type="pct"/>
                  <w:vMerge w:val="continue"/>
                  <w:tcBorders>
                    <w:tl2br w:val="nil"/>
                    <w:tr2bl w:val="nil"/>
                  </w:tcBorders>
                  <w:vAlign w:val="center"/>
                </w:tcPr>
                <w:p>
                  <w:pPr>
                    <w:pStyle w:val="26"/>
                    <w:spacing w:line="240" w:lineRule="exact"/>
                  </w:pPr>
                </w:p>
              </w:tc>
              <w:tc>
                <w:tcPr>
                  <w:tcW w:w="280" w:type="pct"/>
                  <w:vMerge w:val="continue"/>
                  <w:tcBorders>
                    <w:tl2br w:val="nil"/>
                    <w:tr2bl w:val="nil"/>
                  </w:tcBorders>
                  <w:vAlign w:val="center"/>
                </w:tcPr>
                <w:p>
                  <w:pPr>
                    <w:pStyle w:val="26"/>
                    <w:spacing w:line="240" w:lineRule="exact"/>
                  </w:pPr>
                </w:p>
              </w:tc>
              <w:tc>
                <w:tcPr>
                  <w:tcW w:w="50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30</w:t>
                  </w:r>
                </w:p>
              </w:tc>
              <w:tc>
                <w:tcPr>
                  <w:tcW w:w="50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0.0253</w:t>
                  </w:r>
                </w:p>
              </w:tc>
              <w:tc>
                <w:tcPr>
                  <w:tcW w:w="51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0.0606</w:t>
                  </w:r>
                </w:p>
              </w:tc>
              <w:tc>
                <w:tcPr>
                  <w:tcW w:w="498" w:type="pct"/>
                  <w:vMerge w:val="continue"/>
                  <w:tcBorders>
                    <w:tl2br w:val="nil"/>
                    <w:tr2bl w:val="nil"/>
                  </w:tcBorders>
                  <w:vAlign w:val="center"/>
                </w:tcPr>
                <w:p>
                  <w:pPr>
                    <w:pStyle w:val="26"/>
                    <w:spacing w:line="240" w:lineRule="exact"/>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490" w:type="pct"/>
                  <w:vMerge w:val="continue"/>
                  <w:tcBorders>
                    <w:tl2br w:val="nil"/>
                    <w:tr2bl w:val="nil"/>
                  </w:tcBorders>
                  <w:vAlign w:val="center"/>
                </w:tcPr>
                <w:p>
                  <w:pPr>
                    <w:pStyle w:val="26"/>
                    <w:spacing w:line="240" w:lineRule="exact"/>
                  </w:pPr>
                </w:p>
              </w:tc>
              <w:tc>
                <w:tcPr>
                  <w:tcW w:w="38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rPr>
                  </w:pPr>
                  <w:r>
                    <w:rPr>
                      <w:rFonts w:hint="eastAsia" w:cs="Times New Roman"/>
                      <w:b w:val="0"/>
                      <w:bCs/>
                      <w:sz w:val="21"/>
                      <w:szCs w:val="21"/>
                      <w:u w:val="none"/>
                      <w:vertAlign w:val="baseline"/>
                      <w:lang w:val="en-US" w:eastAsia="zh-CN"/>
                    </w:rPr>
                    <w:t>颗粒物</w:t>
                  </w:r>
                </w:p>
              </w:tc>
              <w:tc>
                <w:tcPr>
                  <w:tcW w:w="42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rPr>
                  </w:pPr>
                  <w:r>
                    <w:rPr>
                      <w:rFonts w:hint="eastAsia" w:cs="Times New Roman"/>
                      <w:b w:val="0"/>
                      <w:bCs/>
                      <w:sz w:val="21"/>
                      <w:szCs w:val="21"/>
                      <w:u w:val="none"/>
                      <w:vertAlign w:val="baseline"/>
                      <w:lang w:val="en-US" w:eastAsia="zh-CN"/>
                    </w:rPr>
                    <w:t>28.3</w:t>
                  </w:r>
                </w:p>
              </w:tc>
              <w:tc>
                <w:tcPr>
                  <w:tcW w:w="39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rPr>
                  </w:pPr>
                  <w:r>
                    <w:rPr>
                      <w:rFonts w:hint="eastAsia" w:cs="Times New Roman"/>
                      <w:b w:val="0"/>
                      <w:bCs/>
                      <w:sz w:val="21"/>
                      <w:szCs w:val="21"/>
                      <w:u w:val="none"/>
                      <w:vertAlign w:val="baseline"/>
                      <w:lang w:val="en-US" w:eastAsia="zh-CN"/>
                    </w:rPr>
                    <w:t>0.0238</w:t>
                  </w:r>
                </w:p>
              </w:tc>
              <w:tc>
                <w:tcPr>
                  <w:tcW w:w="42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rPr>
                  </w:pPr>
                  <w:r>
                    <w:rPr>
                      <w:rFonts w:hint="eastAsia" w:cs="Times New Roman"/>
                      <w:b w:val="0"/>
                      <w:bCs/>
                      <w:sz w:val="21"/>
                      <w:szCs w:val="21"/>
                      <w:u w:val="none"/>
                      <w:vertAlign w:val="baseline"/>
                      <w:lang w:val="en-US" w:eastAsia="zh-CN"/>
                    </w:rPr>
                    <w:t>0.0572</w:t>
                  </w:r>
                </w:p>
              </w:tc>
              <w:tc>
                <w:tcPr>
                  <w:tcW w:w="590" w:type="pct"/>
                  <w:vMerge w:val="continue"/>
                  <w:tcBorders>
                    <w:tl2br w:val="nil"/>
                    <w:tr2bl w:val="nil"/>
                  </w:tcBorders>
                  <w:vAlign w:val="center"/>
                </w:tcPr>
                <w:p>
                  <w:pPr>
                    <w:pStyle w:val="26"/>
                    <w:spacing w:line="240" w:lineRule="exact"/>
                  </w:pPr>
                </w:p>
              </w:tc>
              <w:tc>
                <w:tcPr>
                  <w:tcW w:w="280" w:type="pct"/>
                  <w:vMerge w:val="continue"/>
                  <w:tcBorders>
                    <w:tl2br w:val="nil"/>
                    <w:tr2bl w:val="nil"/>
                  </w:tcBorders>
                  <w:vAlign w:val="center"/>
                </w:tcPr>
                <w:p>
                  <w:pPr>
                    <w:pStyle w:val="26"/>
                    <w:spacing w:line="240" w:lineRule="exact"/>
                  </w:pPr>
                </w:p>
              </w:tc>
              <w:tc>
                <w:tcPr>
                  <w:tcW w:w="50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pPr>
                  <w:r>
                    <w:rPr>
                      <w:rFonts w:hint="eastAsia" w:cs="Times New Roman"/>
                      <w:b w:val="0"/>
                      <w:bCs/>
                      <w:sz w:val="21"/>
                      <w:szCs w:val="21"/>
                      <w:u w:val="none"/>
                      <w:vertAlign w:val="baseline"/>
                      <w:lang w:val="en-US" w:eastAsia="zh-CN"/>
                    </w:rPr>
                    <w:t>28.3</w:t>
                  </w:r>
                </w:p>
              </w:tc>
              <w:tc>
                <w:tcPr>
                  <w:tcW w:w="50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rPr>
                  </w:pPr>
                  <w:r>
                    <w:rPr>
                      <w:rFonts w:hint="eastAsia" w:cs="Times New Roman"/>
                      <w:b w:val="0"/>
                      <w:bCs/>
                      <w:sz w:val="21"/>
                      <w:szCs w:val="21"/>
                      <w:u w:val="none"/>
                      <w:vertAlign w:val="baseline"/>
                      <w:lang w:val="en-US" w:eastAsia="zh-CN"/>
                    </w:rPr>
                    <w:t>0.0238</w:t>
                  </w:r>
                </w:p>
              </w:tc>
              <w:tc>
                <w:tcPr>
                  <w:tcW w:w="51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rPr>
                  </w:pPr>
                  <w:r>
                    <w:rPr>
                      <w:rFonts w:hint="eastAsia" w:cs="Times New Roman"/>
                      <w:b w:val="0"/>
                      <w:bCs/>
                      <w:sz w:val="21"/>
                      <w:szCs w:val="21"/>
                      <w:u w:val="none"/>
                      <w:vertAlign w:val="baseline"/>
                      <w:lang w:val="en-US" w:eastAsia="zh-CN"/>
                    </w:rPr>
                    <w:t>0.0572</w:t>
                  </w:r>
                </w:p>
              </w:tc>
              <w:tc>
                <w:tcPr>
                  <w:tcW w:w="498" w:type="pct"/>
                  <w:vMerge w:val="continue"/>
                  <w:tcBorders>
                    <w:tl2br w:val="nil"/>
                    <w:tr2bl w:val="nil"/>
                  </w:tcBorders>
                  <w:vAlign w:val="center"/>
                </w:tcPr>
                <w:p>
                  <w:pPr>
                    <w:pStyle w:val="26"/>
                    <w:spacing w:line="240" w:lineRule="exact"/>
                    <w:rPr>
                      <w:rFonts w:hint="eastAsia"/>
                    </w:rPr>
                  </w:pPr>
                </w:p>
              </w:tc>
            </w:tr>
          </w:tbl>
          <w:p>
            <w:pPr>
              <w:ind w:firstLine="480"/>
            </w:pPr>
            <w:r>
              <w:rPr>
                <w:rFonts w:hint="eastAsia"/>
              </w:rPr>
              <w:t>本项目大气污染物排放口基本情况见下表：</w:t>
            </w:r>
          </w:p>
          <w:p>
            <w:pPr>
              <w:pStyle w:val="28"/>
              <w:jc w:val="center"/>
              <w:rPr>
                <w:rFonts w:eastAsia="黑体" w:cs="Times New Roman"/>
                <w:b w:val="0"/>
                <w:bCs w:val="0"/>
                <w:sz w:val="24"/>
                <w:szCs w:val="24"/>
              </w:rPr>
            </w:pPr>
            <w:r>
              <w:rPr>
                <w:rFonts w:hint="eastAsia" w:eastAsia="黑体" w:cs="Times New Roman"/>
                <w:b w:val="0"/>
                <w:bCs w:val="0"/>
                <w:sz w:val="24"/>
                <w:szCs w:val="24"/>
              </w:rPr>
              <w:t>表4-</w:t>
            </w:r>
            <w:r>
              <w:rPr>
                <w:rFonts w:hint="eastAsia" w:eastAsia="黑体" w:cs="Times New Roman"/>
                <w:b w:val="0"/>
                <w:bCs w:val="0"/>
                <w:sz w:val="24"/>
                <w:szCs w:val="24"/>
                <w:lang w:val="en-US" w:eastAsia="zh-CN"/>
              </w:rPr>
              <w:t>4</w:t>
            </w:r>
            <w:r>
              <w:rPr>
                <w:rFonts w:hint="eastAsia" w:eastAsia="黑体" w:cs="Times New Roman"/>
                <w:b w:val="0"/>
                <w:bCs w:val="0"/>
                <w:sz w:val="24"/>
                <w:szCs w:val="24"/>
              </w:rPr>
              <w:t xml:space="preserve">   大气污染物排放口基本情况一览表</w:t>
            </w:r>
          </w:p>
          <w:tbl>
            <w:tblPr>
              <w:tblStyle w:val="33"/>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1010"/>
              <w:gridCol w:w="773"/>
              <w:gridCol w:w="900"/>
              <w:gridCol w:w="854"/>
              <w:gridCol w:w="1395"/>
              <w:gridCol w:w="815"/>
              <w:gridCol w:w="815"/>
              <w:gridCol w:w="815"/>
              <w:gridCol w:w="19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1010" w:type="dxa"/>
                  <w:tcBorders>
                    <w:tl2br w:val="nil"/>
                    <w:tr2bl w:val="nil"/>
                  </w:tcBorders>
                  <w:vAlign w:val="center"/>
                </w:tcPr>
                <w:p>
                  <w:pPr>
                    <w:pStyle w:val="26"/>
                  </w:pPr>
                  <w:r>
                    <w:rPr>
                      <w:rFonts w:hint="eastAsia"/>
                    </w:rPr>
                    <w:t>产排污环节</w:t>
                  </w:r>
                </w:p>
              </w:tc>
              <w:tc>
                <w:tcPr>
                  <w:tcW w:w="773" w:type="dxa"/>
                  <w:tcBorders>
                    <w:tl2br w:val="nil"/>
                    <w:tr2bl w:val="nil"/>
                  </w:tcBorders>
                  <w:vAlign w:val="center"/>
                </w:tcPr>
                <w:p>
                  <w:pPr>
                    <w:pStyle w:val="26"/>
                  </w:pPr>
                  <w:r>
                    <w:rPr>
                      <w:rFonts w:hint="eastAsia"/>
                    </w:rPr>
                    <w:t>编号</w:t>
                  </w:r>
                </w:p>
              </w:tc>
              <w:tc>
                <w:tcPr>
                  <w:tcW w:w="900" w:type="dxa"/>
                  <w:tcBorders>
                    <w:tl2br w:val="nil"/>
                    <w:tr2bl w:val="nil"/>
                  </w:tcBorders>
                  <w:vAlign w:val="center"/>
                </w:tcPr>
                <w:p>
                  <w:pPr>
                    <w:pStyle w:val="26"/>
                  </w:pPr>
                  <w:r>
                    <w:rPr>
                      <w:rFonts w:hint="eastAsia"/>
                    </w:rPr>
                    <w:t>名称</w:t>
                  </w:r>
                </w:p>
              </w:tc>
              <w:tc>
                <w:tcPr>
                  <w:tcW w:w="854" w:type="dxa"/>
                  <w:tcBorders>
                    <w:tl2br w:val="nil"/>
                    <w:tr2bl w:val="nil"/>
                  </w:tcBorders>
                  <w:vAlign w:val="center"/>
                </w:tcPr>
                <w:p>
                  <w:pPr>
                    <w:pStyle w:val="26"/>
                  </w:pPr>
                  <w:r>
                    <w:rPr>
                      <w:rFonts w:hint="eastAsia"/>
                    </w:rPr>
                    <w:t>类型</w:t>
                  </w:r>
                </w:p>
              </w:tc>
              <w:tc>
                <w:tcPr>
                  <w:tcW w:w="1395" w:type="dxa"/>
                  <w:tcBorders>
                    <w:tl2br w:val="nil"/>
                    <w:tr2bl w:val="nil"/>
                  </w:tcBorders>
                  <w:vAlign w:val="center"/>
                </w:tcPr>
                <w:p>
                  <w:pPr>
                    <w:pStyle w:val="26"/>
                    <w:rPr>
                      <w:rFonts w:hint="eastAsia"/>
                    </w:rPr>
                  </w:pPr>
                  <w:r>
                    <w:rPr>
                      <w:rFonts w:hint="eastAsia"/>
                    </w:rPr>
                    <w:t>地理坐标</w:t>
                  </w:r>
                </w:p>
                <w:p>
                  <w:pPr>
                    <w:pStyle w:val="26"/>
                  </w:pPr>
                  <w:r>
                    <w:rPr>
                      <w:rFonts w:hint="eastAsia"/>
                    </w:rPr>
                    <w:t>（经纬度）</w:t>
                  </w:r>
                </w:p>
              </w:tc>
              <w:tc>
                <w:tcPr>
                  <w:tcW w:w="815" w:type="dxa"/>
                  <w:tcBorders>
                    <w:tl2br w:val="nil"/>
                    <w:tr2bl w:val="nil"/>
                  </w:tcBorders>
                  <w:vAlign w:val="center"/>
                </w:tcPr>
                <w:p>
                  <w:pPr>
                    <w:pStyle w:val="26"/>
                  </w:pPr>
                  <w:r>
                    <w:rPr>
                      <w:rFonts w:hint="eastAsia"/>
                    </w:rPr>
                    <w:t>高度（m）</w:t>
                  </w:r>
                </w:p>
              </w:tc>
              <w:tc>
                <w:tcPr>
                  <w:tcW w:w="815" w:type="dxa"/>
                  <w:tcBorders>
                    <w:tl2br w:val="nil"/>
                    <w:tr2bl w:val="nil"/>
                  </w:tcBorders>
                  <w:vAlign w:val="center"/>
                </w:tcPr>
                <w:p>
                  <w:pPr>
                    <w:pStyle w:val="26"/>
                  </w:pPr>
                  <w:r>
                    <w:rPr>
                      <w:rFonts w:hint="eastAsia"/>
                    </w:rPr>
                    <w:t>内径（m）</w:t>
                  </w:r>
                </w:p>
              </w:tc>
              <w:tc>
                <w:tcPr>
                  <w:tcW w:w="815" w:type="dxa"/>
                  <w:tcBorders>
                    <w:tl2br w:val="nil"/>
                    <w:tr2bl w:val="nil"/>
                  </w:tcBorders>
                  <w:vAlign w:val="center"/>
                </w:tcPr>
                <w:p>
                  <w:pPr>
                    <w:pStyle w:val="26"/>
                  </w:pPr>
                  <w:r>
                    <w:rPr>
                      <w:rFonts w:hint="eastAsia"/>
                    </w:rPr>
                    <w:t>温度</w:t>
                  </w:r>
                </w:p>
                <w:p>
                  <w:pPr>
                    <w:pStyle w:val="26"/>
                  </w:pPr>
                  <w:r>
                    <w:rPr>
                      <w:rFonts w:hint="eastAsia"/>
                    </w:rPr>
                    <w:t>（℃）</w:t>
                  </w:r>
                </w:p>
              </w:tc>
              <w:tc>
                <w:tcPr>
                  <w:tcW w:w="1977" w:type="dxa"/>
                  <w:tcBorders>
                    <w:tl2br w:val="nil"/>
                    <w:tr2bl w:val="nil"/>
                  </w:tcBorders>
                  <w:vAlign w:val="center"/>
                </w:tcPr>
                <w:p>
                  <w:pPr>
                    <w:pStyle w:val="26"/>
                    <w:rPr>
                      <w:rFonts w:hint="default" w:eastAsia="宋体"/>
                      <w:lang w:val="en-US" w:eastAsia="zh-CN"/>
                    </w:rPr>
                  </w:pPr>
                  <w:r>
                    <w:rPr>
                      <w:rFonts w:hint="eastAsia"/>
                    </w:rPr>
                    <w:t>排放标准</w:t>
                  </w:r>
                  <w:r>
                    <w:rPr>
                      <w:rFonts w:hint="eastAsia"/>
                      <w:lang w:val="en-US" w:eastAsia="zh-CN"/>
                    </w:rPr>
                    <w:t>限值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1010" w:type="dxa"/>
                  <w:tcBorders>
                    <w:tl2br w:val="nil"/>
                    <w:tr2bl w:val="nil"/>
                  </w:tcBorders>
                  <w:vAlign w:val="center"/>
                </w:tcPr>
                <w:p>
                  <w:pPr>
                    <w:pStyle w:val="26"/>
                  </w:pPr>
                  <w:r>
                    <w:rPr>
                      <w:rFonts w:hint="eastAsia"/>
                      <w:b w:val="0"/>
                      <w:bCs/>
                      <w:u w:val="none"/>
                      <w:lang w:val="en-US" w:eastAsia="zh-CN"/>
                    </w:rPr>
                    <w:t>调味料生产线工艺粉尘</w:t>
                  </w:r>
                </w:p>
              </w:tc>
              <w:tc>
                <w:tcPr>
                  <w:tcW w:w="773" w:type="dxa"/>
                  <w:tcBorders>
                    <w:tl2br w:val="nil"/>
                    <w:tr2bl w:val="nil"/>
                  </w:tcBorders>
                  <w:vAlign w:val="center"/>
                </w:tcPr>
                <w:p>
                  <w:pPr>
                    <w:pStyle w:val="26"/>
                  </w:pPr>
                  <w:r>
                    <w:rPr>
                      <w:rFonts w:hint="eastAsia"/>
                    </w:rPr>
                    <w:t>DA</w:t>
                  </w:r>
                  <w:r>
                    <w:t>001</w:t>
                  </w:r>
                </w:p>
              </w:tc>
              <w:tc>
                <w:tcPr>
                  <w:tcW w:w="900" w:type="dxa"/>
                  <w:tcBorders>
                    <w:tl2br w:val="nil"/>
                    <w:tr2bl w:val="nil"/>
                  </w:tcBorders>
                  <w:vAlign w:val="center"/>
                </w:tcPr>
                <w:p>
                  <w:pPr>
                    <w:pStyle w:val="26"/>
                  </w:pPr>
                  <w:r>
                    <w:rPr>
                      <w:rFonts w:hint="eastAsia"/>
                    </w:rPr>
                    <w:t>排气筒P</w:t>
                  </w:r>
                  <w:r>
                    <w:t>1</w:t>
                  </w:r>
                </w:p>
              </w:tc>
              <w:tc>
                <w:tcPr>
                  <w:tcW w:w="854" w:type="dxa"/>
                  <w:tcBorders>
                    <w:tl2br w:val="nil"/>
                    <w:tr2bl w:val="nil"/>
                  </w:tcBorders>
                  <w:vAlign w:val="center"/>
                </w:tcPr>
                <w:p>
                  <w:pPr>
                    <w:pStyle w:val="26"/>
                  </w:pPr>
                  <w:r>
                    <w:rPr>
                      <w:rFonts w:hint="eastAsia"/>
                    </w:rPr>
                    <w:t>一般排放口</w:t>
                  </w:r>
                </w:p>
              </w:tc>
              <w:tc>
                <w:tcPr>
                  <w:tcW w:w="1395" w:type="dxa"/>
                  <w:tcBorders>
                    <w:tl2br w:val="nil"/>
                    <w:tr2bl w:val="nil"/>
                  </w:tcBorders>
                  <w:vAlign w:val="center"/>
                </w:tcPr>
                <w:p>
                  <w:pPr>
                    <w:pStyle w:val="26"/>
                    <w:jc w:val="center"/>
                    <w:rPr>
                      <w:rFonts w:hint="eastAsia" w:eastAsia="宋体"/>
                      <w:lang w:val="en-US" w:eastAsia="zh-CN"/>
                    </w:rPr>
                  </w:pPr>
                  <w:r>
                    <w:rPr>
                      <w:rFonts w:hint="eastAsia"/>
                    </w:rPr>
                    <w:t>113.030119</w:t>
                  </w:r>
                  <w:r>
                    <w:rPr>
                      <w:rFonts w:hint="eastAsia"/>
                      <w:lang w:val="en-US" w:eastAsia="zh-CN"/>
                    </w:rPr>
                    <w:t>°</w:t>
                  </w:r>
                </w:p>
                <w:p>
                  <w:pPr>
                    <w:pStyle w:val="26"/>
                    <w:jc w:val="center"/>
                    <w:rPr>
                      <w:rFonts w:hint="eastAsia" w:eastAsia="宋体"/>
                      <w:lang w:val="en-US" w:eastAsia="zh-CN"/>
                    </w:rPr>
                  </w:pPr>
                  <w:r>
                    <w:rPr>
                      <w:rFonts w:hint="eastAsia"/>
                      <w:lang w:val="en-US" w:eastAsia="zh-CN"/>
                    </w:rPr>
                    <w:t>33.678655°</w:t>
                  </w:r>
                </w:p>
              </w:tc>
              <w:tc>
                <w:tcPr>
                  <w:tcW w:w="815" w:type="dxa"/>
                  <w:tcBorders>
                    <w:tl2br w:val="nil"/>
                    <w:tr2bl w:val="nil"/>
                  </w:tcBorders>
                  <w:vAlign w:val="center"/>
                </w:tcPr>
                <w:p>
                  <w:pPr>
                    <w:pStyle w:val="26"/>
                    <w:rPr>
                      <w:rFonts w:hint="default" w:eastAsia="宋体"/>
                      <w:lang w:val="en-US" w:eastAsia="zh-CN"/>
                    </w:rPr>
                  </w:pPr>
                  <w:r>
                    <w:rPr>
                      <w:rFonts w:hint="eastAsia"/>
                      <w:lang w:val="en-US" w:eastAsia="zh-CN"/>
                    </w:rPr>
                    <w:t>15</w:t>
                  </w:r>
                </w:p>
              </w:tc>
              <w:tc>
                <w:tcPr>
                  <w:tcW w:w="815" w:type="dxa"/>
                  <w:tcBorders>
                    <w:tl2br w:val="nil"/>
                    <w:tr2bl w:val="nil"/>
                  </w:tcBorders>
                  <w:vAlign w:val="center"/>
                </w:tcPr>
                <w:p>
                  <w:pPr>
                    <w:pStyle w:val="26"/>
                  </w:pPr>
                  <w:r>
                    <w:rPr>
                      <w:rFonts w:hint="eastAsia"/>
                    </w:rPr>
                    <w:t>0</w:t>
                  </w:r>
                  <w:r>
                    <w:t>.5</w:t>
                  </w:r>
                </w:p>
              </w:tc>
              <w:tc>
                <w:tcPr>
                  <w:tcW w:w="815" w:type="dxa"/>
                  <w:tcBorders>
                    <w:tl2br w:val="nil"/>
                    <w:tr2bl w:val="nil"/>
                  </w:tcBorders>
                  <w:vAlign w:val="center"/>
                </w:tcPr>
                <w:p>
                  <w:pPr>
                    <w:pStyle w:val="26"/>
                  </w:pPr>
                  <w:r>
                    <w:rPr>
                      <w:rFonts w:hint="eastAsia"/>
                    </w:rPr>
                    <w:t>2</w:t>
                  </w:r>
                  <w:r>
                    <w:t>0</w:t>
                  </w:r>
                </w:p>
              </w:tc>
              <w:tc>
                <w:tcPr>
                  <w:tcW w:w="1977" w:type="dxa"/>
                  <w:tcBorders>
                    <w:tl2br w:val="nil"/>
                    <w:tr2bl w:val="nil"/>
                  </w:tcBorders>
                  <w:vAlign w:val="center"/>
                </w:tcPr>
                <w:p>
                  <w:pPr>
                    <w:pStyle w:val="26"/>
                    <w:rPr>
                      <w:rFonts w:hint="default" w:eastAsia="宋体"/>
                      <w:vertAlign w:val="baseline"/>
                      <w:lang w:val="en-US" w:eastAsia="zh-CN"/>
                    </w:rPr>
                  </w:pPr>
                  <w:r>
                    <w:rPr>
                      <w:rFonts w:hint="eastAsia" w:cs="Times New Roman"/>
                      <w:color w:val="auto"/>
                      <w:sz w:val="21"/>
                      <w:szCs w:val="21"/>
                      <w:highlight w:val="none"/>
                      <w:lang w:val="en-US" w:eastAsia="zh-CN" w:bidi="ar-SA"/>
                    </w:rPr>
                    <w:t>颗粒物：</w:t>
                  </w:r>
                  <w:r>
                    <w:rPr>
                      <w:rFonts w:hint="eastAsia" w:ascii="Times New Roman" w:hAnsi="Times New Roman" w:eastAsia="宋体" w:cs="Times New Roman"/>
                      <w:color w:val="auto"/>
                      <w:sz w:val="21"/>
                      <w:szCs w:val="21"/>
                      <w:highlight w:val="none"/>
                      <w:lang w:val="en-US" w:eastAsia="zh-CN" w:bidi="ar-SA"/>
                    </w:rPr>
                    <w:t>排放速率</w:t>
                  </w:r>
                  <w:r>
                    <w:rPr>
                      <w:rFonts w:hint="default" w:ascii="Times New Roman" w:hAnsi="Times New Roman" w:eastAsia="宋体" w:cs="Times New Roman"/>
                      <w:color w:val="auto"/>
                      <w:sz w:val="21"/>
                      <w:szCs w:val="21"/>
                      <w:highlight w:val="none"/>
                      <w:lang w:val="en-US" w:eastAsia="zh-CN" w:bidi="ar-SA"/>
                    </w:rPr>
                    <w:t>3.5kg/h、</w:t>
                  </w:r>
                  <w:r>
                    <w:rPr>
                      <w:rFonts w:hint="eastAsia" w:ascii="Times New Roman" w:hAnsi="Times New Roman" w:eastAsia="宋体" w:cs="Times New Roman"/>
                      <w:color w:val="auto"/>
                      <w:sz w:val="21"/>
                      <w:szCs w:val="21"/>
                      <w:highlight w:val="none"/>
                      <w:lang w:val="en-US" w:eastAsia="zh-CN" w:bidi="ar-SA"/>
                    </w:rPr>
                    <w:t>排放浓度</w:t>
                  </w:r>
                  <w:r>
                    <w:rPr>
                      <w:rFonts w:hint="default" w:ascii="Times New Roman" w:hAnsi="Times New Roman" w:eastAsia="宋体" w:cs="Times New Roman"/>
                      <w:color w:val="auto"/>
                      <w:sz w:val="21"/>
                      <w:szCs w:val="21"/>
                      <w:highlight w:val="none"/>
                      <w:lang w:val="en-US" w:eastAsia="zh-CN" w:bidi="ar-SA"/>
                    </w:rPr>
                    <w:t>120mg/m</w:t>
                  </w:r>
                  <w:r>
                    <w:rPr>
                      <w:rFonts w:hint="default" w:ascii="Times New Roman" w:hAnsi="Times New Roman" w:eastAsia="宋体" w:cs="Times New Roman"/>
                      <w:color w:val="auto"/>
                      <w:sz w:val="21"/>
                      <w:szCs w:val="21"/>
                      <w:highlight w:val="none"/>
                      <w:vertAlign w:val="superscript"/>
                      <w:lang w:val="en-US" w:eastAsia="zh-CN" w:bidi="ar-SA"/>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1010" w:type="dxa"/>
                  <w:tcBorders>
                    <w:tl2br w:val="nil"/>
                    <w:tr2bl w:val="nil"/>
                  </w:tcBorders>
                  <w:vAlign w:val="center"/>
                </w:tcPr>
                <w:p>
                  <w:pPr>
                    <w:pStyle w:val="26"/>
                    <w:rPr>
                      <w:rFonts w:hint="eastAsia"/>
                    </w:rPr>
                  </w:pPr>
                  <w:r>
                    <w:rPr>
                      <w:rFonts w:hint="eastAsia"/>
                      <w:lang w:val="en-US" w:eastAsia="zh-CN"/>
                    </w:rPr>
                    <w:t>天然气热风炉</w:t>
                  </w:r>
                </w:p>
              </w:tc>
              <w:tc>
                <w:tcPr>
                  <w:tcW w:w="773" w:type="dxa"/>
                  <w:tcBorders>
                    <w:tl2br w:val="nil"/>
                    <w:tr2bl w:val="nil"/>
                  </w:tcBorders>
                  <w:vAlign w:val="center"/>
                </w:tcPr>
                <w:p>
                  <w:pPr>
                    <w:pStyle w:val="26"/>
                    <w:rPr>
                      <w:rFonts w:hint="eastAsia" w:eastAsia="宋体"/>
                      <w:lang w:val="en-US" w:eastAsia="zh-CN"/>
                    </w:rPr>
                  </w:pPr>
                  <w:r>
                    <w:rPr>
                      <w:rFonts w:hint="eastAsia"/>
                    </w:rPr>
                    <w:t>DA</w:t>
                  </w:r>
                  <w:r>
                    <w:t>00</w:t>
                  </w:r>
                  <w:r>
                    <w:rPr>
                      <w:rFonts w:hint="eastAsia"/>
                      <w:lang w:val="en-US" w:eastAsia="zh-CN"/>
                    </w:rPr>
                    <w:t>2</w:t>
                  </w:r>
                </w:p>
              </w:tc>
              <w:tc>
                <w:tcPr>
                  <w:tcW w:w="900" w:type="dxa"/>
                  <w:tcBorders>
                    <w:tl2br w:val="nil"/>
                    <w:tr2bl w:val="nil"/>
                  </w:tcBorders>
                  <w:vAlign w:val="center"/>
                </w:tcPr>
                <w:p>
                  <w:pPr>
                    <w:pStyle w:val="26"/>
                    <w:rPr>
                      <w:rFonts w:hint="eastAsia" w:eastAsia="宋体"/>
                      <w:lang w:eastAsia="zh-CN"/>
                    </w:rPr>
                  </w:pPr>
                  <w:r>
                    <w:rPr>
                      <w:rFonts w:hint="eastAsia"/>
                    </w:rPr>
                    <w:t>排气筒P</w:t>
                  </w:r>
                  <w:r>
                    <w:rPr>
                      <w:rFonts w:hint="eastAsia"/>
                      <w:lang w:val="en-US" w:eastAsia="zh-CN"/>
                    </w:rPr>
                    <w:t>2</w:t>
                  </w:r>
                </w:p>
              </w:tc>
              <w:tc>
                <w:tcPr>
                  <w:tcW w:w="854" w:type="dxa"/>
                  <w:tcBorders>
                    <w:tl2br w:val="nil"/>
                    <w:tr2bl w:val="nil"/>
                  </w:tcBorders>
                  <w:vAlign w:val="center"/>
                </w:tcPr>
                <w:p>
                  <w:pPr>
                    <w:pStyle w:val="26"/>
                    <w:rPr>
                      <w:rFonts w:hint="eastAsia"/>
                    </w:rPr>
                  </w:pPr>
                  <w:r>
                    <w:rPr>
                      <w:rFonts w:hint="eastAsia"/>
                    </w:rPr>
                    <w:t>一般排放口</w:t>
                  </w:r>
                </w:p>
              </w:tc>
              <w:tc>
                <w:tcPr>
                  <w:tcW w:w="1395" w:type="dxa"/>
                  <w:tcBorders>
                    <w:tl2br w:val="nil"/>
                    <w:tr2bl w:val="nil"/>
                  </w:tcBorders>
                  <w:vAlign w:val="center"/>
                </w:tcPr>
                <w:p>
                  <w:pPr>
                    <w:pStyle w:val="26"/>
                    <w:jc w:val="center"/>
                    <w:rPr>
                      <w:rFonts w:hint="eastAsia"/>
                      <w:lang w:val="en-US" w:eastAsia="zh-CN"/>
                    </w:rPr>
                  </w:pPr>
                  <w:r>
                    <w:rPr>
                      <w:rFonts w:hint="eastAsia"/>
                      <w:lang w:val="en-US" w:eastAsia="zh-CN"/>
                    </w:rPr>
                    <w:t>113.030036°</w:t>
                  </w:r>
                </w:p>
                <w:p>
                  <w:pPr>
                    <w:pStyle w:val="26"/>
                    <w:jc w:val="center"/>
                    <w:rPr>
                      <w:rFonts w:hint="default"/>
                      <w:lang w:val="en-US" w:eastAsia="zh-CN"/>
                    </w:rPr>
                  </w:pPr>
                  <w:r>
                    <w:rPr>
                      <w:rFonts w:hint="eastAsia"/>
                      <w:lang w:val="en-US" w:eastAsia="zh-CN"/>
                    </w:rPr>
                    <w:t>33.678526°</w:t>
                  </w:r>
                </w:p>
              </w:tc>
              <w:tc>
                <w:tcPr>
                  <w:tcW w:w="815" w:type="dxa"/>
                  <w:tcBorders>
                    <w:tl2br w:val="nil"/>
                    <w:tr2bl w:val="nil"/>
                  </w:tcBorders>
                  <w:vAlign w:val="center"/>
                </w:tcPr>
                <w:p>
                  <w:pPr>
                    <w:pStyle w:val="26"/>
                    <w:rPr>
                      <w:rFonts w:hint="default" w:eastAsia="宋体"/>
                      <w:lang w:val="en-US" w:eastAsia="zh-CN"/>
                    </w:rPr>
                  </w:pPr>
                  <w:r>
                    <w:rPr>
                      <w:rFonts w:hint="eastAsia"/>
                      <w:lang w:val="en-US" w:eastAsia="zh-CN"/>
                    </w:rPr>
                    <w:t>15</w:t>
                  </w:r>
                </w:p>
              </w:tc>
              <w:tc>
                <w:tcPr>
                  <w:tcW w:w="815" w:type="dxa"/>
                  <w:tcBorders>
                    <w:tl2br w:val="nil"/>
                    <w:tr2bl w:val="nil"/>
                  </w:tcBorders>
                  <w:vAlign w:val="center"/>
                </w:tcPr>
                <w:p>
                  <w:pPr>
                    <w:pStyle w:val="26"/>
                    <w:rPr>
                      <w:rFonts w:hint="eastAsia"/>
                    </w:rPr>
                  </w:pPr>
                  <w:r>
                    <w:rPr>
                      <w:rFonts w:hint="eastAsia"/>
                    </w:rPr>
                    <w:t>0</w:t>
                  </w:r>
                  <w:r>
                    <w:t>.5</w:t>
                  </w:r>
                </w:p>
              </w:tc>
              <w:tc>
                <w:tcPr>
                  <w:tcW w:w="815" w:type="dxa"/>
                  <w:tcBorders>
                    <w:tl2br w:val="nil"/>
                    <w:tr2bl w:val="nil"/>
                  </w:tcBorders>
                  <w:vAlign w:val="center"/>
                </w:tcPr>
                <w:p>
                  <w:pPr>
                    <w:pStyle w:val="26"/>
                    <w:rPr>
                      <w:rFonts w:hint="eastAsia"/>
                    </w:rPr>
                  </w:pPr>
                  <w:r>
                    <w:rPr>
                      <w:rFonts w:hint="eastAsia"/>
                    </w:rPr>
                    <w:t>2</w:t>
                  </w:r>
                  <w:r>
                    <w:t>0</w:t>
                  </w:r>
                </w:p>
              </w:tc>
              <w:tc>
                <w:tcPr>
                  <w:tcW w:w="1977" w:type="dxa"/>
                  <w:tcBorders>
                    <w:tl2br w:val="nil"/>
                    <w:tr2bl w:val="nil"/>
                  </w:tcBorders>
                  <w:vAlign w:val="center"/>
                </w:tcPr>
                <w:p>
                  <w:pPr>
                    <w:pStyle w:val="26"/>
                    <w:rPr>
                      <w:rFonts w:hint="eastAsia" w:ascii="Times New Roman" w:hAnsi="Times New Roman" w:eastAsia="宋体" w:cs="Times New Roman"/>
                      <w:color w:val="auto"/>
                      <w:sz w:val="21"/>
                      <w:szCs w:val="21"/>
                      <w:highlight w:val="none"/>
                      <w:lang w:val="en-US" w:eastAsia="zh-CN" w:bidi="ar-SA"/>
                    </w:rPr>
                  </w:pPr>
                  <w:r>
                    <w:rPr>
                      <w:rFonts w:hint="eastAsia"/>
                      <w:lang w:val="en-US" w:eastAsia="zh-CN"/>
                    </w:rPr>
                    <w:t>颗粒</w:t>
                  </w:r>
                  <w:r>
                    <w:rPr>
                      <w:rFonts w:hint="eastAsia" w:ascii="Times New Roman" w:hAnsi="Times New Roman" w:eastAsia="宋体" w:cs="Times New Roman"/>
                      <w:color w:val="auto"/>
                      <w:sz w:val="21"/>
                      <w:szCs w:val="21"/>
                      <w:highlight w:val="none"/>
                      <w:lang w:val="en-US" w:eastAsia="zh-CN" w:bidi="ar-SA"/>
                    </w:rPr>
                    <w:t>物：30mg/m</w:t>
                  </w:r>
                  <w:r>
                    <w:rPr>
                      <w:rFonts w:hint="eastAsia" w:ascii="Times New Roman" w:hAnsi="Times New Roman" w:eastAsia="宋体" w:cs="Times New Roman"/>
                      <w:color w:val="auto"/>
                      <w:sz w:val="21"/>
                      <w:szCs w:val="21"/>
                      <w:highlight w:val="none"/>
                      <w:vertAlign w:val="superscript"/>
                      <w:lang w:val="en-US" w:eastAsia="zh-CN" w:bidi="ar-SA"/>
                    </w:rPr>
                    <w:t>3</w:t>
                  </w:r>
                </w:p>
                <w:p>
                  <w:pPr>
                    <w:pStyle w:val="26"/>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二氧化硫：200mg/m</w:t>
                  </w:r>
                  <w:r>
                    <w:rPr>
                      <w:rFonts w:hint="eastAsia" w:ascii="Times New Roman" w:hAnsi="Times New Roman" w:eastAsia="宋体" w:cs="Times New Roman"/>
                      <w:color w:val="auto"/>
                      <w:sz w:val="21"/>
                      <w:szCs w:val="21"/>
                      <w:highlight w:val="none"/>
                      <w:vertAlign w:val="superscript"/>
                      <w:lang w:val="en-US" w:eastAsia="zh-CN" w:bidi="ar-SA"/>
                    </w:rPr>
                    <w:t>3</w:t>
                  </w:r>
                </w:p>
                <w:p>
                  <w:pPr>
                    <w:pStyle w:val="26"/>
                    <w:rPr>
                      <w:rFonts w:hint="default" w:cs="Times New Roman"/>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bidi="ar-SA"/>
                    </w:rPr>
                    <w:t>氮氧</w:t>
                  </w:r>
                  <w:r>
                    <w:rPr>
                      <w:rFonts w:hint="eastAsia" w:cs="Times New Roman"/>
                      <w:kern w:val="2"/>
                      <w:sz w:val="21"/>
                      <w:szCs w:val="21"/>
                      <w:lang w:val="en-US" w:eastAsia="zh-CN" w:bidi="ar-SA"/>
                    </w:rPr>
                    <w:t>化物：300</w:t>
                  </w:r>
                  <w:r>
                    <w:rPr>
                      <w:rFonts w:hint="eastAsia" w:ascii="Times New Roman" w:hAnsi="Times New Roman" w:eastAsia="宋体" w:cs="Times New Roman"/>
                      <w:color w:val="auto"/>
                      <w:sz w:val="21"/>
                      <w:szCs w:val="21"/>
                      <w:highlight w:val="none"/>
                      <w:lang w:val="en-US" w:eastAsia="zh-CN" w:bidi="ar-SA"/>
                    </w:rPr>
                    <w:t>mg/m</w:t>
                  </w:r>
                  <w:r>
                    <w:rPr>
                      <w:rFonts w:hint="eastAsia" w:ascii="Times New Roman" w:hAnsi="Times New Roman" w:eastAsia="宋体" w:cs="Times New Roman"/>
                      <w:color w:val="auto"/>
                      <w:sz w:val="21"/>
                      <w:szCs w:val="21"/>
                      <w:highlight w:val="none"/>
                      <w:vertAlign w:val="superscript"/>
                      <w:lang w:val="en-US" w:eastAsia="zh-CN" w:bidi="ar-SA"/>
                    </w:rPr>
                    <w:t>3</w:t>
                  </w:r>
                </w:p>
              </w:tc>
            </w:tr>
          </w:tbl>
          <w:p>
            <w:pPr>
              <w:ind w:firstLine="480"/>
            </w:pPr>
            <w:r>
              <w:rPr>
                <w:rFonts w:hint="eastAsia"/>
              </w:rPr>
              <w:t>根据《排污</w:t>
            </w:r>
            <w:r>
              <w:rPr>
                <w:rFonts w:hint="eastAsia"/>
                <w:lang w:val="en-US" w:eastAsia="zh-CN"/>
              </w:rPr>
              <w:t>单位自行监测技术指南</w:t>
            </w:r>
            <w:r>
              <w:rPr>
                <w:rFonts w:hint="eastAsia"/>
              </w:rPr>
              <w:t xml:space="preserve"> 食品制造》（HJ</w:t>
            </w:r>
            <w:r>
              <w:rPr>
                <w:rFonts w:hint="eastAsia"/>
                <w:lang w:val="en-US" w:eastAsia="zh-CN"/>
              </w:rPr>
              <w:t>1084-</w:t>
            </w:r>
            <w:r>
              <w:rPr>
                <w:rFonts w:hint="eastAsia"/>
              </w:rPr>
              <w:t>20</w:t>
            </w:r>
            <w:r>
              <w:rPr>
                <w:rFonts w:hint="eastAsia"/>
                <w:lang w:val="en-US" w:eastAsia="zh-CN"/>
              </w:rPr>
              <w:t>20</w:t>
            </w:r>
            <w:r>
              <w:rPr>
                <w:rFonts w:hint="eastAsia"/>
              </w:rPr>
              <w:t>），评价提出大气污染监测要求如下：</w:t>
            </w:r>
          </w:p>
          <w:p>
            <w:pPr>
              <w:pStyle w:val="28"/>
              <w:jc w:val="center"/>
              <w:rPr>
                <w:rFonts w:hint="eastAsia" w:eastAsia="黑体" w:cs="Times New Roman"/>
                <w:b w:val="0"/>
                <w:bCs w:val="0"/>
                <w:sz w:val="24"/>
                <w:szCs w:val="24"/>
              </w:rPr>
            </w:pPr>
            <w:r>
              <w:rPr>
                <w:rFonts w:hint="eastAsia" w:eastAsia="黑体" w:cs="Times New Roman"/>
                <w:b w:val="0"/>
                <w:bCs w:val="0"/>
                <w:sz w:val="24"/>
                <w:szCs w:val="24"/>
              </w:rPr>
              <w:t>表4-</w:t>
            </w:r>
            <w:r>
              <w:rPr>
                <w:rFonts w:hint="eastAsia" w:eastAsia="黑体" w:cs="Times New Roman"/>
                <w:b w:val="0"/>
                <w:bCs w:val="0"/>
                <w:sz w:val="24"/>
                <w:szCs w:val="24"/>
                <w:lang w:val="en-US" w:eastAsia="zh-CN"/>
              </w:rPr>
              <w:t>5</w:t>
            </w:r>
            <w:r>
              <w:rPr>
                <w:rFonts w:hint="eastAsia" w:eastAsia="黑体" w:cs="Times New Roman"/>
                <w:b w:val="0"/>
                <w:bCs w:val="0"/>
                <w:sz w:val="24"/>
                <w:szCs w:val="24"/>
              </w:rPr>
              <w:t xml:space="preserve">   大气污染物监测计划表</w:t>
            </w:r>
          </w:p>
          <w:tbl>
            <w:tblPr>
              <w:tblStyle w:val="33"/>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46"/>
              <w:gridCol w:w="2446"/>
              <w:gridCol w:w="1745"/>
              <w:gridCol w:w="1188"/>
              <w:gridCol w:w="31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jc w:val="center"/>
              </w:trPr>
              <w:tc>
                <w:tcPr>
                  <w:tcW w:w="846" w:type="dxa"/>
                  <w:tcBorders>
                    <w:tl2br w:val="nil"/>
                    <w:tr2bl w:val="nil"/>
                  </w:tcBorders>
                  <w:vAlign w:val="center"/>
                </w:tcPr>
                <w:p>
                  <w:pPr>
                    <w:pStyle w:val="26"/>
                  </w:pPr>
                  <w:r>
                    <w:rPr>
                      <w:rFonts w:hint="eastAsia"/>
                    </w:rPr>
                    <w:t>类别</w:t>
                  </w:r>
                </w:p>
              </w:tc>
              <w:tc>
                <w:tcPr>
                  <w:tcW w:w="2446" w:type="dxa"/>
                  <w:tcBorders>
                    <w:tl2br w:val="nil"/>
                    <w:tr2bl w:val="nil"/>
                  </w:tcBorders>
                  <w:vAlign w:val="center"/>
                </w:tcPr>
                <w:p>
                  <w:pPr>
                    <w:pStyle w:val="26"/>
                  </w:pPr>
                  <w:r>
                    <w:rPr>
                      <w:rFonts w:hint="eastAsia"/>
                    </w:rPr>
                    <w:t>监测点位</w:t>
                  </w:r>
                </w:p>
              </w:tc>
              <w:tc>
                <w:tcPr>
                  <w:tcW w:w="1745" w:type="dxa"/>
                  <w:tcBorders>
                    <w:tl2br w:val="nil"/>
                    <w:tr2bl w:val="nil"/>
                  </w:tcBorders>
                  <w:vAlign w:val="center"/>
                </w:tcPr>
                <w:p>
                  <w:pPr>
                    <w:pStyle w:val="26"/>
                  </w:pPr>
                  <w:r>
                    <w:rPr>
                      <w:rFonts w:hint="eastAsia"/>
                    </w:rPr>
                    <w:t>监测因子</w:t>
                  </w:r>
                </w:p>
              </w:tc>
              <w:tc>
                <w:tcPr>
                  <w:tcW w:w="1188" w:type="dxa"/>
                  <w:tcBorders>
                    <w:tl2br w:val="nil"/>
                    <w:tr2bl w:val="nil"/>
                  </w:tcBorders>
                  <w:vAlign w:val="center"/>
                </w:tcPr>
                <w:p>
                  <w:pPr>
                    <w:pStyle w:val="26"/>
                  </w:pPr>
                  <w:r>
                    <w:rPr>
                      <w:rFonts w:hint="eastAsia"/>
                    </w:rPr>
                    <w:t>监测频次</w:t>
                  </w:r>
                </w:p>
              </w:tc>
              <w:tc>
                <w:tcPr>
                  <w:tcW w:w="3129" w:type="dxa"/>
                  <w:tcBorders>
                    <w:tl2br w:val="nil"/>
                    <w:tr2bl w:val="nil"/>
                  </w:tcBorders>
                  <w:vAlign w:val="center"/>
                </w:tcPr>
                <w:p>
                  <w:pPr>
                    <w:pStyle w:val="26"/>
                  </w:pPr>
                  <w:r>
                    <w:rPr>
                      <w:rFonts w:hint="eastAsia"/>
                    </w:rPr>
                    <w:t>排放标准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0" w:hRule="atLeast"/>
                <w:jc w:val="center"/>
              </w:trPr>
              <w:tc>
                <w:tcPr>
                  <w:tcW w:w="846" w:type="dxa"/>
                  <w:vMerge w:val="restart"/>
                  <w:tcBorders>
                    <w:tl2br w:val="nil"/>
                    <w:tr2bl w:val="nil"/>
                  </w:tcBorders>
                  <w:vAlign w:val="center"/>
                </w:tcPr>
                <w:p>
                  <w:pPr>
                    <w:pStyle w:val="26"/>
                  </w:pPr>
                  <w:r>
                    <w:rPr>
                      <w:rFonts w:hint="eastAsia"/>
                    </w:rPr>
                    <w:t>大气</w:t>
                  </w:r>
                </w:p>
              </w:tc>
              <w:tc>
                <w:tcPr>
                  <w:tcW w:w="2446" w:type="dxa"/>
                  <w:tcBorders>
                    <w:tl2br w:val="nil"/>
                    <w:tr2bl w:val="nil"/>
                  </w:tcBorders>
                  <w:vAlign w:val="center"/>
                </w:tcPr>
                <w:p>
                  <w:pPr>
                    <w:pStyle w:val="26"/>
                  </w:pPr>
                  <w:r>
                    <w:rPr>
                      <w:rFonts w:hint="eastAsia"/>
                      <w:b w:val="0"/>
                      <w:bCs/>
                      <w:u w:val="none"/>
                      <w:lang w:val="en-US" w:eastAsia="zh-CN"/>
                    </w:rPr>
                    <w:t>调味料生产线工艺粉尘</w:t>
                  </w:r>
                  <w:r>
                    <w:rPr>
                      <w:rFonts w:hint="eastAsia"/>
                    </w:rPr>
                    <w:t>排气筒P</w:t>
                  </w:r>
                  <w:r>
                    <w:t>1</w:t>
                  </w:r>
                </w:p>
              </w:tc>
              <w:tc>
                <w:tcPr>
                  <w:tcW w:w="1745" w:type="dxa"/>
                  <w:tcBorders>
                    <w:tl2br w:val="nil"/>
                    <w:tr2bl w:val="nil"/>
                  </w:tcBorders>
                  <w:vAlign w:val="center"/>
                </w:tcPr>
                <w:p>
                  <w:pPr>
                    <w:pStyle w:val="26"/>
                    <w:rPr>
                      <w:rFonts w:hint="eastAsia" w:eastAsia="宋体"/>
                      <w:lang w:val="en-US" w:eastAsia="zh-CN"/>
                    </w:rPr>
                  </w:pPr>
                  <w:r>
                    <w:rPr>
                      <w:rFonts w:hint="eastAsia"/>
                      <w:lang w:val="en-US" w:eastAsia="zh-CN"/>
                    </w:rPr>
                    <w:t>颗粒物</w:t>
                  </w:r>
                </w:p>
              </w:tc>
              <w:tc>
                <w:tcPr>
                  <w:tcW w:w="1188" w:type="dxa"/>
                  <w:vMerge w:val="restart"/>
                  <w:tcBorders>
                    <w:tl2br w:val="nil"/>
                    <w:tr2bl w:val="nil"/>
                  </w:tcBorders>
                  <w:vAlign w:val="center"/>
                </w:tcPr>
                <w:p>
                  <w:pPr>
                    <w:pStyle w:val="26"/>
                  </w:pPr>
                  <w:r>
                    <w:rPr>
                      <w:rFonts w:hint="eastAsia"/>
                    </w:rPr>
                    <w:t>每半年1次</w:t>
                  </w:r>
                </w:p>
              </w:tc>
              <w:tc>
                <w:tcPr>
                  <w:tcW w:w="3129" w:type="dxa"/>
                  <w:tcBorders>
                    <w:tl2br w:val="nil"/>
                    <w:tr2bl w:val="nil"/>
                  </w:tcBorders>
                  <w:vAlign w:val="center"/>
                </w:tcPr>
                <w:p>
                  <w:pPr>
                    <w:pStyle w:val="26"/>
                  </w:pPr>
                  <w:r>
                    <w:rPr>
                      <w:rFonts w:hint="default" w:ascii="Times New Roman" w:hAnsi="Times New Roman" w:eastAsia="宋体"/>
                      <w:sz w:val="21"/>
                      <w:szCs w:val="21"/>
                      <w:highlight w:val="none"/>
                      <w:lang w:val="en-US" w:eastAsia="zh-CN"/>
                    </w:rPr>
                    <w:t>《大气污染物综合排放标准》</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GB16297</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1996</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表2</w:t>
                  </w:r>
                  <w:r>
                    <w:rPr>
                      <w:rFonts w:hint="eastAsia" w:ascii="Times New Roman" w:hAnsi="Times New Roman" w:eastAsia="宋体"/>
                      <w:sz w:val="21"/>
                      <w:szCs w:val="21"/>
                      <w:highlight w:val="none"/>
                      <w:lang w:val="en-US" w:eastAsia="zh-CN"/>
                    </w:rPr>
                    <w:t>二级</w:t>
                  </w:r>
                  <w:r>
                    <w:rPr>
                      <w:rFonts w:hint="default" w:ascii="Times New Roman" w:hAnsi="Times New Roman" w:eastAsia="宋体"/>
                      <w:sz w:val="21"/>
                      <w:szCs w:val="21"/>
                      <w:highlight w:val="none"/>
                      <w:lang w:val="en-US" w:eastAsia="zh-CN"/>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0" w:hRule="atLeast"/>
                <w:jc w:val="center"/>
              </w:trPr>
              <w:tc>
                <w:tcPr>
                  <w:tcW w:w="846" w:type="dxa"/>
                  <w:vMerge w:val="continue"/>
                  <w:tcBorders>
                    <w:tl2br w:val="nil"/>
                    <w:tr2bl w:val="nil"/>
                  </w:tcBorders>
                  <w:vAlign w:val="center"/>
                </w:tcPr>
                <w:p>
                  <w:pPr>
                    <w:pStyle w:val="26"/>
                    <w:rPr>
                      <w:rFonts w:hint="eastAsia"/>
                    </w:rPr>
                  </w:pPr>
                </w:p>
              </w:tc>
              <w:tc>
                <w:tcPr>
                  <w:tcW w:w="2446" w:type="dxa"/>
                  <w:tcBorders>
                    <w:tl2br w:val="nil"/>
                    <w:tr2bl w:val="nil"/>
                  </w:tcBorders>
                  <w:vAlign w:val="center"/>
                </w:tcPr>
                <w:p>
                  <w:pPr>
                    <w:pStyle w:val="26"/>
                    <w:rPr>
                      <w:rFonts w:hint="eastAsia" w:eastAsia="宋体"/>
                      <w:b w:val="0"/>
                      <w:bCs/>
                      <w:u w:val="none"/>
                      <w:lang w:val="en-US" w:eastAsia="zh-CN"/>
                    </w:rPr>
                  </w:pPr>
                  <w:r>
                    <w:rPr>
                      <w:rFonts w:hint="eastAsia"/>
                      <w:lang w:val="en-US" w:eastAsia="zh-CN"/>
                    </w:rPr>
                    <w:t>天然气热风炉废气</w:t>
                  </w:r>
                  <w:r>
                    <w:rPr>
                      <w:rFonts w:hint="eastAsia"/>
                    </w:rPr>
                    <w:t>排气筒P</w:t>
                  </w:r>
                  <w:r>
                    <w:rPr>
                      <w:rFonts w:hint="eastAsia"/>
                      <w:lang w:val="en-US" w:eastAsia="zh-CN"/>
                    </w:rPr>
                    <w:t>2</w:t>
                  </w:r>
                </w:p>
              </w:tc>
              <w:tc>
                <w:tcPr>
                  <w:tcW w:w="1745" w:type="dxa"/>
                  <w:tcBorders>
                    <w:tl2br w:val="nil"/>
                    <w:tr2bl w:val="nil"/>
                  </w:tcBorders>
                  <w:vAlign w:val="center"/>
                </w:tcPr>
                <w:p>
                  <w:pPr>
                    <w:pStyle w:val="26"/>
                    <w:rPr>
                      <w:rFonts w:hint="default"/>
                      <w:lang w:val="en-US"/>
                    </w:rPr>
                  </w:pPr>
                  <w:r>
                    <w:rPr>
                      <w:rFonts w:hint="eastAsia"/>
                      <w:lang w:val="en-US" w:eastAsia="zh-CN"/>
                    </w:rPr>
                    <w:t>颗粒物、二氧化硫、氮氧化物</w:t>
                  </w:r>
                </w:p>
              </w:tc>
              <w:tc>
                <w:tcPr>
                  <w:tcW w:w="1188" w:type="dxa"/>
                  <w:vMerge w:val="continue"/>
                  <w:tcBorders>
                    <w:tl2br w:val="nil"/>
                    <w:tr2bl w:val="nil"/>
                  </w:tcBorders>
                  <w:vAlign w:val="center"/>
                </w:tcPr>
                <w:p>
                  <w:pPr>
                    <w:pStyle w:val="26"/>
                    <w:rPr>
                      <w:rFonts w:hint="eastAsia"/>
                    </w:rPr>
                  </w:pPr>
                </w:p>
              </w:tc>
              <w:tc>
                <w:tcPr>
                  <w:tcW w:w="3129" w:type="dxa"/>
                  <w:tcBorders>
                    <w:tl2br w:val="nil"/>
                    <w:tr2bl w:val="nil"/>
                  </w:tcBorders>
                  <w:vAlign w:val="center"/>
                </w:tcPr>
                <w:p>
                  <w:pPr>
                    <w:pStyle w:val="26"/>
                    <w:rPr>
                      <w:rFonts w:hint="eastAsia"/>
                    </w:rPr>
                  </w:pPr>
                  <w:r>
                    <w:rPr>
                      <w:rFonts w:hint="eastAsia"/>
                      <w:sz w:val="21"/>
                      <w:szCs w:val="21"/>
                      <w:highlight w:val="none"/>
                    </w:rPr>
                    <w:t>《工业炉窑大气污染物排放标准》（DB41/1066-2020</w:t>
                  </w:r>
                  <w:r>
                    <w:rPr>
                      <w:rFonts w:hint="eastAsia"/>
                      <w:sz w:val="21"/>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0" w:hRule="atLeast"/>
                <w:jc w:val="center"/>
              </w:trPr>
              <w:tc>
                <w:tcPr>
                  <w:tcW w:w="846" w:type="dxa"/>
                  <w:vMerge w:val="continue"/>
                  <w:tcBorders>
                    <w:tl2br w:val="nil"/>
                    <w:tr2bl w:val="nil"/>
                  </w:tcBorders>
                  <w:vAlign w:val="center"/>
                </w:tcPr>
                <w:p>
                  <w:pPr>
                    <w:pStyle w:val="26"/>
                  </w:pPr>
                </w:p>
              </w:tc>
              <w:tc>
                <w:tcPr>
                  <w:tcW w:w="2446" w:type="dxa"/>
                  <w:tcBorders>
                    <w:tl2br w:val="nil"/>
                    <w:tr2bl w:val="nil"/>
                  </w:tcBorders>
                  <w:vAlign w:val="center"/>
                </w:tcPr>
                <w:p>
                  <w:pPr>
                    <w:pStyle w:val="26"/>
                  </w:pPr>
                  <w:r>
                    <w:rPr>
                      <w:rFonts w:hint="eastAsia"/>
                    </w:rPr>
                    <w:t>厂界</w:t>
                  </w:r>
                </w:p>
              </w:tc>
              <w:tc>
                <w:tcPr>
                  <w:tcW w:w="1745" w:type="dxa"/>
                  <w:tcBorders>
                    <w:tl2br w:val="nil"/>
                    <w:tr2bl w:val="nil"/>
                  </w:tcBorders>
                  <w:vAlign w:val="center"/>
                </w:tcPr>
                <w:p>
                  <w:pPr>
                    <w:pStyle w:val="26"/>
                    <w:rPr>
                      <w:rFonts w:hint="default" w:eastAsia="宋体"/>
                      <w:lang w:val="en-US" w:eastAsia="zh-CN"/>
                    </w:rPr>
                  </w:pPr>
                  <w:r>
                    <w:rPr>
                      <w:rFonts w:hint="eastAsia"/>
                      <w:lang w:val="en-US" w:eastAsia="zh-CN"/>
                    </w:rPr>
                    <w:t>颗粒物</w:t>
                  </w:r>
                </w:p>
              </w:tc>
              <w:tc>
                <w:tcPr>
                  <w:tcW w:w="1188" w:type="dxa"/>
                  <w:vMerge w:val="continue"/>
                  <w:tcBorders>
                    <w:tl2br w:val="nil"/>
                    <w:tr2bl w:val="nil"/>
                  </w:tcBorders>
                  <w:vAlign w:val="center"/>
                </w:tcPr>
                <w:p>
                  <w:pPr>
                    <w:pStyle w:val="26"/>
                  </w:pPr>
                </w:p>
              </w:tc>
              <w:tc>
                <w:tcPr>
                  <w:tcW w:w="3129" w:type="dxa"/>
                  <w:tcBorders>
                    <w:tl2br w:val="nil"/>
                    <w:tr2bl w:val="nil"/>
                  </w:tcBorders>
                  <w:vAlign w:val="center"/>
                </w:tcPr>
                <w:p>
                  <w:pPr>
                    <w:pStyle w:val="26"/>
                  </w:pPr>
                  <w:r>
                    <w:rPr>
                      <w:rFonts w:hint="default" w:ascii="Times New Roman" w:hAnsi="Times New Roman" w:eastAsia="宋体"/>
                      <w:sz w:val="21"/>
                      <w:szCs w:val="21"/>
                      <w:highlight w:val="none"/>
                      <w:lang w:val="en-US" w:eastAsia="zh-CN"/>
                    </w:rPr>
                    <w:t>《大气污染物综合排放标准》</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GB16297</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1996</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表2</w:t>
                  </w:r>
                  <w:r>
                    <w:rPr>
                      <w:rFonts w:hint="eastAsia" w:ascii="Times New Roman" w:hAnsi="Times New Roman" w:eastAsia="宋体"/>
                      <w:sz w:val="21"/>
                      <w:szCs w:val="21"/>
                      <w:highlight w:val="none"/>
                      <w:lang w:val="en-US" w:eastAsia="zh-CN"/>
                    </w:rPr>
                    <w:t>二级</w:t>
                  </w:r>
                  <w:r>
                    <w:rPr>
                      <w:rFonts w:hint="default" w:ascii="Times New Roman" w:hAnsi="Times New Roman" w:eastAsia="宋体"/>
                      <w:sz w:val="21"/>
                      <w:szCs w:val="21"/>
                      <w:highlight w:val="none"/>
                      <w:lang w:val="en-US" w:eastAsia="zh-CN"/>
                    </w:rPr>
                    <w:t>标准</w:t>
                  </w:r>
                </w:p>
              </w:tc>
            </w:tr>
          </w:tbl>
          <w:p>
            <w:pPr>
              <w:ind w:firstLine="482"/>
              <w:rPr>
                <w:b/>
                <w:bCs/>
              </w:rPr>
            </w:pPr>
            <w:r>
              <w:rPr>
                <w:rFonts w:hint="eastAsia"/>
                <w:b/>
                <w:bCs/>
              </w:rPr>
              <w:t>1</w:t>
            </w:r>
            <w:r>
              <w:rPr>
                <w:b/>
                <w:bCs/>
              </w:rPr>
              <w:t>.2</w:t>
            </w:r>
            <w:r>
              <w:rPr>
                <w:rFonts w:hint="eastAsia"/>
                <w:b/>
                <w:bCs/>
              </w:rPr>
              <w:t>大气污染物达标排放分析</w:t>
            </w:r>
          </w:p>
          <w:p>
            <w:pPr>
              <w:ind w:firstLine="480"/>
              <w:rPr>
                <w:rFonts w:hint="eastAsia"/>
                <w:b w:val="0"/>
                <w:bCs/>
                <w:u w:val="none"/>
                <w:vertAlign w:val="baseline"/>
                <w:lang w:val="en-US" w:eastAsia="zh-CN"/>
              </w:rPr>
            </w:pPr>
            <w:r>
              <w:rPr>
                <w:rFonts w:hint="eastAsia" w:cs="Times New Roman"/>
                <w:b w:val="0"/>
                <w:bCs/>
                <w:u w:val="none"/>
                <w:lang w:val="en-US" w:eastAsia="zh-CN"/>
              </w:rPr>
              <w:t>本项目</w:t>
            </w:r>
            <w:r>
              <w:rPr>
                <w:rFonts w:hint="eastAsia"/>
                <w:b w:val="0"/>
                <w:bCs/>
                <w:u w:val="none"/>
                <w:lang w:val="en-US" w:eastAsia="zh-CN"/>
              </w:rPr>
              <w:t>调味料生产线工艺粉尘（投料、粉碎、混合搅拌、制粒、干燥、筛分、包装等工序产生的工艺粉尘），经收集引至一套袋式除尘器，处理后经一根15m高排气筒排放（DA001）。有组织颗粒物排放浓度为0.06mg/m</w:t>
            </w:r>
            <w:r>
              <w:rPr>
                <w:rFonts w:hint="eastAsia"/>
                <w:b w:val="0"/>
                <w:bCs/>
                <w:u w:val="none"/>
                <w:vertAlign w:val="superscript"/>
                <w:lang w:val="en-US" w:eastAsia="zh-CN"/>
              </w:rPr>
              <w:t>3</w:t>
            </w:r>
            <w:r>
              <w:rPr>
                <w:rFonts w:hint="eastAsia"/>
                <w:b w:val="0"/>
                <w:bCs/>
                <w:u w:val="none"/>
                <w:vertAlign w:val="baseline"/>
                <w:lang w:val="en-US" w:eastAsia="zh-CN"/>
              </w:rPr>
              <w:t>，排放速率为0.00004kg/h，可满足</w:t>
            </w:r>
            <w:r>
              <w:rPr>
                <w:rFonts w:hint="default"/>
                <w:b w:val="0"/>
                <w:bCs/>
                <w:u w:val="none"/>
                <w:vertAlign w:val="baseline"/>
                <w:lang w:val="en-US" w:eastAsia="zh-CN"/>
              </w:rPr>
              <w:t>《大气污染物综合排放标准》</w:t>
            </w:r>
            <w:r>
              <w:rPr>
                <w:rFonts w:hint="eastAsia"/>
                <w:b w:val="0"/>
                <w:bCs/>
                <w:u w:val="none"/>
                <w:vertAlign w:val="baseline"/>
                <w:lang w:val="en-US" w:eastAsia="zh-CN"/>
              </w:rPr>
              <w:t>（</w:t>
            </w:r>
            <w:r>
              <w:rPr>
                <w:rFonts w:hint="default"/>
                <w:b w:val="0"/>
                <w:bCs/>
                <w:u w:val="none"/>
                <w:vertAlign w:val="baseline"/>
                <w:lang w:val="en-US" w:eastAsia="zh-CN"/>
              </w:rPr>
              <w:t>GB16297</w:t>
            </w:r>
            <w:r>
              <w:rPr>
                <w:rFonts w:hint="eastAsia"/>
                <w:b w:val="0"/>
                <w:bCs/>
                <w:u w:val="none"/>
                <w:vertAlign w:val="baseline"/>
                <w:lang w:val="en-US" w:eastAsia="zh-CN"/>
              </w:rPr>
              <w:t>-</w:t>
            </w:r>
            <w:r>
              <w:rPr>
                <w:rFonts w:hint="default"/>
                <w:b w:val="0"/>
                <w:bCs/>
                <w:u w:val="none"/>
                <w:vertAlign w:val="baseline"/>
                <w:lang w:val="en-US" w:eastAsia="zh-CN"/>
              </w:rPr>
              <w:t>1996</w:t>
            </w:r>
            <w:r>
              <w:rPr>
                <w:rFonts w:hint="eastAsia"/>
                <w:b w:val="0"/>
                <w:bCs/>
                <w:u w:val="none"/>
                <w:vertAlign w:val="baseline"/>
                <w:lang w:val="en-US" w:eastAsia="zh-CN"/>
              </w:rPr>
              <w:t>）</w:t>
            </w:r>
            <w:r>
              <w:rPr>
                <w:rFonts w:hint="default"/>
                <w:b w:val="0"/>
                <w:bCs/>
                <w:u w:val="none"/>
                <w:vertAlign w:val="baseline"/>
                <w:lang w:val="en-US" w:eastAsia="zh-CN"/>
              </w:rPr>
              <w:t>表2</w:t>
            </w:r>
            <w:r>
              <w:rPr>
                <w:rFonts w:hint="eastAsia"/>
                <w:b w:val="0"/>
                <w:bCs/>
                <w:u w:val="none"/>
                <w:vertAlign w:val="baseline"/>
                <w:lang w:val="en-US" w:eastAsia="zh-CN"/>
              </w:rPr>
              <w:t>二级</w:t>
            </w:r>
            <w:r>
              <w:rPr>
                <w:rFonts w:hint="default"/>
                <w:b w:val="0"/>
                <w:bCs/>
                <w:u w:val="none"/>
                <w:vertAlign w:val="baseline"/>
                <w:lang w:val="en-US" w:eastAsia="zh-CN"/>
              </w:rPr>
              <w:t>标准</w:t>
            </w:r>
            <w:r>
              <w:rPr>
                <w:rFonts w:hint="eastAsia"/>
                <w:b w:val="0"/>
                <w:bCs/>
                <w:u w:val="none"/>
                <w:vertAlign w:val="baseline"/>
                <w:lang w:val="en-US" w:eastAsia="zh-CN"/>
              </w:rPr>
              <w:t>要求。</w:t>
            </w:r>
          </w:p>
          <w:p>
            <w:pPr>
              <w:ind w:firstLine="480"/>
              <w:rPr>
                <w:rFonts w:hint="eastAsia"/>
                <w:b w:val="0"/>
                <w:bCs/>
                <w:u w:val="none"/>
                <w:vertAlign w:val="baseline"/>
                <w:lang w:val="en-US" w:eastAsia="zh-CN"/>
              </w:rPr>
            </w:pPr>
            <w:r>
              <w:rPr>
                <w:rFonts w:hint="eastAsia"/>
                <w:b w:val="0"/>
                <w:bCs/>
                <w:u w:val="none"/>
                <w:vertAlign w:val="baseline"/>
                <w:lang w:val="en-US" w:eastAsia="zh-CN"/>
              </w:rPr>
              <w:t>本项目天然气热风炉燃烧废气，经采取低氮燃烧措施，废气经一根15m高排气筒排放（DA002），有组织颗粒物排放浓度为28.3mg/m</w:t>
            </w:r>
            <w:r>
              <w:rPr>
                <w:rFonts w:hint="eastAsia"/>
                <w:b w:val="0"/>
                <w:bCs/>
                <w:u w:val="none"/>
                <w:vertAlign w:val="superscript"/>
                <w:lang w:val="en-US" w:eastAsia="zh-CN"/>
              </w:rPr>
              <w:t>3</w:t>
            </w:r>
            <w:r>
              <w:rPr>
                <w:rFonts w:hint="eastAsia"/>
                <w:b w:val="0"/>
                <w:bCs/>
                <w:u w:val="none"/>
                <w:vertAlign w:val="baseline"/>
                <w:lang w:val="en-US" w:eastAsia="zh-CN"/>
              </w:rPr>
              <w:t>，有组织二氧化硫排放浓度为3.96mg/m</w:t>
            </w:r>
            <w:r>
              <w:rPr>
                <w:rFonts w:hint="eastAsia"/>
                <w:b w:val="0"/>
                <w:bCs/>
                <w:u w:val="none"/>
                <w:vertAlign w:val="superscript"/>
                <w:lang w:val="en-US" w:eastAsia="zh-CN"/>
              </w:rPr>
              <w:t>3</w:t>
            </w:r>
            <w:r>
              <w:rPr>
                <w:rFonts w:hint="eastAsia"/>
                <w:b w:val="0"/>
                <w:bCs/>
                <w:u w:val="none"/>
                <w:vertAlign w:val="baseline"/>
                <w:lang w:val="en-US" w:eastAsia="zh-CN"/>
              </w:rPr>
              <w:t>，有组织氮氧化物排放浓度为30mg/m</w:t>
            </w:r>
            <w:r>
              <w:rPr>
                <w:rFonts w:hint="eastAsia"/>
                <w:b w:val="0"/>
                <w:bCs/>
                <w:u w:val="none"/>
                <w:vertAlign w:val="superscript"/>
                <w:lang w:val="en-US" w:eastAsia="zh-CN"/>
              </w:rPr>
              <w:t>3</w:t>
            </w:r>
            <w:r>
              <w:rPr>
                <w:rFonts w:hint="eastAsia"/>
                <w:b w:val="0"/>
                <w:bCs/>
                <w:u w:val="none"/>
                <w:vertAlign w:val="baseline"/>
                <w:lang w:val="en-US" w:eastAsia="zh-CN"/>
              </w:rPr>
              <w:t>，可满足《工业炉窑大气污染物排放标准》（DB41/1066-2020）要求。</w:t>
            </w:r>
          </w:p>
          <w:p>
            <w:pPr>
              <w:ind w:firstLine="482"/>
              <w:rPr>
                <w:rFonts w:hint="default" w:eastAsia="宋体"/>
                <w:b/>
                <w:bCs/>
                <w:lang w:val="en-US" w:eastAsia="zh-CN"/>
              </w:rPr>
            </w:pPr>
            <w:r>
              <w:rPr>
                <w:rFonts w:hint="eastAsia"/>
                <w:b/>
                <w:bCs/>
              </w:rPr>
              <w:t>1</w:t>
            </w:r>
            <w:r>
              <w:rPr>
                <w:b/>
                <w:bCs/>
              </w:rPr>
              <w:t>.3</w:t>
            </w:r>
            <w:r>
              <w:rPr>
                <w:rFonts w:hint="eastAsia"/>
                <w:b/>
                <w:bCs/>
                <w:lang w:val="en-US" w:eastAsia="zh-CN"/>
              </w:rPr>
              <w:t>非正常工况</w:t>
            </w:r>
          </w:p>
          <w:p>
            <w:pPr>
              <w:ind w:firstLine="480"/>
              <w:rPr>
                <w:rFonts w:hint="eastAsia"/>
                <w:b w:val="0"/>
                <w:bCs/>
                <w:u w:val="none"/>
                <w:vertAlign w:val="baseline"/>
                <w:lang w:val="en-US" w:eastAsia="zh-CN"/>
              </w:rPr>
            </w:pPr>
            <w:r>
              <w:rPr>
                <w:rFonts w:hint="eastAsia"/>
                <w:sz w:val="24"/>
              </w:rPr>
              <w:t>本</w:t>
            </w:r>
            <w:r>
              <w:rPr>
                <w:sz w:val="24"/>
              </w:rPr>
              <w:t>项目</w:t>
            </w:r>
            <w:r>
              <w:rPr>
                <w:rFonts w:hint="eastAsia"/>
                <w:sz w:val="24"/>
              </w:rPr>
              <w:t>非正常工况</w:t>
            </w:r>
            <w:r>
              <w:rPr>
                <w:rFonts w:hint="eastAsia"/>
                <w:sz w:val="24"/>
                <w:lang w:eastAsia="zh-CN"/>
              </w:rPr>
              <w:t>考虑“</w:t>
            </w:r>
            <w:r>
              <w:rPr>
                <w:rFonts w:hint="eastAsia"/>
                <w:sz w:val="24"/>
                <w:lang w:val="en-US" w:eastAsia="zh-CN"/>
              </w:rPr>
              <w:t>袋式除尘器</w:t>
            </w:r>
            <w:r>
              <w:rPr>
                <w:rFonts w:hint="eastAsia"/>
                <w:sz w:val="24"/>
                <w:lang w:eastAsia="zh-CN"/>
              </w:rPr>
              <w:t>”</w:t>
            </w:r>
            <w:r>
              <w:rPr>
                <w:rFonts w:hint="eastAsia"/>
                <w:sz w:val="24"/>
                <w:lang w:val="en-US" w:eastAsia="zh-CN"/>
              </w:rPr>
              <w:t>废气处理设施</w:t>
            </w:r>
            <w:r>
              <w:rPr>
                <w:rFonts w:hint="eastAsia"/>
                <w:sz w:val="24"/>
              </w:rPr>
              <w:t>发生故障</w:t>
            </w:r>
            <w:r>
              <w:rPr>
                <w:sz w:val="24"/>
              </w:rPr>
              <w:t>，</w:t>
            </w:r>
            <w:r>
              <w:rPr>
                <w:rFonts w:hint="eastAsia"/>
                <w:sz w:val="24"/>
                <w:lang w:val="en-US" w:eastAsia="zh-CN"/>
              </w:rPr>
              <w:t>颗粒物</w:t>
            </w:r>
            <w:r>
              <w:rPr>
                <w:sz w:val="24"/>
              </w:rPr>
              <w:t>处理效率为</w:t>
            </w:r>
            <w:r>
              <w:rPr>
                <w:rFonts w:hint="eastAsia"/>
                <w:sz w:val="24"/>
                <w:lang w:val="en-US" w:eastAsia="zh-CN"/>
              </w:rPr>
              <w:t>50</w:t>
            </w:r>
            <w:r>
              <w:rPr>
                <w:sz w:val="24"/>
              </w:rPr>
              <w:t>%的状态进行估算，废气收集系统可以正常运行，</w:t>
            </w:r>
            <w:r>
              <w:rPr>
                <w:rFonts w:hint="eastAsia"/>
                <w:sz w:val="24"/>
              </w:rPr>
              <w:t>处理后</w:t>
            </w:r>
            <w:r>
              <w:rPr>
                <w:sz w:val="24"/>
              </w:rPr>
              <w:t>废气通过排气筒排放</w:t>
            </w:r>
            <w:r>
              <w:rPr>
                <w:rFonts w:hint="eastAsia"/>
                <w:sz w:val="24"/>
              </w:rPr>
              <w:t>。</w:t>
            </w:r>
            <w:r>
              <w:rPr>
                <w:sz w:val="24"/>
              </w:rPr>
              <w:t>废气处理设施出现故障不能正常运行时，应立即停产进行维修，避免对周围环境造成污染。废气非正常工</w:t>
            </w:r>
            <w:r>
              <w:rPr>
                <w:rStyle w:val="58"/>
                <w:rFonts w:hint="default"/>
              </w:rPr>
              <w:t>况源强情况</w:t>
            </w:r>
            <w:r>
              <w:rPr>
                <w:rStyle w:val="58"/>
                <w:rFonts w:hint="default" w:ascii="Times New Roman"/>
              </w:rPr>
              <w:t>见表</w:t>
            </w:r>
            <w:r>
              <w:rPr>
                <w:rStyle w:val="59"/>
                <w:rFonts w:hint="eastAsia" w:ascii="Times New Roman" w:hAnsi="Times New Roman" w:eastAsia="宋体"/>
                <w:lang w:val="en-US" w:eastAsia="zh-CN"/>
              </w:rPr>
              <w:t>4-</w:t>
            </w:r>
            <w:r>
              <w:rPr>
                <w:rStyle w:val="59"/>
                <w:rFonts w:hint="eastAsia"/>
                <w:lang w:val="en-US" w:eastAsia="zh-CN"/>
              </w:rPr>
              <w:t>6</w:t>
            </w:r>
            <w:r>
              <w:rPr>
                <w:rStyle w:val="59"/>
                <w:rFonts w:ascii="Times New Roman"/>
              </w:rPr>
              <w:t>。</w:t>
            </w:r>
          </w:p>
          <w:p>
            <w:pPr>
              <w:adjustRightInd w:val="0"/>
              <w:snapToGrid w:val="0"/>
              <w:spacing w:line="240" w:lineRule="auto"/>
              <w:jc w:val="center"/>
              <w:rPr>
                <w:rFonts w:hint="eastAsia"/>
                <w:b/>
                <w:bCs/>
                <w:sz w:val="24"/>
              </w:rPr>
            </w:pPr>
            <w:r>
              <w:rPr>
                <w:rFonts w:hint="eastAsia"/>
                <w:b/>
                <w:bCs/>
                <w:sz w:val="24"/>
              </w:rPr>
              <w:t>表</w:t>
            </w:r>
            <w:r>
              <w:rPr>
                <w:rFonts w:hint="eastAsia"/>
                <w:b/>
                <w:bCs/>
                <w:sz w:val="24"/>
                <w:lang w:val="en-US" w:eastAsia="zh-CN"/>
              </w:rPr>
              <w:t>4-6</w:t>
            </w:r>
            <w:r>
              <w:rPr>
                <w:b/>
                <w:bCs/>
                <w:sz w:val="24"/>
              </w:rPr>
              <w:t xml:space="preserve">  </w:t>
            </w:r>
            <w:r>
              <w:rPr>
                <w:rFonts w:hint="eastAsia"/>
                <w:b/>
                <w:bCs/>
                <w:sz w:val="24"/>
              </w:rPr>
              <w:t>废气非正常工况排放量核算表</w:t>
            </w:r>
          </w:p>
          <w:tbl>
            <w:tblPr>
              <w:tblStyle w:val="22"/>
              <w:tblW w:w="9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1507"/>
              <w:gridCol w:w="916"/>
              <w:gridCol w:w="1339"/>
              <w:gridCol w:w="1350"/>
              <w:gridCol w:w="1119"/>
              <w:gridCol w:w="992"/>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6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b w:val="0"/>
                      <w:bCs w:val="0"/>
                      <w:sz w:val="21"/>
                      <w:szCs w:val="21"/>
                      <w:vertAlign w:val="baseline"/>
                      <w:lang w:val="en-US" w:eastAsia="zh-CN"/>
                    </w:rPr>
                  </w:pPr>
                  <w:r>
                    <w:rPr>
                      <w:rFonts w:hint="eastAsia"/>
                      <w:b w:val="0"/>
                      <w:bCs w:val="0"/>
                      <w:sz w:val="21"/>
                      <w:szCs w:val="21"/>
                      <w:vertAlign w:val="baseline"/>
                      <w:lang w:val="en-US" w:eastAsia="zh-CN"/>
                    </w:rPr>
                    <w:t>污染源</w:t>
                  </w:r>
                </w:p>
              </w:tc>
              <w:tc>
                <w:tcPr>
                  <w:tcW w:w="150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非正常排放原因</w:t>
                  </w:r>
                </w:p>
              </w:tc>
              <w:tc>
                <w:tcPr>
                  <w:tcW w:w="91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污染物</w:t>
                  </w:r>
                </w:p>
              </w:tc>
              <w:tc>
                <w:tcPr>
                  <w:tcW w:w="133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非正常排放浓度（mg/m</w:t>
                  </w:r>
                  <w:r>
                    <w:rPr>
                      <w:rFonts w:hint="eastAsia"/>
                      <w:sz w:val="21"/>
                      <w:szCs w:val="21"/>
                      <w:vertAlign w:val="superscript"/>
                    </w:rPr>
                    <w:t>3</w:t>
                  </w:r>
                  <w:r>
                    <w:rPr>
                      <w:rFonts w:hint="eastAsia"/>
                      <w:sz w:val="21"/>
                      <w:szCs w:val="21"/>
                    </w:rPr>
                    <w:t>）</w:t>
                  </w:r>
                </w:p>
              </w:tc>
              <w:tc>
                <w:tcPr>
                  <w:tcW w:w="13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非正常排放速率（</w:t>
                  </w:r>
                  <w:r>
                    <w:rPr>
                      <w:bCs/>
                      <w:sz w:val="21"/>
                      <w:szCs w:val="21"/>
                    </w:rPr>
                    <w:t>kg/h</w:t>
                  </w:r>
                  <w:r>
                    <w:rPr>
                      <w:rFonts w:hint="eastAsia"/>
                      <w:sz w:val="21"/>
                      <w:szCs w:val="21"/>
                    </w:rPr>
                    <w:t>）</w:t>
                  </w:r>
                </w:p>
              </w:tc>
              <w:tc>
                <w:tcPr>
                  <w:tcW w:w="11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单次持续时间/h</w:t>
                  </w:r>
                </w:p>
              </w:tc>
              <w:tc>
                <w:tcPr>
                  <w:tcW w:w="99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年发生频次/次</w:t>
                  </w:r>
                </w:p>
              </w:tc>
              <w:tc>
                <w:tcPr>
                  <w:tcW w:w="128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应对措施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6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sz w:val="21"/>
                      <w:szCs w:val="21"/>
                      <w:vertAlign w:val="baseline"/>
                      <w:lang w:val="en-US" w:eastAsia="zh-CN"/>
                    </w:rPr>
                  </w:pPr>
                  <w:r>
                    <w:rPr>
                      <w:rFonts w:hint="eastAsia"/>
                      <w:b w:val="0"/>
                      <w:bCs w:val="0"/>
                      <w:sz w:val="21"/>
                      <w:szCs w:val="21"/>
                      <w:vertAlign w:val="baseline"/>
                      <w:lang w:val="en-US" w:eastAsia="zh-CN"/>
                    </w:rPr>
                    <w:t>DA001</w:t>
                  </w:r>
                </w:p>
              </w:tc>
              <w:tc>
                <w:tcPr>
                  <w:tcW w:w="150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ascii="Times New Roman" w:hAnsi="Times New Roman" w:eastAsia="宋体" w:cs="Times New Roman"/>
                      <w:sz w:val="21"/>
                      <w:szCs w:val="21"/>
                      <w:lang w:val="en-US" w:eastAsia="zh-CN"/>
                    </w:rPr>
                    <w:t>废气处理设施发生故障，颗粒物处理效率为50%</w:t>
                  </w:r>
                </w:p>
              </w:tc>
              <w:tc>
                <w:tcPr>
                  <w:tcW w:w="91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lang w:eastAsia="zh-CN"/>
                    </w:rPr>
                    <w:t>颗粒物</w:t>
                  </w:r>
                </w:p>
              </w:tc>
              <w:tc>
                <w:tcPr>
                  <w:tcW w:w="133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sz w:val="21"/>
                      <w:szCs w:val="21"/>
                      <w:vertAlign w:val="baseline"/>
                      <w:lang w:val="en-US" w:eastAsia="zh-CN"/>
                    </w:rPr>
                  </w:pPr>
                  <w:r>
                    <w:rPr>
                      <w:rFonts w:hint="eastAsia"/>
                      <w:b w:val="0"/>
                      <w:bCs w:val="0"/>
                      <w:sz w:val="21"/>
                      <w:szCs w:val="21"/>
                      <w:vertAlign w:val="baseline"/>
                      <w:lang w:val="en-US" w:eastAsia="zh-CN"/>
                    </w:rPr>
                    <w:t>2.905</w:t>
                  </w:r>
                </w:p>
              </w:tc>
              <w:tc>
                <w:tcPr>
                  <w:tcW w:w="13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sz w:val="21"/>
                      <w:szCs w:val="21"/>
                      <w:vertAlign w:val="baseline"/>
                      <w:lang w:val="en-US" w:eastAsia="zh-CN"/>
                    </w:rPr>
                  </w:pPr>
                  <w:r>
                    <w:rPr>
                      <w:rFonts w:hint="eastAsia"/>
                      <w:b w:val="0"/>
                      <w:bCs w:val="0"/>
                      <w:sz w:val="21"/>
                      <w:szCs w:val="21"/>
                      <w:vertAlign w:val="baseline"/>
                      <w:lang w:val="en-US" w:eastAsia="zh-CN"/>
                    </w:rPr>
                    <w:t>0.0029</w:t>
                  </w:r>
                </w:p>
              </w:tc>
              <w:tc>
                <w:tcPr>
                  <w:tcW w:w="111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b w:val="0"/>
                      <w:bCs w:val="0"/>
                      <w:sz w:val="21"/>
                      <w:szCs w:val="21"/>
                      <w:vertAlign w:val="baseline"/>
                      <w:lang w:val="en-US" w:eastAsia="zh-CN"/>
                    </w:rPr>
                  </w:pPr>
                  <w:r>
                    <w:rPr>
                      <w:rFonts w:hint="eastAsia"/>
                      <w:b w:val="0"/>
                      <w:bCs w:val="0"/>
                      <w:sz w:val="21"/>
                      <w:szCs w:val="21"/>
                      <w:vertAlign w:val="baseline"/>
                      <w:lang w:val="en-US" w:eastAsia="zh-CN"/>
                    </w:rPr>
                    <w:t>0.5</w:t>
                  </w:r>
                </w:p>
              </w:tc>
              <w:tc>
                <w:tcPr>
                  <w:tcW w:w="99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宋体"/>
                      <w:b w:val="0"/>
                      <w:bCs w:val="0"/>
                      <w:sz w:val="21"/>
                      <w:szCs w:val="21"/>
                      <w:vertAlign w:val="baseline"/>
                      <w:lang w:val="en-US" w:eastAsia="zh-CN"/>
                    </w:rPr>
                  </w:pPr>
                  <w:r>
                    <w:rPr>
                      <w:rFonts w:hint="eastAsia"/>
                      <w:b w:val="0"/>
                      <w:bCs w:val="0"/>
                      <w:sz w:val="21"/>
                      <w:szCs w:val="21"/>
                      <w:vertAlign w:val="baseline"/>
                      <w:lang w:val="en-US" w:eastAsia="zh-CN"/>
                    </w:rPr>
                    <w:t>1</w:t>
                  </w:r>
                </w:p>
              </w:tc>
              <w:tc>
                <w:tcPr>
                  <w:tcW w:w="128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b w:val="0"/>
                      <w:bCs w:val="0"/>
                      <w:sz w:val="21"/>
                      <w:szCs w:val="21"/>
                      <w:vertAlign w:val="baseline"/>
                    </w:rPr>
                  </w:pPr>
                  <w:r>
                    <w:rPr>
                      <w:rFonts w:hint="eastAsia"/>
                      <w:sz w:val="21"/>
                      <w:szCs w:val="21"/>
                    </w:rPr>
                    <w:t>立即停止生产，排除故障，及时维护废气处理设施</w:t>
                  </w:r>
                </w:p>
              </w:tc>
            </w:tr>
          </w:tbl>
          <w:p>
            <w:pPr>
              <w:ind w:firstLine="482"/>
              <w:rPr>
                <w:b/>
                <w:bCs/>
              </w:rPr>
            </w:pPr>
            <w:r>
              <w:rPr>
                <w:rFonts w:hint="eastAsia"/>
                <w:b/>
                <w:bCs/>
              </w:rPr>
              <w:t>1</w:t>
            </w:r>
            <w:r>
              <w:rPr>
                <w:b/>
                <w:bCs/>
              </w:rPr>
              <w:t>.</w:t>
            </w:r>
            <w:r>
              <w:rPr>
                <w:rFonts w:hint="eastAsia"/>
                <w:b/>
                <w:bCs/>
                <w:lang w:val="en-US" w:eastAsia="zh-CN"/>
              </w:rPr>
              <w:t>4措施可行性</w:t>
            </w:r>
            <w:r>
              <w:rPr>
                <w:rFonts w:hint="eastAsia"/>
                <w:b/>
                <w:bCs/>
              </w:rPr>
              <w:t>分析</w:t>
            </w:r>
          </w:p>
          <w:p>
            <w:pPr>
              <w:ind w:firstLine="480"/>
              <w:rPr>
                <w:rFonts w:hint="default" w:eastAsia="宋体"/>
                <w:b w:val="0"/>
                <w:bCs/>
                <w:u w:val="none"/>
                <w:vertAlign w:val="baseline"/>
                <w:lang w:val="en-US" w:eastAsia="zh-CN"/>
              </w:rPr>
            </w:pPr>
            <w:r>
              <w:rPr>
                <w:rFonts w:hint="eastAsia"/>
              </w:rPr>
              <w:t>根据《排污许可证申请与核发技术规范 食品制造工业—调味品、发酵制品制造工业》（HJ1030.</w:t>
            </w:r>
            <w:r>
              <w:rPr>
                <w:rFonts w:hint="eastAsia"/>
                <w:lang w:val="en-US" w:eastAsia="zh-CN"/>
              </w:rPr>
              <w:t>2-</w:t>
            </w:r>
            <w:r>
              <w:rPr>
                <w:rFonts w:hint="eastAsia"/>
              </w:rPr>
              <w:t>2019）</w:t>
            </w:r>
            <w:r>
              <w:rPr>
                <w:rFonts w:hint="eastAsia"/>
                <w:lang w:val="en-US" w:eastAsia="zh-CN"/>
              </w:rPr>
              <w:t>中表7调味品、发酵制品制造工业排污单位废气污染防治可行技术参考表，本项目</w:t>
            </w:r>
            <w:r>
              <w:rPr>
                <w:rFonts w:hint="eastAsia"/>
                <w:b w:val="0"/>
                <w:bCs/>
                <w:u w:val="none"/>
                <w:lang w:val="en-US" w:eastAsia="zh-CN"/>
              </w:rPr>
              <w:t>调味料生产线工艺粉尘采取的袋式除尘器处理措施属于可行技术措施。</w:t>
            </w:r>
          </w:p>
          <w:p>
            <w:pPr>
              <w:ind w:firstLine="482"/>
              <w:rPr>
                <w:b/>
                <w:bCs/>
              </w:rPr>
            </w:pPr>
            <w:r>
              <w:rPr>
                <w:rFonts w:hint="eastAsia"/>
                <w:b/>
                <w:bCs/>
              </w:rPr>
              <w:t>1</w:t>
            </w:r>
            <w:r>
              <w:rPr>
                <w:b/>
                <w:bCs/>
              </w:rPr>
              <w:t>.</w:t>
            </w:r>
            <w:r>
              <w:rPr>
                <w:rFonts w:hint="eastAsia"/>
                <w:b/>
                <w:bCs/>
                <w:lang w:val="en-US" w:eastAsia="zh-CN"/>
              </w:rPr>
              <w:t>5</w:t>
            </w:r>
            <w:r>
              <w:rPr>
                <w:rFonts w:hint="eastAsia"/>
                <w:b/>
                <w:bCs/>
              </w:rPr>
              <w:t>大气环境影响分析</w:t>
            </w:r>
          </w:p>
          <w:p>
            <w:pPr>
              <w:ind w:firstLine="480"/>
            </w:pPr>
            <w:r>
              <w:rPr>
                <w:rFonts w:hint="eastAsia" w:ascii="Times New Roman" w:hAnsi="Times New Roman" w:eastAsia="宋体" w:cs="Times New Roman"/>
                <w:kern w:val="0"/>
                <w:sz w:val="24"/>
                <w:szCs w:val="20"/>
                <w:lang w:val="en-US" w:eastAsia="zh-CN" w:bidi="ar-SA"/>
              </w:rPr>
              <w:t>项目所在区域为大气环境质量不达标区，距离项目最近的敏感点为项目</w:t>
            </w:r>
            <w:r>
              <w:rPr>
                <w:rFonts w:hint="eastAsia" w:cs="Times New Roman"/>
                <w:kern w:val="0"/>
                <w:sz w:val="24"/>
                <w:szCs w:val="20"/>
                <w:lang w:val="en-US" w:eastAsia="zh-CN" w:bidi="ar-SA"/>
              </w:rPr>
              <w:t>北</w:t>
            </w:r>
            <w:r>
              <w:rPr>
                <w:rFonts w:hint="eastAsia" w:ascii="Times New Roman" w:hAnsi="Times New Roman" w:eastAsia="宋体" w:cs="Times New Roman"/>
                <w:kern w:val="0"/>
                <w:sz w:val="24"/>
                <w:szCs w:val="20"/>
                <w:lang w:val="en-US" w:eastAsia="zh-CN" w:bidi="ar-SA"/>
              </w:rPr>
              <w:t>侧约</w:t>
            </w:r>
            <w:r>
              <w:rPr>
                <w:rFonts w:hint="eastAsia" w:cs="Times New Roman"/>
                <w:kern w:val="0"/>
                <w:sz w:val="24"/>
                <w:szCs w:val="20"/>
                <w:lang w:val="en-US" w:eastAsia="zh-CN" w:bidi="ar-SA"/>
              </w:rPr>
              <w:t>15</w:t>
            </w:r>
            <w:r>
              <w:rPr>
                <w:rFonts w:hint="eastAsia" w:ascii="Times New Roman" w:hAnsi="Times New Roman" w:eastAsia="宋体" w:cs="Times New Roman"/>
                <w:kern w:val="0"/>
                <w:sz w:val="24"/>
                <w:szCs w:val="20"/>
                <w:lang w:val="en-US" w:eastAsia="zh-CN" w:bidi="ar-SA"/>
              </w:rPr>
              <w:t>0m的</w:t>
            </w:r>
            <w:r>
              <w:rPr>
                <w:rFonts w:hint="eastAsia" w:cs="Times New Roman"/>
                <w:kern w:val="0"/>
                <w:sz w:val="24"/>
                <w:szCs w:val="20"/>
                <w:lang w:val="en-US" w:eastAsia="zh-CN" w:bidi="ar-SA"/>
              </w:rPr>
              <w:t>福林庄存</w:t>
            </w:r>
            <w:r>
              <w:rPr>
                <w:rFonts w:hint="eastAsia" w:ascii="Times New Roman" w:hAnsi="Times New Roman" w:eastAsia="宋体" w:cs="Times New Roman"/>
                <w:kern w:val="0"/>
                <w:sz w:val="24"/>
                <w:szCs w:val="20"/>
                <w:lang w:val="en-US" w:eastAsia="zh-CN" w:bidi="ar-SA"/>
              </w:rPr>
              <w:t>。项目运营期产生的废气经收集处理后，</w:t>
            </w:r>
            <w:r>
              <w:rPr>
                <w:rFonts w:hint="eastAsia"/>
                <w:b w:val="0"/>
                <w:bCs/>
                <w:u w:val="none"/>
                <w:lang w:val="en-US" w:eastAsia="zh-CN"/>
              </w:rPr>
              <w:t>调味料生产线工艺</w:t>
            </w:r>
            <w:r>
              <w:rPr>
                <w:rFonts w:hint="default"/>
                <w:b w:val="0"/>
                <w:bCs w:val="0"/>
                <w:kern w:val="2"/>
                <w:sz w:val="24"/>
                <w:szCs w:val="24"/>
                <w:highlight w:val="none"/>
                <w:u w:val="none"/>
                <w:lang w:val="en-US" w:eastAsia="zh-CN" w:bidi="ar-SA"/>
              </w:rPr>
              <w:t>颗粒物</w:t>
            </w:r>
            <w:r>
              <w:rPr>
                <w:rFonts w:hint="eastAsia"/>
                <w:b w:val="0"/>
                <w:bCs w:val="0"/>
                <w:kern w:val="2"/>
                <w:sz w:val="24"/>
                <w:szCs w:val="24"/>
                <w:highlight w:val="none"/>
                <w:u w:val="none"/>
                <w:lang w:val="en-US" w:eastAsia="zh-CN" w:bidi="ar-SA"/>
              </w:rPr>
              <w:t>排放浓度</w:t>
            </w:r>
            <w:r>
              <w:rPr>
                <w:rFonts w:hint="eastAsia" w:hAnsi="宋体"/>
                <w:bCs/>
                <w:iCs/>
                <w:color w:val="auto"/>
                <w:sz w:val="24"/>
                <w:szCs w:val="24"/>
                <w:lang w:val="en-US" w:eastAsia="zh-CN"/>
              </w:rPr>
              <w:t>满足</w:t>
            </w:r>
            <w:r>
              <w:rPr>
                <w:rFonts w:hint="default"/>
                <w:b w:val="0"/>
                <w:bCs/>
                <w:u w:val="none"/>
                <w:vertAlign w:val="baseline"/>
                <w:lang w:val="en-US" w:eastAsia="zh-CN"/>
              </w:rPr>
              <w:t>《大气污染物综合排放标准》</w:t>
            </w:r>
            <w:r>
              <w:rPr>
                <w:rFonts w:hint="eastAsia"/>
                <w:b w:val="0"/>
                <w:bCs/>
                <w:u w:val="none"/>
                <w:vertAlign w:val="baseline"/>
                <w:lang w:val="en-US" w:eastAsia="zh-CN"/>
              </w:rPr>
              <w:t>（</w:t>
            </w:r>
            <w:r>
              <w:rPr>
                <w:rFonts w:hint="default"/>
                <w:b w:val="0"/>
                <w:bCs/>
                <w:u w:val="none"/>
                <w:vertAlign w:val="baseline"/>
                <w:lang w:val="en-US" w:eastAsia="zh-CN"/>
              </w:rPr>
              <w:t>GB16297</w:t>
            </w:r>
            <w:r>
              <w:rPr>
                <w:rFonts w:hint="eastAsia"/>
                <w:b w:val="0"/>
                <w:bCs/>
                <w:u w:val="none"/>
                <w:vertAlign w:val="baseline"/>
                <w:lang w:val="en-US" w:eastAsia="zh-CN"/>
              </w:rPr>
              <w:t>-</w:t>
            </w:r>
            <w:r>
              <w:rPr>
                <w:rFonts w:hint="default"/>
                <w:b w:val="0"/>
                <w:bCs/>
                <w:u w:val="none"/>
                <w:vertAlign w:val="baseline"/>
                <w:lang w:val="en-US" w:eastAsia="zh-CN"/>
              </w:rPr>
              <w:t>1996</w:t>
            </w:r>
            <w:r>
              <w:rPr>
                <w:rFonts w:hint="eastAsia"/>
                <w:b w:val="0"/>
                <w:bCs/>
                <w:u w:val="none"/>
                <w:vertAlign w:val="baseline"/>
                <w:lang w:val="en-US" w:eastAsia="zh-CN"/>
              </w:rPr>
              <w:t>）</w:t>
            </w:r>
            <w:r>
              <w:rPr>
                <w:rFonts w:hint="default"/>
                <w:b w:val="0"/>
                <w:bCs/>
                <w:u w:val="none"/>
                <w:vertAlign w:val="baseline"/>
                <w:lang w:val="en-US" w:eastAsia="zh-CN"/>
              </w:rPr>
              <w:t>表2</w:t>
            </w:r>
            <w:r>
              <w:rPr>
                <w:rFonts w:hint="eastAsia"/>
                <w:b w:val="0"/>
                <w:bCs/>
                <w:u w:val="none"/>
                <w:vertAlign w:val="baseline"/>
                <w:lang w:val="en-US" w:eastAsia="zh-CN"/>
              </w:rPr>
              <w:t>二级</w:t>
            </w:r>
            <w:r>
              <w:rPr>
                <w:rFonts w:hint="default"/>
                <w:b w:val="0"/>
                <w:bCs/>
                <w:u w:val="none"/>
                <w:vertAlign w:val="baseline"/>
                <w:lang w:val="en-US" w:eastAsia="zh-CN"/>
              </w:rPr>
              <w:t>标准</w:t>
            </w:r>
            <w:r>
              <w:rPr>
                <w:rFonts w:hint="eastAsia"/>
                <w:b w:val="0"/>
                <w:bCs/>
                <w:u w:val="none"/>
                <w:vertAlign w:val="baseline"/>
                <w:lang w:val="en-US" w:eastAsia="zh-CN"/>
              </w:rPr>
              <w:t>要求。天然气热风炉燃烧废气满足《工业炉窑大气污染物排放标准》（DB41/1066-2020）要求。</w:t>
            </w:r>
            <w:r>
              <w:rPr>
                <w:rFonts w:hint="eastAsia" w:ascii="Times New Roman" w:hAnsi="Times New Roman" w:eastAsia="宋体" w:cs="Times New Roman"/>
                <w:kern w:val="0"/>
                <w:sz w:val="24"/>
                <w:szCs w:val="20"/>
                <w:lang w:val="en-US" w:eastAsia="zh-CN" w:bidi="ar-SA"/>
              </w:rPr>
              <w:t>对周边环境影响较小。</w:t>
            </w:r>
          </w:p>
          <w:p>
            <w:pPr>
              <w:ind w:firstLine="482"/>
              <w:rPr>
                <w:b/>
                <w:bCs/>
              </w:rPr>
            </w:pPr>
            <w:r>
              <w:rPr>
                <w:rFonts w:hint="eastAsia"/>
                <w:b/>
                <w:bCs/>
              </w:rPr>
              <w:t>2、废水</w:t>
            </w:r>
          </w:p>
          <w:p>
            <w:pPr>
              <w:pStyle w:val="51"/>
              <w:ind w:firstLine="480"/>
              <w:rPr>
                <w:rFonts w:hint="default" w:ascii="Times New Roman" w:hAnsi="Times New Roman" w:cs="Times New Roman"/>
                <w:color w:val="000000"/>
              </w:rPr>
            </w:pPr>
            <w:r>
              <w:rPr>
                <w:rFonts w:hint="default" w:ascii="Times New Roman" w:hAnsi="Times New Roman" w:cs="Times New Roman"/>
                <w:color w:val="000000"/>
                <w:sz w:val="24"/>
                <w:lang w:val="en-US" w:eastAsia="zh-CN"/>
              </w:rPr>
              <w:t>本项目</w:t>
            </w:r>
            <w:r>
              <w:rPr>
                <w:rFonts w:hint="eastAsia" w:ascii="Times New Roman" w:hAnsi="Times New Roman" w:cs="Times New Roman"/>
                <w:color w:val="000000"/>
                <w:sz w:val="24"/>
                <w:lang w:val="en-US" w:eastAsia="zh-CN"/>
              </w:rPr>
              <w:t>废水主要为生活污水</w:t>
            </w:r>
            <w:r>
              <w:rPr>
                <w:rFonts w:hint="default" w:ascii="Times New Roman" w:hAnsi="Times New Roman" w:cs="Times New Roman"/>
                <w:color w:val="000000"/>
                <w:sz w:val="24"/>
                <w:lang w:val="en-US" w:eastAsia="zh-CN"/>
              </w:rPr>
              <w:t>，</w:t>
            </w:r>
            <w:r>
              <w:rPr>
                <w:rFonts w:hint="default" w:ascii="Times New Roman" w:hAnsi="Times New Roman" w:cs="Times New Roman"/>
                <w:color w:val="000000"/>
                <w:sz w:val="24"/>
              </w:rPr>
              <w:t>项目生活污水产生量为</w:t>
            </w:r>
            <w:r>
              <w:rPr>
                <w:rFonts w:hint="default" w:ascii="Times New Roman" w:hAnsi="Times New Roman" w:cs="Times New Roman"/>
                <w:color w:val="000000"/>
                <w:sz w:val="24"/>
                <w:lang w:val="en-US" w:eastAsia="zh-CN"/>
              </w:rPr>
              <w:t>0.</w:t>
            </w:r>
            <w:r>
              <w:rPr>
                <w:rFonts w:hint="eastAsia" w:ascii="Times New Roman" w:hAnsi="Times New Roman" w:cs="Times New Roman"/>
                <w:color w:val="000000"/>
                <w:sz w:val="24"/>
                <w:lang w:val="en-US" w:eastAsia="zh-CN"/>
              </w:rPr>
              <w:t>24</w:t>
            </w:r>
            <w:r>
              <w:rPr>
                <w:rFonts w:hint="default" w:ascii="Times New Roman" w:hAnsi="Times New Roman" w:cs="Times New Roman"/>
                <w:color w:val="000000"/>
                <w:sz w:val="24"/>
                <w:lang w:val="en-GB"/>
              </w:rPr>
              <w:t>m</w:t>
            </w:r>
            <w:r>
              <w:rPr>
                <w:rFonts w:hint="default" w:ascii="Times New Roman" w:hAnsi="Times New Roman" w:cs="Times New Roman"/>
                <w:color w:val="000000"/>
                <w:sz w:val="24"/>
                <w:vertAlign w:val="superscript"/>
                <w:lang w:val="en-GB"/>
              </w:rPr>
              <w:t>3</w:t>
            </w:r>
            <w:r>
              <w:rPr>
                <w:rFonts w:hint="default" w:ascii="Times New Roman" w:hAnsi="Times New Roman" w:cs="Times New Roman"/>
                <w:color w:val="000000"/>
                <w:sz w:val="24"/>
                <w:lang w:val="en-GB"/>
              </w:rPr>
              <w:t>/d，</w:t>
            </w:r>
            <w:r>
              <w:rPr>
                <w:rFonts w:hint="eastAsia" w:ascii="Times New Roman" w:hAnsi="Times New Roman" w:cs="Times New Roman"/>
                <w:color w:val="000000"/>
                <w:sz w:val="24"/>
                <w:lang w:val="en-US" w:eastAsia="zh-CN"/>
              </w:rPr>
              <w:t>72</w:t>
            </w:r>
            <w:r>
              <w:rPr>
                <w:rFonts w:hint="default" w:ascii="Times New Roman" w:hAnsi="Times New Roman" w:cs="Times New Roman"/>
                <w:color w:val="000000"/>
                <w:sz w:val="24"/>
              </w:rPr>
              <w:t>m</w:t>
            </w:r>
            <w:r>
              <w:rPr>
                <w:rFonts w:hint="default" w:ascii="Times New Roman" w:hAnsi="Times New Roman" w:cs="Times New Roman"/>
                <w:color w:val="000000"/>
                <w:sz w:val="24"/>
                <w:vertAlign w:val="superscript"/>
              </w:rPr>
              <w:t>3</w:t>
            </w:r>
            <w:r>
              <w:rPr>
                <w:rFonts w:hint="default" w:ascii="Times New Roman" w:hAnsi="Times New Roman" w:cs="Times New Roman"/>
                <w:color w:val="000000"/>
                <w:sz w:val="24"/>
              </w:rPr>
              <w:t>/a。</w:t>
            </w:r>
            <w:r>
              <w:rPr>
                <w:rFonts w:hint="default" w:ascii="Times New Roman" w:hAnsi="Times New Roman" w:cs="Times New Roman"/>
                <w:b w:val="0"/>
                <w:bCs w:val="0"/>
                <w:sz w:val="24"/>
                <w:szCs w:val="24"/>
                <w:u w:val="none"/>
              </w:rPr>
              <w:t>废水中各污染物浓度分别为COD 300mg/L、</w:t>
            </w:r>
            <w:r>
              <w:rPr>
                <w:rFonts w:hint="default" w:ascii="Times New Roman" w:hAnsi="Times New Roman" w:cs="Times New Roman"/>
                <w:b w:val="0"/>
                <w:bCs w:val="0"/>
                <w:sz w:val="24"/>
                <w:szCs w:val="24"/>
                <w:u w:val="none"/>
                <w:lang w:val="en-US" w:eastAsia="zh-CN"/>
              </w:rPr>
              <w:t>BOD</w:t>
            </w:r>
            <w:r>
              <w:rPr>
                <w:rFonts w:hint="default" w:ascii="Times New Roman" w:hAnsi="Times New Roman" w:cs="Times New Roman"/>
                <w:b w:val="0"/>
                <w:bCs w:val="0"/>
                <w:sz w:val="24"/>
                <w:szCs w:val="24"/>
                <w:u w:val="none"/>
                <w:vertAlign w:val="subscript"/>
                <w:lang w:val="en-US" w:eastAsia="zh-CN"/>
              </w:rPr>
              <w:t>5</w:t>
            </w:r>
            <w:r>
              <w:rPr>
                <w:rFonts w:hint="default" w:ascii="Times New Roman" w:hAnsi="Times New Roman" w:cs="Times New Roman"/>
                <w:b w:val="0"/>
                <w:bCs w:val="0"/>
                <w:sz w:val="24"/>
                <w:szCs w:val="24"/>
                <w:u w:val="none"/>
                <w:lang w:val="en-US" w:eastAsia="zh-CN"/>
              </w:rPr>
              <w:t xml:space="preserve"> 25</w:t>
            </w:r>
            <w:r>
              <w:rPr>
                <w:rFonts w:hint="default" w:ascii="Times New Roman" w:hAnsi="Times New Roman" w:cs="Times New Roman"/>
                <w:b w:val="0"/>
                <w:bCs w:val="0"/>
                <w:sz w:val="24"/>
                <w:szCs w:val="24"/>
                <w:u w:val="none"/>
              </w:rPr>
              <w:t>0mg/L</w:t>
            </w:r>
            <w:r>
              <w:rPr>
                <w:rFonts w:hint="default" w:ascii="Times New Roman" w:hAnsi="Times New Roman" w:cs="Times New Roman"/>
                <w:b w:val="0"/>
                <w:bCs w:val="0"/>
                <w:sz w:val="24"/>
                <w:szCs w:val="24"/>
                <w:u w:val="none"/>
                <w:lang w:eastAsia="zh-CN"/>
              </w:rPr>
              <w:t>、</w:t>
            </w:r>
            <w:r>
              <w:rPr>
                <w:rFonts w:hint="default" w:ascii="Times New Roman" w:hAnsi="Times New Roman" w:cs="Times New Roman"/>
                <w:b w:val="0"/>
                <w:bCs w:val="0"/>
                <w:sz w:val="24"/>
                <w:szCs w:val="24"/>
                <w:u w:val="none"/>
              </w:rPr>
              <w:t>SS 250mg/L、NH</w:t>
            </w:r>
            <w:r>
              <w:rPr>
                <w:rFonts w:hint="default" w:ascii="Times New Roman" w:hAnsi="Times New Roman" w:cs="Times New Roman"/>
                <w:b w:val="0"/>
                <w:bCs w:val="0"/>
                <w:sz w:val="24"/>
                <w:szCs w:val="24"/>
                <w:u w:val="none"/>
                <w:vertAlign w:val="subscript"/>
              </w:rPr>
              <w:t>3</w:t>
            </w:r>
            <w:r>
              <w:rPr>
                <w:rFonts w:hint="default" w:ascii="Times New Roman" w:hAnsi="Times New Roman" w:cs="Times New Roman"/>
                <w:b w:val="0"/>
                <w:bCs w:val="0"/>
                <w:sz w:val="24"/>
                <w:szCs w:val="24"/>
                <w:u w:val="none"/>
              </w:rPr>
              <w:t>-N 25mg/L。</w:t>
            </w:r>
            <w:r>
              <w:rPr>
                <w:rFonts w:hint="default" w:ascii="Times New Roman" w:hAnsi="Times New Roman" w:cs="Times New Roman"/>
                <w:color w:val="000000"/>
                <w:sz w:val="24"/>
              </w:rPr>
              <w:t>生活污水经化粪池</w:t>
            </w:r>
            <w:r>
              <w:rPr>
                <w:rFonts w:hint="default" w:ascii="Times New Roman" w:hAnsi="Times New Roman" w:cs="Times New Roman"/>
                <w:color w:val="000000"/>
                <w:sz w:val="24"/>
                <w:lang w:eastAsia="zh-CN"/>
              </w:rPr>
              <w:t>处理后，定期清掏肥田。</w:t>
            </w:r>
            <w:r>
              <w:rPr>
                <w:b w:val="0"/>
                <w:bCs w:val="0"/>
                <w:color w:val="000000"/>
                <w:sz w:val="24"/>
                <w:szCs w:val="24"/>
                <w:u w:val="none"/>
              </w:rPr>
              <w:t>不会对项目周围地表水环境产生影响</w:t>
            </w:r>
            <w:r>
              <w:rPr>
                <w:rFonts w:hint="default" w:ascii="Times New Roman" w:hAnsi="Times New Roman" w:eastAsia="宋体" w:cs="Times New Roman"/>
                <w:b w:val="0"/>
                <w:bCs w:val="0"/>
                <w:color w:val="auto"/>
                <w:sz w:val="24"/>
                <w:szCs w:val="24"/>
                <w:u w:val="none"/>
                <w:lang w:eastAsia="zh-CN"/>
              </w:rPr>
              <w:t>。</w:t>
            </w:r>
          </w:p>
          <w:p>
            <w:pPr>
              <w:ind w:firstLine="482"/>
              <w:rPr>
                <w:b/>
                <w:bCs/>
              </w:rPr>
            </w:pPr>
            <w:r>
              <w:rPr>
                <w:b/>
                <w:bCs/>
              </w:rPr>
              <w:t>3</w:t>
            </w:r>
            <w:r>
              <w:rPr>
                <w:rFonts w:hint="eastAsia"/>
                <w:b/>
                <w:bCs/>
              </w:rPr>
              <w:t>、噪声</w:t>
            </w:r>
          </w:p>
          <w:p>
            <w:pPr>
              <w:ind w:firstLine="480"/>
              <w:rPr>
                <w:rFonts w:hint="default" w:eastAsia="宋体"/>
                <w:lang w:val="en-US" w:eastAsia="zh-CN"/>
              </w:rPr>
            </w:pPr>
            <w:r>
              <w:rPr>
                <w:rFonts w:hint="eastAsia"/>
                <w:b/>
                <w:bCs/>
                <w:lang w:val="en-US" w:eastAsia="zh-CN"/>
              </w:rPr>
              <w:t>3.1噪声源强</w:t>
            </w:r>
          </w:p>
          <w:p>
            <w:pPr>
              <w:ind w:firstLine="480"/>
            </w:pPr>
            <w:r>
              <w:rPr>
                <w:rFonts w:hint="eastAsia"/>
              </w:rPr>
              <w:t>项目运营过程中噪声主要是</w:t>
            </w:r>
            <w:r>
              <w:rPr>
                <w:rFonts w:hint="eastAsia"/>
                <w:lang w:val="en-US" w:eastAsia="zh-CN"/>
              </w:rPr>
              <w:t>粉碎机、混合机、制粒机、直线振动筛、颗粒包装机、粉剂包装机</w:t>
            </w:r>
            <w:r>
              <w:rPr>
                <w:rFonts w:hint="eastAsia"/>
              </w:rPr>
              <w:t>等设备运行过程产生</w:t>
            </w:r>
            <w:r>
              <w:rPr>
                <w:rFonts w:hint="eastAsia"/>
                <w:lang w:val="en-US" w:eastAsia="zh-CN"/>
              </w:rPr>
              <w:t>的</w:t>
            </w:r>
            <w:r>
              <w:rPr>
                <w:rFonts w:hint="eastAsia"/>
              </w:rPr>
              <w:t>噪声，</w:t>
            </w:r>
            <w:r>
              <w:rPr>
                <w:rFonts w:hint="eastAsia"/>
                <w:lang w:val="en-US" w:eastAsia="zh-CN"/>
              </w:rPr>
              <w:t>为室内噪声源，</w:t>
            </w:r>
            <w:r>
              <w:rPr>
                <w:rFonts w:hint="eastAsia"/>
              </w:rPr>
              <w:t>主要高噪声设备源强在</w:t>
            </w:r>
            <w:r>
              <w:rPr>
                <w:rFonts w:hint="eastAsia"/>
                <w:lang w:val="en-US" w:eastAsia="zh-CN"/>
              </w:rPr>
              <w:t>75</w:t>
            </w:r>
            <w:r>
              <w:rPr>
                <w:rFonts w:hint="eastAsia"/>
              </w:rPr>
              <w:t>～</w:t>
            </w:r>
            <w:r>
              <w:t>8</w:t>
            </w:r>
            <w:r>
              <w:rPr>
                <w:rFonts w:hint="eastAsia"/>
                <w:lang w:val="en-US" w:eastAsia="zh-CN"/>
              </w:rPr>
              <w:t>5</w:t>
            </w:r>
            <w:r>
              <w:rPr>
                <w:rFonts w:hint="eastAsia"/>
              </w:rPr>
              <w:t>dB(A)之间。</w:t>
            </w:r>
          </w:p>
          <w:p>
            <w:pPr>
              <w:ind w:firstLine="480"/>
            </w:pPr>
            <w:r>
              <w:t>项目通过选用高质量、低噪声设备，对高噪声设备采用独立基础，加减振垫等防护治理措施</w:t>
            </w:r>
            <w:r>
              <w:rPr>
                <w:rFonts w:hint="eastAsia"/>
                <w:lang w:eastAsia="zh-CN"/>
              </w:rPr>
              <w:t>，</w:t>
            </w:r>
            <w:r>
              <w:t>加强设备维护保养，减少因机械设备磨损而产生的噪声。</w:t>
            </w:r>
          </w:p>
          <w:p>
            <w:pPr>
              <w:ind w:firstLine="480"/>
            </w:pPr>
            <w:r>
              <w:rPr>
                <w:rFonts w:hint="eastAsia"/>
                <w:b w:val="0"/>
                <w:bCs w:val="0"/>
                <w:snapToGrid w:val="0"/>
                <w:kern w:val="0"/>
                <w:sz w:val="24"/>
                <w:szCs w:val="24"/>
                <w:highlight w:val="none"/>
                <w:u w:val="none"/>
                <w:lang w:eastAsia="zh-CN"/>
              </w:rPr>
              <w:t>本项目</w:t>
            </w:r>
            <w:r>
              <w:rPr>
                <w:rFonts w:hint="eastAsia"/>
                <w:b w:val="0"/>
                <w:bCs w:val="0"/>
                <w:snapToGrid w:val="0"/>
                <w:kern w:val="0"/>
                <w:sz w:val="24"/>
                <w:szCs w:val="24"/>
                <w:highlight w:val="none"/>
                <w:u w:val="none"/>
                <w:lang w:val="en-US" w:eastAsia="zh-CN"/>
              </w:rPr>
              <w:t>主要</w:t>
            </w:r>
            <w:r>
              <w:rPr>
                <w:rFonts w:hint="eastAsia"/>
                <w:b w:val="0"/>
                <w:bCs w:val="0"/>
                <w:snapToGrid w:val="0"/>
                <w:kern w:val="0"/>
                <w:sz w:val="24"/>
                <w:szCs w:val="24"/>
                <w:highlight w:val="none"/>
                <w:u w:val="none"/>
              </w:rPr>
              <w:t>噪声</w:t>
            </w:r>
            <w:r>
              <w:rPr>
                <w:rFonts w:hint="eastAsia"/>
                <w:b w:val="0"/>
                <w:bCs w:val="0"/>
                <w:sz w:val="24"/>
                <w:szCs w:val="24"/>
                <w:highlight w:val="none"/>
                <w:u w:val="none"/>
                <w:lang w:val="en-US" w:eastAsia="zh-CN"/>
              </w:rPr>
              <w:t>源强调查清单</w:t>
            </w:r>
            <w:r>
              <w:rPr>
                <w:rFonts w:hint="default"/>
                <w:b w:val="0"/>
                <w:bCs w:val="0"/>
                <w:sz w:val="24"/>
                <w:szCs w:val="24"/>
                <w:highlight w:val="none"/>
                <w:u w:val="none"/>
                <w:lang w:val="en-US" w:eastAsia="zh-CN"/>
              </w:rPr>
              <w:t>见下表</w:t>
            </w:r>
            <w:r>
              <w:rPr>
                <w:rFonts w:hint="default" w:ascii="Times New Roman" w:hAnsi="Times New Roman" w:cs="Times New Roman"/>
                <w:b w:val="0"/>
                <w:bCs w:val="0"/>
                <w:color w:val="auto"/>
                <w:sz w:val="24"/>
                <w:szCs w:val="24"/>
                <w:highlight w:val="none"/>
                <w:u w:val="none"/>
                <w:lang w:val="zh-CN" w:eastAsia="zh-CN"/>
              </w:rPr>
              <w:t>。</w:t>
            </w:r>
          </w:p>
        </w:tc>
      </w:tr>
    </w:tbl>
    <w:p>
      <w:pPr>
        <w:ind w:left="0" w:leftChars="0" w:firstLine="0" w:firstLineChars="0"/>
        <w:rPr>
          <w:rFonts w:eastAsia="黑体" w:cs="Times New Roman"/>
          <w:b/>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pgNumType w:fmt="numberInDash" w:start="1"/>
          <w:cols w:space="425" w:num="1"/>
          <w:docGrid w:type="lines" w:linePitch="312" w:charSpace="0"/>
        </w:sectPr>
      </w:pPr>
    </w:p>
    <w:tbl>
      <w:tblPr>
        <w:tblStyle w:val="21"/>
        <w:tblpPr w:leftFromText="180" w:rightFromText="180" w:vertAnchor="text" w:horzAnchor="page" w:tblpXSpec="center" w:tblpY="323"/>
        <w:tblOverlap w:val="never"/>
        <w:tblW w:w="15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
        <w:gridCol w:w="685"/>
        <w:gridCol w:w="447"/>
        <w:gridCol w:w="731"/>
        <w:gridCol w:w="623"/>
        <w:gridCol w:w="688"/>
        <w:gridCol w:w="688"/>
        <w:gridCol w:w="691"/>
        <w:gridCol w:w="569"/>
        <w:gridCol w:w="569"/>
        <w:gridCol w:w="569"/>
        <w:gridCol w:w="576"/>
        <w:gridCol w:w="562"/>
        <w:gridCol w:w="562"/>
        <w:gridCol w:w="562"/>
        <w:gridCol w:w="570"/>
        <w:gridCol w:w="488"/>
        <w:gridCol w:w="542"/>
        <w:gridCol w:w="542"/>
        <w:gridCol w:w="542"/>
        <w:gridCol w:w="549"/>
        <w:gridCol w:w="579"/>
        <w:gridCol w:w="579"/>
        <w:gridCol w:w="579"/>
        <w:gridCol w:w="580"/>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355"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bookmarkStart w:id="10" w:name="PT_6"/>
            <w:r>
              <w:rPr>
                <w:rFonts w:hint="default" w:ascii="Times New Roman" w:hAnsi="Times New Roman" w:eastAsia="宋体" w:cs="Times New Roman"/>
                <w:b/>
                <w:sz w:val="21"/>
                <w:szCs w:val="21"/>
              </w:rPr>
              <w:t>序号</w:t>
            </w:r>
          </w:p>
        </w:tc>
        <w:tc>
          <w:tcPr>
            <w:tcW w:w="685"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声源名称</w:t>
            </w:r>
          </w:p>
        </w:tc>
        <w:tc>
          <w:tcPr>
            <w:tcW w:w="447"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型号</w:t>
            </w:r>
          </w:p>
        </w:tc>
        <w:tc>
          <w:tcPr>
            <w:tcW w:w="7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b/>
                <w:sz w:val="21"/>
                <w:szCs w:val="21"/>
                <w:lang w:eastAsia="zh-CN"/>
              </w:rPr>
              <w:t>声源源强</w:t>
            </w:r>
          </w:p>
        </w:tc>
        <w:tc>
          <w:tcPr>
            <w:tcW w:w="623"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声源控制措施</w:t>
            </w:r>
          </w:p>
        </w:tc>
        <w:tc>
          <w:tcPr>
            <w:tcW w:w="2067" w:type="dxa"/>
            <w:gridSpan w:val="3"/>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空间相对位置/m</w:t>
            </w:r>
          </w:p>
        </w:tc>
        <w:tc>
          <w:tcPr>
            <w:tcW w:w="2283"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before="157" w:beforeLines="50" w:line="240" w:lineRule="auto"/>
              <w:ind w:firstLine="0" w:firstLineChars="0"/>
              <w:jc w:val="center"/>
              <w:textAlignment w:val="auto"/>
              <w:rPr>
                <w:rFonts w:hint="default" w:ascii="Times New Roman" w:hAnsi="Times New Roman" w:eastAsia="宋体" w:cs="Times New Roman"/>
                <w:b/>
                <w:sz w:val="21"/>
                <w:szCs w:val="21"/>
                <w:vertAlign w:val="baseline"/>
              </w:rPr>
            </w:pPr>
            <w:r>
              <w:rPr>
                <w:rFonts w:hint="default" w:ascii="Times New Roman" w:hAnsi="Times New Roman" w:eastAsia="宋体" w:cs="Times New Roman"/>
                <w:b/>
                <w:sz w:val="21"/>
                <w:szCs w:val="21"/>
              </w:rPr>
              <w:t>距室内边界距离/m</w:t>
            </w:r>
            <w:r>
              <w:rPr>
                <w:rFonts w:hint="default" w:ascii="Times New Roman" w:hAnsi="Times New Roman" w:eastAsia="宋体" w:cs="Times New Roman"/>
                <w:b/>
                <w:sz w:val="21"/>
                <w:szCs w:val="21"/>
              </w:rPr>
              <mc:AlternateContent>
                <mc:Choice Requires="wps">
                  <w:drawing>
                    <wp:anchor distT="0" distB="0" distL="114300" distR="114300" simplePos="0" relativeHeight="251664384" behindDoc="0" locked="0" layoutInCell="1" allowOverlap="1">
                      <wp:simplePos x="0" y="0"/>
                      <wp:positionH relativeFrom="column">
                        <wp:posOffset>593090</wp:posOffset>
                      </wp:positionH>
                      <wp:positionV relativeFrom="paragraph">
                        <wp:posOffset>-301625</wp:posOffset>
                      </wp:positionV>
                      <wp:extent cx="2687955" cy="29337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2687955" cy="293370"/>
                              </a:xfrm>
                              <a:prstGeom prst="rect">
                                <a:avLst/>
                              </a:prstGeom>
                              <a:noFill/>
                              <a:ln>
                                <a:noFill/>
                              </a:ln>
                            </wps:spPr>
                            <wps:txbx>
                              <w:txbxContent>
                                <w:p>
                                  <w:pPr>
                                    <w:spacing w:line="240" w:lineRule="auto"/>
                                    <w:rPr>
                                      <w:sz w:val="24"/>
                                      <w:szCs w:val="24"/>
                                    </w:rPr>
                                  </w:pPr>
                                  <w:r>
                                    <w:rPr>
                                      <w:rFonts w:hint="eastAsia"/>
                                      <w:b/>
                                      <w:sz w:val="24"/>
                                      <w:szCs w:val="24"/>
                                    </w:rPr>
                                    <w:t>表</w:t>
                                  </w:r>
                                  <w:r>
                                    <w:rPr>
                                      <w:rFonts w:hint="eastAsia"/>
                                      <w:b/>
                                      <w:sz w:val="24"/>
                                      <w:szCs w:val="24"/>
                                      <w:lang w:val="en-US" w:eastAsia="zh-CN"/>
                                    </w:rPr>
                                    <w:t>4-7</w:t>
                                  </w:r>
                                  <w:r>
                                    <w:rPr>
                                      <w:b/>
                                      <w:sz w:val="24"/>
                                      <w:szCs w:val="24"/>
                                    </w:rPr>
                                    <w:t xml:space="preserve">  </w:t>
                                  </w:r>
                                  <w:r>
                                    <w:rPr>
                                      <w:rFonts w:hint="eastAsia"/>
                                      <w:b/>
                                      <w:sz w:val="24"/>
                                      <w:szCs w:val="24"/>
                                    </w:rPr>
                                    <w:t>项目噪声源强调查清单</w:t>
                                  </w:r>
                                </w:p>
                              </w:txbxContent>
                            </wps:txbx>
                            <wps:bodyPr upright="1"/>
                          </wps:wsp>
                        </a:graphicData>
                      </a:graphic>
                    </wp:anchor>
                  </w:drawing>
                </mc:Choice>
                <mc:Fallback>
                  <w:pict>
                    <v:shape id="_x0000_s1026" o:spid="_x0000_s1026" o:spt="202" type="#_x0000_t202" style="position:absolute;left:0pt;margin-left:46.7pt;margin-top:-23.75pt;height:23.1pt;width:211.65pt;z-index:251664384;mso-width-relative:page;mso-height-relative:page;" filled="f" stroked="f" coordsize="21600,21600" o:gfxdata="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A9bUDX&#10;AAAACQEAAA8AAAAAAAAAAQAgAAAAIgAAAGRycy9kb3ducmV2LnhtbFBLAQIUABQAAAAIAIdO4kCE&#10;XsHvrwEAAFADAAAOAAAAAAAAAAEAIAAAACYBAABkcnMvZTJvRG9jLnhtbFBLBQYAAAAABgAGAFkB&#10;AABHBQAAAAA=&#10;">
                      <v:fill on="f" focussize="0,0"/>
                      <v:stroke on="f"/>
                      <v:imagedata o:title=""/>
                      <o:lock v:ext="edit" aspectratio="f"/>
                      <v:textbox>
                        <w:txbxContent>
                          <w:p>
                            <w:pPr>
                              <w:spacing w:line="240" w:lineRule="auto"/>
                              <w:rPr>
                                <w:sz w:val="24"/>
                                <w:szCs w:val="24"/>
                              </w:rPr>
                            </w:pPr>
                            <w:r>
                              <w:rPr>
                                <w:rFonts w:hint="eastAsia"/>
                                <w:b/>
                                <w:sz w:val="24"/>
                                <w:szCs w:val="24"/>
                              </w:rPr>
                              <w:t>表</w:t>
                            </w:r>
                            <w:r>
                              <w:rPr>
                                <w:rFonts w:hint="eastAsia"/>
                                <w:b/>
                                <w:sz w:val="24"/>
                                <w:szCs w:val="24"/>
                                <w:lang w:val="en-US" w:eastAsia="zh-CN"/>
                              </w:rPr>
                              <w:t>4-7</w:t>
                            </w:r>
                            <w:r>
                              <w:rPr>
                                <w:b/>
                                <w:sz w:val="24"/>
                                <w:szCs w:val="24"/>
                              </w:rPr>
                              <w:t xml:space="preserve">  </w:t>
                            </w:r>
                            <w:r>
                              <w:rPr>
                                <w:rFonts w:hint="eastAsia"/>
                                <w:b/>
                                <w:sz w:val="24"/>
                                <w:szCs w:val="24"/>
                              </w:rPr>
                              <w:t>项目噪声源强调查清单</w:t>
                            </w:r>
                          </w:p>
                        </w:txbxContent>
                      </v:textbox>
                    </v:shape>
                  </w:pict>
                </mc:Fallback>
              </mc:AlternateContent>
            </w:r>
          </w:p>
        </w:tc>
        <w:tc>
          <w:tcPr>
            <w:tcW w:w="2256"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室内边界声级/dB(A)</w:t>
            </w:r>
          </w:p>
        </w:tc>
        <w:tc>
          <w:tcPr>
            <w:tcW w:w="488"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运行时段</w:t>
            </w:r>
          </w:p>
        </w:tc>
        <w:tc>
          <w:tcPr>
            <w:tcW w:w="2175"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建筑物插入损失/dB(A)</w:t>
            </w:r>
            <w:bookmarkStart w:id="11" w:name="PT_10"/>
            <w:bookmarkEnd w:id="11"/>
          </w:p>
        </w:tc>
        <w:tc>
          <w:tcPr>
            <w:tcW w:w="3125" w:type="dxa"/>
            <w:gridSpan w:val="5"/>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b/>
                <w:bCs w:val="0"/>
                <w:sz w:val="21"/>
                <w:szCs w:val="21"/>
              </w:rPr>
            </w:pPr>
            <w:r>
              <w:rPr>
                <w:rFonts w:hint="default" w:ascii="Times New Roman" w:hAnsi="Times New Roman" w:eastAsia="宋体" w:cs="Times New Roman"/>
                <w:b/>
                <w:bCs w:val="0"/>
                <w:sz w:val="21"/>
                <w:szCs w:val="21"/>
              </w:rPr>
              <w:t>建筑物外噪声声压级/dB(A)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355"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lang w:val="en-US" w:eastAsia="zh-CN"/>
              </w:rPr>
            </w:pPr>
          </w:p>
        </w:tc>
        <w:tc>
          <w:tcPr>
            <w:tcW w:w="685"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p>
        </w:tc>
        <w:tc>
          <w:tcPr>
            <w:tcW w:w="447"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声功率级/dB(A)</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X</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Z</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东</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南</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西</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北</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东</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南</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西</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北</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东</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南</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西</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北</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东</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南</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西</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北</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建筑物外距离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粉碎机</w:t>
            </w:r>
          </w:p>
        </w:tc>
        <w:tc>
          <w:tcPr>
            <w:tcW w:w="447" w:type="dxa"/>
            <w:noWrap w:val="0"/>
            <w:tcMar>
              <w:top w:w="0" w:type="dxa"/>
              <w:left w:w="0" w:type="dxa"/>
              <w:bottom w:w="0" w:type="dxa"/>
              <w:right w:w="0" w:type="dxa"/>
            </w:tcMar>
            <w:vAlign w:val="center"/>
          </w:tcPr>
          <w:p>
            <w:pPr>
              <w:pStyle w:val="26"/>
              <w:rPr>
                <w:rFonts w:hint="eastAsia" w:ascii="Times New Roman" w:hAnsi="Times New Roman" w:eastAsia="宋体" w:cs="Times New Roman"/>
                <w:sz w:val="21"/>
                <w:szCs w:val="21"/>
                <w:lang w:val="en-US" w:eastAsia="zh-CN"/>
              </w:rPr>
            </w:pPr>
            <w:r>
              <w:rPr>
                <w:rFonts w:hint="eastAsia" w:cs="Times New Roman"/>
                <w:b w:val="0"/>
                <w:bCs/>
                <w:u w:val="none"/>
                <w:lang w:val="en-US" w:eastAsia="zh-CN"/>
              </w:rPr>
              <w:t>/</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80</w:t>
            </w:r>
          </w:p>
        </w:tc>
        <w:tc>
          <w:tcPr>
            <w:tcW w:w="623" w:type="dxa"/>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隔声</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减振</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消声</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-10.7</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11.9</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0.8</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7.4</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26.6</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6.1</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71.5</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71.6</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71.7</w:t>
            </w:r>
          </w:p>
        </w:tc>
        <w:tc>
          <w:tcPr>
            <w:tcW w:w="488" w:type="dxa"/>
            <w:vMerge w:val="restart"/>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宋体" w:cs="Times New Roman"/>
                <w:sz w:val="21"/>
                <w:szCs w:val="21"/>
                <w:lang w:val="en-US" w:eastAsia="zh-CN"/>
              </w:rPr>
            </w:pPr>
            <w:r>
              <w:rPr>
                <w:rFonts w:hint="eastAsia" w:cs="Times New Roman"/>
                <w:sz w:val="21"/>
                <w:szCs w:val="21"/>
                <w:lang w:val="en-US" w:eastAsia="zh-CN"/>
              </w:rPr>
              <w:t>8</w:t>
            </w:r>
            <w:r>
              <w:rPr>
                <w:rFonts w:hint="eastAsia" w:ascii="Times New Roman" w:hAnsi="Times New Roman" w:cs="Times New Roman"/>
                <w:sz w:val="21"/>
                <w:szCs w:val="21"/>
                <w:lang w:val="en-US" w:eastAsia="zh-CN"/>
              </w:rPr>
              <w:t>h/d</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40.5</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40.6</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40.7</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2</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混合机</w:t>
            </w:r>
          </w:p>
        </w:tc>
        <w:tc>
          <w:tcPr>
            <w:tcW w:w="447" w:type="dxa"/>
            <w:noWrap w:val="0"/>
            <w:tcMar>
              <w:top w:w="0" w:type="dxa"/>
              <w:left w:w="0" w:type="dxa"/>
              <w:bottom w:w="0" w:type="dxa"/>
              <w:right w:w="0" w:type="dxa"/>
            </w:tcMar>
            <w:vAlign w:val="center"/>
          </w:tcPr>
          <w:p>
            <w:pPr>
              <w:pStyle w:val="26"/>
              <w:rPr>
                <w:rFonts w:hint="default" w:ascii="Times New Roman" w:hAnsi="Times New Roman" w:cs="Times New Roman"/>
                <w:sz w:val="21"/>
                <w:szCs w:val="21"/>
              </w:rPr>
            </w:pPr>
            <w:r>
              <w:rPr>
                <w:rFonts w:hint="eastAsia" w:ascii="Times New Roman" w:hAnsi="Times New Roman" w:eastAsia="宋体" w:cs="Times New Roman"/>
                <w:b w:val="0"/>
                <w:bCs/>
                <w:u w:val="none"/>
                <w:lang w:val="en-US" w:eastAsia="zh-CN"/>
              </w:rPr>
              <w:t>LGH400</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80</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-6.5</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11.7</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3.2</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26.5</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10.3</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71.8</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71.5</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71.6</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71.7</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40.8</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40.5</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40.6</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40.7</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3</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制粒机</w:t>
            </w:r>
          </w:p>
        </w:tc>
        <w:tc>
          <w:tcPr>
            <w:tcW w:w="447" w:type="dxa"/>
            <w:noWrap w:val="0"/>
            <w:tcMar>
              <w:top w:w="0" w:type="dxa"/>
              <w:left w:w="0" w:type="dxa"/>
              <w:bottom w:w="0" w:type="dxa"/>
              <w:right w:w="0" w:type="dxa"/>
            </w:tcMar>
            <w:vAlign w:val="center"/>
          </w:tcPr>
          <w:p>
            <w:pPr>
              <w:pStyle w:val="26"/>
              <w:rPr>
                <w:rFonts w:hint="default" w:ascii="Times New Roman" w:hAnsi="Times New Roman" w:cs="Times New Roman"/>
                <w:sz w:val="21"/>
                <w:szCs w:val="21"/>
              </w:rPr>
            </w:pPr>
            <w:r>
              <w:rPr>
                <w:rFonts w:hint="eastAsia" w:cs="Times New Roman"/>
                <w:b w:val="0"/>
                <w:bCs/>
                <w:u w:val="none"/>
                <w:lang w:val="en-US" w:eastAsia="zh-CN"/>
              </w:rPr>
              <w:t>/</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75</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-6.7</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6.7</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1.2</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3.2</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21.5</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10.2</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9.0</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66.8</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35.8</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4</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天然气热风炉</w:t>
            </w:r>
          </w:p>
        </w:tc>
        <w:tc>
          <w:tcPr>
            <w:tcW w:w="447"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lang w:val="en-US"/>
              </w:rPr>
            </w:pPr>
            <w:r>
              <w:rPr>
                <w:rFonts w:hint="eastAsia" w:cs="Times New Roman"/>
                <w:sz w:val="21"/>
                <w:szCs w:val="21"/>
                <w:lang w:val="en-US" w:eastAsia="zh-CN"/>
              </w:rPr>
              <w:t>60万大卡</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75</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-11.2</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4.7</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7.6</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19.3</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5.8</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11.2</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5</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直线振动筛</w:t>
            </w:r>
          </w:p>
        </w:tc>
        <w:tc>
          <w:tcPr>
            <w:tcW w:w="447" w:type="dxa"/>
            <w:noWrap w:val="0"/>
            <w:tcMar>
              <w:top w:w="0" w:type="dxa"/>
              <w:left w:w="0" w:type="dxa"/>
              <w:bottom w:w="0" w:type="dxa"/>
              <w:right w:w="0" w:type="dxa"/>
            </w:tcMar>
            <w:vAlign w:val="center"/>
          </w:tcPr>
          <w:p>
            <w:pPr>
              <w:pStyle w:val="26"/>
              <w:rPr>
                <w:rFonts w:hint="default" w:ascii="Times New Roman" w:hAnsi="Times New Roman" w:cs="Times New Roman"/>
                <w:sz w:val="21"/>
                <w:szCs w:val="21"/>
              </w:rPr>
            </w:pPr>
            <w:r>
              <w:rPr>
                <w:rFonts w:hint="eastAsia" w:ascii="Times New Roman" w:hAnsi="Times New Roman" w:eastAsia="宋体" w:cs="Times New Roman"/>
                <w:color w:val="auto"/>
                <w:kern w:val="0"/>
                <w:sz w:val="21"/>
                <w:szCs w:val="21"/>
                <w:highlight w:val="none"/>
                <w:lang w:val="en-US" w:eastAsia="zh-CN" w:bidi="ar-SA"/>
              </w:rPr>
              <w:t>/</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85</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-10.9</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1.2</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7.0</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10.7</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6.4</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19.9</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76.6</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76.6</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45.6</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45.6</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6</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颗粒包装机</w:t>
            </w:r>
          </w:p>
        </w:tc>
        <w:tc>
          <w:tcPr>
            <w:tcW w:w="447" w:type="dxa"/>
            <w:noWrap w:val="0"/>
            <w:tcMar>
              <w:top w:w="0" w:type="dxa"/>
              <w:left w:w="0" w:type="dxa"/>
              <w:bottom w:w="0" w:type="dxa"/>
              <w:right w:w="0" w:type="dxa"/>
            </w:tcMar>
            <w:vAlign w:val="center"/>
          </w:tcPr>
          <w:p>
            <w:pPr>
              <w:pStyle w:val="26"/>
              <w:rPr>
                <w:rFonts w:hint="default" w:ascii="Times New Roman" w:hAnsi="Times New Roman" w:cs="Times New Roman"/>
                <w:sz w:val="21"/>
                <w:szCs w:val="21"/>
              </w:rPr>
            </w:pPr>
            <w:r>
              <w:rPr>
                <w:rFonts w:hint="eastAsia" w:ascii="Times New Roman" w:hAnsi="Times New Roman" w:eastAsia="宋体" w:cs="Times New Roman"/>
                <w:b w:val="0"/>
                <w:bCs/>
                <w:u w:val="none"/>
                <w:lang w:val="en-US" w:eastAsia="zh-CN"/>
              </w:rPr>
              <w:t>DSC3022</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75</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-12.9</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-8.7</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0.6</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8.8</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5.9</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4.6</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24.7</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66.7</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66.5</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35.7</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35.5</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7</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粉剂包装机</w:t>
            </w:r>
          </w:p>
        </w:tc>
        <w:tc>
          <w:tcPr>
            <w:tcW w:w="447" w:type="dxa"/>
            <w:noWrap w:val="0"/>
            <w:tcMar>
              <w:top w:w="0" w:type="dxa"/>
              <w:left w:w="0" w:type="dxa"/>
              <w:bottom w:w="0" w:type="dxa"/>
              <w:right w:w="0" w:type="dxa"/>
            </w:tcMar>
            <w:vAlign w:val="center"/>
          </w:tcPr>
          <w:p>
            <w:pPr>
              <w:pStyle w:val="26"/>
              <w:rPr>
                <w:rFonts w:hint="default" w:ascii="Times New Roman" w:hAnsi="Times New Roman" w:cs="Times New Roman"/>
                <w:sz w:val="21"/>
                <w:szCs w:val="21"/>
              </w:rPr>
            </w:pPr>
            <w:r>
              <w:rPr>
                <w:rFonts w:hint="eastAsia" w:ascii="Times New Roman" w:hAnsi="Times New Roman" w:eastAsia="宋体" w:cs="Times New Roman"/>
                <w:b w:val="0"/>
                <w:bCs/>
                <w:u w:val="none"/>
                <w:lang w:val="en-US" w:eastAsia="zh-CN"/>
              </w:rPr>
              <w:t>JJF1070</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75</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-8.2</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-9.2</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0.6</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4.1</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5.6</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9.3</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25.0</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66.7</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66.6</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66.5</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35.7</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35.6</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35.5</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35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8</w:t>
            </w:r>
          </w:p>
        </w:tc>
        <w:tc>
          <w:tcPr>
            <w:tcW w:w="685"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风机</w:t>
            </w:r>
          </w:p>
        </w:tc>
        <w:tc>
          <w:tcPr>
            <w:tcW w:w="447"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w:t>
            </w:r>
          </w:p>
        </w:tc>
        <w:tc>
          <w:tcPr>
            <w:tcW w:w="73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80</w:t>
            </w:r>
          </w:p>
        </w:tc>
        <w:tc>
          <w:tcPr>
            <w:tcW w:w="623"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-13.4</w:t>
            </w:r>
          </w:p>
        </w:tc>
        <w:tc>
          <w:tcPr>
            <w:tcW w:w="68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14.7</w:t>
            </w:r>
          </w:p>
        </w:tc>
        <w:tc>
          <w:tcPr>
            <w:tcW w:w="691"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0.5</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10.2</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29.3</w:t>
            </w:r>
          </w:p>
        </w:tc>
        <w:tc>
          <w:tcPr>
            <w:tcW w:w="56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3.3</w:t>
            </w:r>
          </w:p>
        </w:tc>
        <w:tc>
          <w:tcPr>
            <w:tcW w:w="576"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1.3</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71.6</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71.5</w:t>
            </w:r>
          </w:p>
        </w:tc>
        <w:tc>
          <w:tcPr>
            <w:tcW w:w="56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71.8</w:t>
            </w:r>
          </w:p>
        </w:tc>
        <w:tc>
          <w:tcPr>
            <w:tcW w:w="57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72.8</w:t>
            </w:r>
          </w:p>
        </w:tc>
        <w:tc>
          <w:tcPr>
            <w:tcW w:w="488" w:type="dxa"/>
            <w:vMerge w:val="continue"/>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2"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4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31.0</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40.6</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40.5</w:t>
            </w:r>
          </w:p>
        </w:tc>
        <w:tc>
          <w:tcPr>
            <w:tcW w:w="579"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40.8</w:t>
            </w:r>
          </w:p>
        </w:tc>
        <w:tc>
          <w:tcPr>
            <w:tcW w:w="580"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eastAsia="Arial" w:cs="Times New Roman"/>
                <w:sz w:val="21"/>
                <w:szCs w:val="21"/>
              </w:rPr>
            </w:pPr>
            <w:r>
              <w:rPr>
                <w:rFonts w:hint="default" w:ascii="Times New Roman" w:hAnsi="Times New Roman" w:eastAsia="Arial" w:cs="Times New Roman"/>
                <w:sz w:val="21"/>
                <w:szCs w:val="21"/>
              </w:rPr>
              <w:t>41.8</w:t>
            </w:r>
          </w:p>
        </w:tc>
        <w:tc>
          <w:tcPr>
            <w:tcW w:w="808" w:type="dxa"/>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hint="default" w:ascii="Times New Roman" w:hAnsi="Times New Roman" w:cs="Times New Roman"/>
                <w:sz w:val="21"/>
                <w:szCs w:val="21"/>
              </w:rPr>
            </w:pPr>
            <w:r>
              <w:rPr>
                <w:rFonts w:hint="default" w:ascii="Times New Roman" w:hAnsi="Times New Roman" w:eastAsia="Arial" w:cs="Times New Roman"/>
                <w:sz w:val="21"/>
                <w:szCs w:val="21"/>
              </w:rPr>
              <w:t>1</w:t>
            </w:r>
          </w:p>
        </w:tc>
      </w:tr>
      <w:bookmarkEnd w:id="10"/>
    </w:tbl>
    <w:p>
      <w:pPr>
        <w:keepNext w:val="0"/>
        <w:keepLines w:val="0"/>
        <w:pageBreakBefore w:val="0"/>
        <w:widowControl w:val="0"/>
        <w:kinsoku/>
        <w:wordWrap/>
        <w:overflowPunct/>
        <w:topLinePunct w:val="0"/>
        <w:autoSpaceDE/>
        <w:autoSpaceDN/>
        <w:bidi w:val="0"/>
        <w:adjustRightInd/>
        <w:snapToGrid/>
        <w:ind w:firstLine="0" w:firstLineChars="0"/>
        <w:textAlignment w:val="auto"/>
        <w:rPr>
          <w:rFonts w:eastAsia="黑体" w:cs="Times New Roman"/>
          <w:b/>
          <w:sz w:val="30"/>
          <w:szCs w:val="30"/>
        </w:rPr>
      </w:pPr>
      <w:r>
        <w:rPr>
          <w:rFonts w:hint="eastAsia" w:ascii="Times New Roman" w:hAnsi="Times New Roman" w:eastAsia="宋体" w:cs="Times New Roman"/>
          <w:b w:val="0"/>
          <w:bCs/>
          <w:sz w:val="21"/>
          <w:szCs w:val="21"/>
          <w:lang w:val="en-US" w:eastAsia="zh-CN"/>
        </w:rPr>
        <w:t>注：</w:t>
      </w:r>
      <w:r>
        <w:rPr>
          <w:rFonts w:hint="default" w:ascii="Times New Roman" w:hAnsi="Times New Roman" w:eastAsia="宋体" w:cs="Times New Roman"/>
          <w:b w:val="0"/>
          <w:bCs/>
          <w:sz w:val="21"/>
          <w:szCs w:val="21"/>
          <w:lang w:val="en-US" w:eastAsia="zh-CN"/>
        </w:rPr>
        <w:t>表中坐标以厂界中心（</w:t>
      </w:r>
      <w:bookmarkStart w:id="12" w:name="PO_7"/>
      <w:r>
        <w:rPr>
          <w:rFonts w:hint="default" w:ascii="Times New Roman" w:hAnsi="Times New Roman" w:eastAsia="宋体" w:cs="Times New Roman"/>
          <w:b w:val="0"/>
          <w:bCs/>
          <w:sz w:val="21"/>
          <w:szCs w:val="21"/>
          <w:lang w:val="en-US" w:eastAsia="zh-CN"/>
        </w:rPr>
        <w:t>113.024009,33.679779</w:t>
      </w:r>
      <w:bookmarkEnd w:id="12"/>
      <w:r>
        <w:rPr>
          <w:rFonts w:hint="default" w:ascii="Times New Roman" w:hAnsi="Times New Roman" w:eastAsia="宋体" w:cs="Times New Roman"/>
          <w:b w:val="0"/>
          <w:bCs/>
          <w:sz w:val="21"/>
          <w:szCs w:val="21"/>
          <w:lang w:val="en-US" w:eastAsia="zh-CN"/>
        </w:rPr>
        <w:t>）为坐标原点，正东向为X轴正方向，正北向为Y轴正方向</w:t>
      </w:r>
      <w:r>
        <w:rPr>
          <w:rFonts w:hint="eastAsia" w:ascii="Times New Roman" w:hAnsi="Times New Roman" w:eastAsia="宋体" w:cs="Times New Roman"/>
          <w:b w:val="0"/>
          <w:bCs/>
          <w:sz w:val="21"/>
          <w:szCs w:val="21"/>
          <w:lang w:val="en-US" w:eastAsia="zh-CN"/>
        </w:rPr>
        <w:t>。</w:t>
      </w:r>
    </w:p>
    <w:p>
      <w:pPr>
        <w:ind w:firstLine="602"/>
        <w:rPr>
          <w:rFonts w:eastAsia="黑体" w:cs="Times New Roman"/>
          <w:b/>
          <w:sz w:val="30"/>
          <w:szCs w:val="30"/>
        </w:rPr>
        <w:sectPr>
          <w:footerReference r:id="rId11" w:type="default"/>
          <w:pgSz w:w="16838" w:h="11906" w:orient="landscape"/>
          <w:pgMar w:top="1418" w:right="1418" w:bottom="1418" w:left="1418" w:header="851" w:footer="992" w:gutter="0"/>
          <w:pgNumType w:fmt="decimal"/>
          <w:cols w:space="425" w:num="1"/>
          <w:docGrid w:type="lines" w:linePitch="312" w:charSpace="0"/>
        </w:sectPr>
      </w:pPr>
    </w:p>
    <w:tbl>
      <w:tblPr>
        <w:tblStyle w:val="22"/>
        <w:tblW w:w="999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57" w:type="dxa"/>
          <w:bottom w:w="0" w:type="dxa"/>
          <w:right w:w="57" w:type="dxa"/>
        </w:tblCellMar>
      </w:tblPr>
      <w:tblGrid>
        <w:gridCol w:w="354"/>
        <w:gridCol w:w="964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57" w:type="dxa"/>
            <w:bottom w:w="0" w:type="dxa"/>
            <w:right w:w="57" w:type="dxa"/>
          </w:tblCellMar>
        </w:tblPrEx>
        <w:trPr>
          <w:jc w:val="center"/>
        </w:trPr>
        <w:tc>
          <w:tcPr>
            <w:tcW w:w="354" w:type="dxa"/>
            <w:tcBorders>
              <w:tl2br w:val="nil"/>
              <w:tr2bl w:val="nil"/>
            </w:tcBorders>
            <w:vAlign w:val="center"/>
          </w:tcPr>
          <w:p>
            <w:pPr>
              <w:spacing w:line="320" w:lineRule="exact"/>
              <w:ind w:firstLine="0" w:firstLineChars="0"/>
              <w:jc w:val="center"/>
            </w:pPr>
            <w:r>
              <w:rPr>
                <w:rFonts w:hint="eastAsia"/>
              </w:rPr>
              <w:t>运营</w:t>
            </w:r>
          </w:p>
          <w:p>
            <w:pPr>
              <w:spacing w:line="320" w:lineRule="exact"/>
              <w:ind w:firstLine="0" w:firstLineChars="0"/>
              <w:jc w:val="center"/>
            </w:pPr>
            <w:r>
              <w:rPr>
                <w:rFonts w:hint="eastAsia"/>
              </w:rPr>
              <w:t>期环</w:t>
            </w:r>
          </w:p>
          <w:p>
            <w:pPr>
              <w:spacing w:line="320" w:lineRule="exact"/>
              <w:ind w:firstLine="0" w:firstLineChars="0"/>
              <w:jc w:val="center"/>
            </w:pPr>
            <w:r>
              <w:rPr>
                <w:rFonts w:hint="eastAsia"/>
              </w:rPr>
              <w:t>境影</w:t>
            </w:r>
          </w:p>
          <w:p>
            <w:pPr>
              <w:spacing w:line="320" w:lineRule="exact"/>
              <w:ind w:firstLine="0" w:firstLineChars="0"/>
              <w:jc w:val="center"/>
            </w:pPr>
            <w:r>
              <w:rPr>
                <w:rFonts w:hint="eastAsia"/>
              </w:rPr>
              <w:t>响和</w:t>
            </w:r>
          </w:p>
          <w:p>
            <w:pPr>
              <w:spacing w:line="320" w:lineRule="exact"/>
              <w:ind w:firstLine="0" w:firstLineChars="0"/>
              <w:jc w:val="center"/>
            </w:pPr>
            <w:r>
              <w:rPr>
                <w:rFonts w:hint="eastAsia"/>
              </w:rPr>
              <w:t>保护</w:t>
            </w:r>
          </w:p>
          <w:p>
            <w:pPr>
              <w:spacing w:line="320" w:lineRule="exact"/>
              <w:ind w:firstLine="0" w:firstLineChars="0"/>
              <w:jc w:val="center"/>
            </w:pPr>
            <w:r>
              <w:rPr>
                <w:rFonts w:hint="eastAsia"/>
              </w:rPr>
              <w:t>措施</w:t>
            </w:r>
          </w:p>
        </w:tc>
        <w:tc>
          <w:tcPr>
            <w:tcW w:w="9644" w:type="dxa"/>
            <w:tcBorders>
              <w:tl2br w:val="nil"/>
              <w:tr2bl w:val="nil"/>
            </w:tcBorders>
          </w:tcPr>
          <w:p>
            <w:pPr>
              <w:ind w:firstLine="480"/>
              <w:rPr>
                <w:szCs w:val="24"/>
              </w:rPr>
            </w:pPr>
            <w:r>
              <w:rPr>
                <w:rFonts w:hint="eastAsia"/>
                <w:b/>
                <w:bCs/>
                <w:lang w:val="en-US" w:eastAsia="zh-CN"/>
              </w:rPr>
              <w:t>3.2</w:t>
            </w:r>
            <w:r>
              <w:rPr>
                <w:rFonts w:hint="eastAsia"/>
                <w:b/>
                <w:sz w:val="24"/>
              </w:rPr>
              <w:t>厂界声环境达标情况分析</w:t>
            </w:r>
          </w:p>
          <w:p>
            <w:pPr>
              <w:pStyle w:val="9"/>
              <w:keepNext w:val="0"/>
              <w:keepLines w:val="0"/>
              <w:pageBreakBefore w:val="0"/>
              <w:widowControl w:val="0"/>
              <w:kinsoku/>
              <w:wordWrap/>
              <w:overflowPunct/>
              <w:topLinePunct w:val="0"/>
              <w:autoSpaceDE/>
              <w:autoSpaceDN/>
              <w:bidi w:val="0"/>
              <w:adjustRightInd/>
              <w:snapToGrid w:val="0"/>
              <w:spacing w:after="0" w:line="520" w:lineRule="exact"/>
              <w:ind w:left="0" w:leftChars="0" w:firstLine="480" w:firstLineChars="200"/>
              <w:textAlignment w:val="auto"/>
              <w:rPr>
                <w:rFonts w:hint="default" w:ascii="Times New Roman" w:hAnsi="Times New Roman" w:eastAsia="宋体" w:cs="Times New Roman"/>
                <w:b w:val="0"/>
                <w:bCs/>
                <w:u w:val="none"/>
                <w:lang w:eastAsia="zh-CN"/>
              </w:rPr>
            </w:pPr>
            <w:r>
              <w:rPr>
                <w:rFonts w:hint="default" w:ascii="Times New Roman" w:hAnsi="Times New Roman" w:cs="Times New Roman"/>
                <w:b w:val="0"/>
                <w:bCs/>
                <w:u w:val="none"/>
                <w:lang w:eastAsia="zh-CN"/>
              </w:rPr>
              <w:t>根据《环境影响评价技术导则声环境》（HJ2.4-2021），</w:t>
            </w:r>
            <w:r>
              <w:rPr>
                <w:rFonts w:hint="default" w:ascii="Times New Roman" w:hAnsi="Times New Roman" w:eastAsia="宋体" w:cs="Times New Roman"/>
                <w:b w:val="0"/>
                <w:bCs/>
                <w:u w:val="none"/>
                <w:lang w:eastAsia="zh-CN"/>
              </w:rPr>
              <w:t>声源位于室内，室内声源可采用等效室外声源声功率级法进行计算。设靠近开口处（或窗户）室内、室外某倍频带的声压级或A声级分别为Lp1和Lp2。</w:t>
            </w:r>
          </w:p>
          <w:p>
            <w:pPr>
              <w:pStyle w:val="9"/>
              <w:keepNext w:val="0"/>
              <w:keepLines w:val="0"/>
              <w:pageBreakBefore w:val="0"/>
              <w:widowControl w:val="0"/>
              <w:kinsoku/>
              <w:wordWrap/>
              <w:overflowPunct/>
              <w:topLinePunct w:val="0"/>
              <w:autoSpaceDE/>
              <w:autoSpaceDN/>
              <w:bidi w:val="0"/>
              <w:adjustRightInd/>
              <w:snapToGrid w:val="0"/>
              <w:spacing w:after="0" w:line="520" w:lineRule="exact"/>
              <w:ind w:left="0" w:leftChars="0" w:firstLine="480" w:firstLineChars="200"/>
              <w:textAlignment w:val="auto"/>
              <w:rPr>
                <w:rFonts w:hint="default" w:ascii="Times New Roman" w:hAnsi="Times New Roman" w:eastAsia="宋体" w:cs="Times New Roman"/>
                <w:b w:val="0"/>
                <w:bCs/>
                <w:u w:val="none"/>
                <w:lang w:eastAsia="zh-CN"/>
              </w:rPr>
            </w:pPr>
            <w:r>
              <w:rPr>
                <w:rFonts w:hint="default" w:ascii="Times New Roman" w:hAnsi="Times New Roman" w:eastAsia="宋体" w:cs="Times New Roman"/>
                <w:b w:val="0"/>
                <w:bCs/>
                <w:u w:val="none"/>
                <w:lang w:eastAsia="zh-CN"/>
              </w:rPr>
              <w:t>计算某一室内声源靠近围护结构处产生的倍频带声压级或A声级公式如下：</w:t>
            </w:r>
          </w:p>
          <w:p>
            <w:pPr>
              <w:pStyle w:val="9"/>
              <w:keepNext w:val="0"/>
              <w:keepLines w:val="0"/>
              <w:pageBreakBefore w:val="0"/>
              <w:widowControl w:val="0"/>
              <w:kinsoku/>
              <w:wordWrap/>
              <w:overflowPunct/>
              <w:topLinePunct w:val="0"/>
              <w:autoSpaceDE/>
              <w:autoSpaceDN/>
              <w:bidi w:val="0"/>
              <w:snapToGrid w:val="0"/>
              <w:spacing w:after="0" w:line="440" w:lineRule="exact"/>
              <w:ind w:left="0" w:leftChars="0" w:firstLine="480" w:firstLineChars="200"/>
              <w:textAlignment w:val="auto"/>
              <w:rPr>
                <w:rFonts w:hint="default" w:ascii="Times New Roman" w:hAnsi="Times New Roman" w:cs="Times New Roman"/>
                <w:b w:val="0"/>
                <w:bCs/>
                <w:u w:val="none"/>
                <w:lang w:eastAsia="zh-CN"/>
              </w:rPr>
            </w:pPr>
            <w:r>
              <w:rPr>
                <w:rFonts w:hint="default" w:ascii="Times New Roman" w:hAnsi="Times New Roman" w:eastAsia="宋体" w:cs="Times New Roman"/>
                <w:b w:val="0"/>
                <w:bCs/>
                <w:u w:val="none"/>
                <w:lang w:eastAsia="zh-CN"/>
              </w:rPr>
              <w:drawing>
                <wp:anchor distT="0" distB="0" distL="114300" distR="114300" simplePos="0" relativeHeight="251659264" behindDoc="1" locked="0" layoutInCell="1" allowOverlap="1">
                  <wp:simplePos x="0" y="0"/>
                  <wp:positionH relativeFrom="column">
                    <wp:posOffset>1694180</wp:posOffset>
                  </wp:positionH>
                  <wp:positionV relativeFrom="paragraph">
                    <wp:posOffset>53975</wp:posOffset>
                  </wp:positionV>
                  <wp:extent cx="2087880" cy="429260"/>
                  <wp:effectExtent l="0" t="0" r="0" b="6985"/>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23"/>
                          <a:stretch>
                            <a:fillRect/>
                          </a:stretch>
                        </pic:blipFill>
                        <pic:spPr>
                          <a:xfrm>
                            <a:off x="0" y="0"/>
                            <a:ext cx="2087880" cy="429260"/>
                          </a:xfrm>
                          <a:prstGeom prst="rect">
                            <a:avLst/>
                          </a:prstGeom>
                          <a:noFill/>
                          <a:ln>
                            <a:noFill/>
                          </a:ln>
                        </pic:spPr>
                      </pic:pic>
                    </a:graphicData>
                  </a:graphic>
                </wp:anchor>
              </w:drawing>
            </w:r>
          </w:p>
          <w:p>
            <w:pPr>
              <w:pStyle w:val="8"/>
              <w:rPr>
                <w:rFonts w:hint="default"/>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both"/>
              <w:rPr>
                <w:b w:val="0"/>
                <w:bCs/>
                <w:sz w:val="24"/>
                <w:u w:val="none"/>
              </w:rPr>
            </w:pPr>
            <w:r>
              <w:rPr>
                <w:b w:val="0"/>
                <w:bCs/>
                <w:sz w:val="24"/>
                <w:szCs w:val="24"/>
                <w:u w:val="none"/>
              </w:rPr>
              <w:t>式中：L</w:t>
            </w:r>
            <w:r>
              <w:rPr>
                <w:b w:val="0"/>
                <w:bCs/>
                <w:sz w:val="24"/>
                <w:szCs w:val="24"/>
                <w:u w:val="none"/>
                <w:vertAlign w:val="subscript"/>
              </w:rPr>
              <w:t>p1</w:t>
            </w:r>
            <w:r>
              <w:rPr>
                <w:b w:val="0"/>
                <w:bCs/>
                <w:sz w:val="24"/>
                <w:szCs w:val="24"/>
                <w:u w:val="none"/>
              </w:rPr>
              <w:t>——靠近开口处（或窗户）室内某倍频带的声压级或A声级，dB；</w:t>
            </w: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left"/>
              <w:textAlignment w:val="baseline"/>
              <w:rPr>
                <w:b w:val="0"/>
                <w:bCs/>
                <w:sz w:val="24"/>
                <w:u w:val="none"/>
              </w:rPr>
            </w:pPr>
            <w:r>
              <w:rPr>
                <w:b w:val="0"/>
                <w:bCs/>
                <w:sz w:val="24"/>
                <w:szCs w:val="24"/>
                <w:u w:val="none"/>
              </w:rPr>
              <w:t>L</w:t>
            </w:r>
            <w:r>
              <w:rPr>
                <w:b w:val="0"/>
                <w:bCs/>
                <w:sz w:val="24"/>
                <w:szCs w:val="24"/>
                <w:u w:val="none"/>
                <w:vertAlign w:val="subscript"/>
              </w:rPr>
              <w:t>w1</w:t>
            </w:r>
            <w:r>
              <w:rPr>
                <w:b w:val="0"/>
                <w:bCs/>
                <w:sz w:val="24"/>
                <w:szCs w:val="24"/>
                <w:u w:val="none"/>
              </w:rPr>
              <w:t>——点声源声功率级（A计权或倍频带），dB；</w:t>
            </w: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left"/>
              <w:textAlignment w:val="baseline"/>
              <w:rPr>
                <w:b w:val="0"/>
                <w:bCs/>
                <w:sz w:val="24"/>
                <w:u w:val="none"/>
              </w:rPr>
            </w:pPr>
            <w:r>
              <w:rPr>
                <w:b w:val="0"/>
                <w:bCs/>
                <w:sz w:val="24"/>
                <w:szCs w:val="24"/>
                <w:u w:val="none"/>
              </w:rPr>
              <w:t>Q——指向性因数；通常对无指向性声源，当声源放在房间中心时，Q=1；当放在一面墙的中心时，Q=2；当放在两面墙夹角处时，Q=4；当放在三面墙夹角处时，Q=8；</w:t>
            </w:r>
            <w:r>
              <w:rPr>
                <w:b w:val="0"/>
                <w:bCs/>
                <w:color w:val="auto"/>
                <w:sz w:val="24"/>
                <w:szCs w:val="24"/>
                <w:u w:val="none"/>
              </w:rPr>
              <w:t>本项目</w:t>
            </w:r>
            <w:r>
              <w:rPr>
                <w:rFonts w:hint="eastAsia"/>
                <w:b w:val="0"/>
                <w:bCs/>
                <w:color w:val="auto"/>
                <w:sz w:val="24"/>
                <w:szCs w:val="24"/>
                <w:u w:val="none"/>
              </w:rPr>
              <w:t>Q值取</w:t>
            </w:r>
            <w:r>
              <w:rPr>
                <w:rFonts w:hint="eastAsia"/>
                <w:b w:val="0"/>
                <w:bCs/>
                <w:color w:val="auto"/>
                <w:sz w:val="24"/>
                <w:szCs w:val="24"/>
                <w:u w:val="none"/>
                <w:lang w:val="en-US" w:eastAsia="zh-CN"/>
              </w:rPr>
              <w:t>2</w:t>
            </w:r>
            <w:r>
              <w:rPr>
                <w:rFonts w:hint="eastAsia"/>
                <w:b w:val="0"/>
                <w:bCs/>
                <w:sz w:val="24"/>
                <w:szCs w:val="24"/>
                <w:u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left"/>
              <w:textAlignment w:val="baseline"/>
              <w:rPr>
                <w:b w:val="0"/>
                <w:bCs/>
                <w:sz w:val="24"/>
                <w:u w:val="none"/>
              </w:rPr>
            </w:pPr>
            <w:r>
              <w:rPr>
                <w:b w:val="0"/>
                <w:bCs/>
                <w:sz w:val="24"/>
                <w:szCs w:val="24"/>
                <w:u w:val="none"/>
              </w:rPr>
              <w:t>R——房间常数；R=Sα/（1-α），S为房间内表面面积，m</w:t>
            </w:r>
            <w:r>
              <w:rPr>
                <w:b w:val="0"/>
                <w:bCs/>
                <w:sz w:val="24"/>
                <w:szCs w:val="24"/>
                <w:u w:val="none"/>
                <w:vertAlign w:val="superscript"/>
              </w:rPr>
              <w:t>2</w:t>
            </w:r>
            <w:r>
              <w:rPr>
                <w:b w:val="0"/>
                <w:bCs/>
                <w:sz w:val="24"/>
                <w:szCs w:val="24"/>
                <w:u w:val="none"/>
              </w:rPr>
              <w:t>；α为平均吸声系数，</w:t>
            </w:r>
            <w:r>
              <w:rPr>
                <w:b w:val="0"/>
                <w:bCs/>
                <w:color w:val="auto"/>
                <w:sz w:val="24"/>
                <w:szCs w:val="24"/>
                <w:u w:val="none"/>
              </w:rPr>
              <w:t>取平均吸声系数0.</w:t>
            </w:r>
            <w:r>
              <w:rPr>
                <w:rFonts w:hint="eastAsia"/>
                <w:b w:val="0"/>
                <w:bCs/>
                <w:color w:val="auto"/>
                <w:sz w:val="24"/>
                <w:szCs w:val="24"/>
                <w:u w:val="none"/>
              </w:rPr>
              <w:t>4</w:t>
            </w:r>
            <w:r>
              <w:rPr>
                <w:b w:val="0"/>
                <w:bCs/>
                <w:color w:val="auto"/>
                <w:sz w:val="24"/>
                <w:szCs w:val="24"/>
                <w:u w:val="none"/>
              </w:rPr>
              <w:t>；</w:t>
            </w:r>
            <w:r>
              <w:rPr>
                <w:rFonts w:hint="eastAsia"/>
                <w:b w:val="0"/>
                <w:bCs/>
                <w:color w:val="auto"/>
                <w:sz w:val="24"/>
                <w:szCs w:val="24"/>
                <w:u w:val="none"/>
                <w:lang w:eastAsia="zh-CN"/>
              </w:rPr>
              <w:t>生产</w:t>
            </w:r>
            <w:r>
              <w:rPr>
                <w:b w:val="0"/>
                <w:bCs/>
                <w:color w:val="auto"/>
                <w:sz w:val="24"/>
                <w:szCs w:val="24"/>
                <w:u w:val="none"/>
              </w:rPr>
              <w:t>车间内表面面积</w:t>
            </w:r>
            <w:r>
              <w:rPr>
                <w:rFonts w:hint="eastAsia"/>
                <w:b w:val="0"/>
                <w:bCs/>
                <w:color w:val="auto"/>
                <w:sz w:val="24"/>
                <w:szCs w:val="24"/>
                <w:u w:val="none"/>
                <w:lang w:eastAsia="zh-CN"/>
              </w:rPr>
              <w:t>为</w:t>
            </w:r>
            <w:r>
              <w:rPr>
                <w:rFonts w:hint="eastAsia"/>
                <w:b w:val="0"/>
                <w:bCs/>
                <w:color w:val="auto"/>
                <w:sz w:val="24"/>
                <w:szCs w:val="24"/>
                <w:u w:val="none"/>
                <w:lang w:val="en-US" w:eastAsia="zh-CN"/>
              </w:rPr>
              <w:t>3120</w:t>
            </w:r>
            <w:r>
              <w:rPr>
                <w:b w:val="0"/>
                <w:bCs/>
                <w:color w:val="auto"/>
                <w:sz w:val="24"/>
                <w:szCs w:val="24"/>
                <w:u w:val="none"/>
              </w:rPr>
              <w:t>m</w:t>
            </w:r>
            <w:r>
              <w:rPr>
                <w:b w:val="0"/>
                <w:bCs/>
                <w:color w:val="auto"/>
                <w:sz w:val="24"/>
                <w:szCs w:val="24"/>
                <w:u w:val="none"/>
                <w:vertAlign w:val="superscript"/>
              </w:rPr>
              <w:t>2</w:t>
            </w:r>
            <w:r>
              <w:rPr>
                <w:b w:val="0"/>
                <w:bCs/>
                <w:color w:val="auto"/>
                <w:sz w:val="24"/>
                <w:szCs w:val="24"/>
                <w:u w:val="none"/>
              </w:rPr>
              <w:t>，则R=</w:t>
            </w:r>
            <w:r>
              <w:rPr>
                <w:rFonts w:hint="eastAsia"/>
                <w:b w:val="0"/>
                <w:bCs/>
                <w:color w:val="auto"/>
                <w:sz w:val="24"/>
                <w:szCs w:val="24"/>
                <w:u w:val="none"/>
                <w:lang w:val="en-US" w:eastAsia="zh-CN"/>
              </w:rPr>
              <w:t>2080</w:t>
            </w:r>
            <w:r>
              <w:rPr>
                <w:rFonts w:hint="eastAsia"/>
                <w:b w:val="0"/>
                <w:bCs/>
                <w:color w:val="auto"/>
                <w:sz w:val="24"/>
                <w:szCs w:val="24"/>
                <w:u w:val="none"/>
              </w:rPr>
              <w:t>。</w:t>
            </w:r>
          </w:p>
          <w:p>
            <w:pPr>
              <w:pStyle w:val="9"/>
              <w:keepNext w:val="0"/>
              <w:keepLines w:val="0"/>
              <w:pageBreakBefore w:val="0"/>
              <w:widowControl w:val="0"/>
              <w:kinsoku/>
              <w:wordWrap/>
              <w:overflowPunct/>
              <w:topLinePunct w:val="0"/>
              <w:autoSpaceDE/>
              <w:autoSpaceDN/>
              <w:bidi w:val="0"/>
              <w:snapToGrid w:val="0"/>
              <w:spacing w:after="0" w:line="520" w:lineRule="exact"/>
              <w:ind w:left="0" w:leftChars="0" w:firstLine="480" w:firstLineChars="200"/>
              <w:textAlignment w:val="auto"/>
              <w:rPr>
                <w:rFonts w:hint="default" w:ascii="Times New Roman" w:hAnsi="Times New Roman" w:cs="Times New Roman"/>
                <w:b w:val="0"/>
                <w:bCs/>
                <w:u w:val="none"/>
                <w:lang w:eastAsia="zh-CN"/>
              </w:rPr>
            </w:pPr>
            <w:r>
              <w:rPr>
                <w:b w:val="0"/>
                <w:bCs/>
                <w:sz w:val="24"/>
                <w:szCs w:val="24"/>
                <w:u w:val="none"/>
              </w:rPr>
              <w:t>r——声源到靠近围护结构某点处的距离，m</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482"/>
              <w:textAlignment w:val="auto"/>
              <w:rPr>
                <w:rFonts w:hint="default" w:ascii="Times New Roman" w:hAnsi="Times New Roman" w:cs="Times New Roman"/>
                <w:b w:val="0"/>
                <w:bCs/>
                <w:u w:val="none"/>
                <w:lang w:eastAsia="zh-CN"/>
              </w:rPr>
            </w:pPr>
            <w:r>
              <w:rPr>
                <w:b w:val="0"/>
                <w:bCs/>
                <w:sz w:val="24"/>
                <w:szCs w:val="24"/>
                <w:u w:val="none"/>
              </w:rPr>
              <w:t>然后按下式计算出所有室内声源在围护结构处产生的i倍频带叠加声压级：</w:t>
            </w:r>
          </w:p>
          <w:p>
            <w:pPr>
              <w:pStyle w:val="2"/>
              <w:ind w:left="0" w:leftChars="0" w:firstLine="0" w:firstLineChars="0"/>
              <w:rPr>
                <w:rFonts w:hint="default" w:ascii="Times New Roman" w:hAnsi="Times New Roman" w:cs="Times New Roman"/>
                <w:b w:val="0"/>
                <w:bCs/>
                <w:u w:val="none"/>
              </w:rPr>
            </w:pPr>
            <w:r>
              <w:rPr>
                <w:b w:val="0"/>
                <w:bCs/>
                <w:u w:val="none"/>
              </w:rPr>
              <w:drawing>
                <wp:anchor distT="0" distB="0" distL="114300" distR="114300" simplePos="0" relativeHeight="251660288" behindDoc="1" locked="0" layoutInCell="1" allowOverlap="1">
                  <wp:simplePos x="0" y="0"/>
                  <wp:positionH relativeFrom="column">
                    <wp:posOffset>1597660</wp:posOffset>
                  </wp:positionH>
                  <wp:positionV relativeFrom="paragraph">
                    <wp:posOffset>102870</wp:posOffset>
                  </wp:positionV>
                  <wp:extent cx="2125980" cy="648970"/>
                  <wp:effectExtent l="0" t="0" r="7620" b="17780"/>
                  <wp:wrapNone/>
                  <wp:docPr id="10" name="图片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51"/>
                          <pic:cNvPicPr>
                            <a:picLocks noChangeAspect="1"/>
                          </pic:cNvPicPr>
                        </pic:nvPicPr>
                        <pic:blipFill>
                          <a:blip r:embed="rId24"/>
                          <a:stretch>
                            <a:fillRect/>
                          </a:stretch>
                        </pic:blipFill>
                        <pic:spPr>
                          <a:xfrm>
                            <a:off x="0" y="0"/>
                            <a:ext cx="2125980" cy="64897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eastAsia" w:eastAsia="宋体"/>
                <w:b w:val="0"/>
                <w:bCs/>
                <w:sz w:val="24"/>
                <w:szCs w:val="24"/>
                <w:u w:val="none"/>
                <w:lang w:val="en-US" w:eastAsia="zh-CN"/>
              </w:rPr>
            </w:pPr>
            <w:r>
              <w:rPr>
                <w:rFonts w:hint="eastAsia" w:eastAsia="宋体"/>
                <w:b w:val="0"/>
                <w:bCs/>
                <w:sz w:val="24"/>
                <w:szCs w:val="24"/>
                <w:u w:val="none"/>
                <w:lang w:val="en-US" w:eastAsia="zh-CN"/>
              </w:rPr>
              <w:t>式中：L</w:t>
            </w:r>
            <w:r>
              <w:rPr>
                <w:rFonts w:hint="eastAsia" w:eastAsia="宋体"/>
                <w:b w:val="0"/>
                <w:bCs/>
                <w:sz w:val="24"/>
                <w:szCs w:val="24"/>
                <w:u w:val="none"/>
                <w:vertAlign w:val="subscript"/>
                <w:lang w:val="en-US" w:eastAsia="zh-CN"/>
              </w:rPr>
              <w:t>p1i</w:t>
            </w:r>
            <w:r>
              <w:rPr>
                <w:rFonts w:hint="eastAsia" w:eastAsia="宋体"/>
                <w:b w:val="0"/>
                <w:bCs/>
                <w:sz w:val="24"/>
                <w:szCs w:val="24"/>
                <w:u w:val="none"/>
                <w:lang w:val="en-US" w:eastAsia="zh-CN"/>
              </w:rPr>
              <w:t>（T）——靠近围护结构处室内N个声源i倍频带的叠加声压级，dB；</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eastAsia" w:eastAsia="宋体"/>
                <w:b w:val="0"/>
                <w:bCs/>
                <w:sz w:val="24"/>
                <w:szCs w:val="24"/>
                <w:u w:val="none"/>
                <w:lang w:val="en-US" w:eastAsia="zh-CN"/>
              </w:rPr>
            </w:pPr>
            <w:r>
              <w:rPr>
                <w:rFonts w:hint="eastAsia" w:eastAsia="宋体"/>
                <w:b w:val="0"/>
                <w:bCs/>
                <w:sz w:val="24"/>
                <w:szCs w:val="24"/>
                <w:u w:val="none"/>
                <w:lang w:val="en-US" w:eastAsia="zh-CN"/>
              </w:rPr>
              <w:t>L</w:t>
            </w:r>
            <w:r>
              <w:rPr>
                <w:rFonts w:hint="eastAsia" w:eastAsia="宋体"/>
                <w:b w:val="0"/>
                <w:bCs/>
                <w:sz w:val="24"/>
                <w:szCs w:val="24"/>
                <w:u w:val="none"/>
                <w:vertAlign w:val="subscript"/>
                <w:lang w:val="en-US" w:eastAsia="zh-CN"/>
              </w:rPr>
              <w:t>p1ij</w:t>
            </w:r>
            <w:r>
              <w:rPr>
                <w:rFonts w:hint="eastAsia" w:eastAsia="宋体"/>
                <w:b w:val="0"/>
                <w:bCs/>
                <w:sz w:val="24"/>
                <w:szCs w:val="24"/>
                <w:u w:val="none"/>
                <w:lang w:val="en-US" w:eastAsia="zh-CN"/>
              </w:rPr>
              <w:t>——室内j声源i倍频带的声压级，dB；</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eastAsia" w:eastAsia="宋体"/>
                <w:b w:val="0"/>
                <w:bCs/>
                <w:sz w:val="24"/>
                <w:szCs w:val="24"/>
                <w:u w:val="none"/>
                <w:lang w:val="en-US" w:eastAsia="zh-CN"/>
              </w:rPr>
            </w:pPr>
            <w:r>
              <w:rPr>
                <w:rFonts w:hint="eastAsia" w:eastAsia="宋体"/>
                <w:b w:val="0"/>
                <w:bCs/>
                <w:sz w:val="24"/>
                <w:szCs w:val="24"/>
                <w:u w:val="none"/>
                <w:lang w:val="en-US" w:eastAsia="zh-CN"/>
              </w:rPr>
              <w:t>N——室内声源总数。</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b w:val="0"/>
                <w:bCs/>
                <w:sz w:val="24"/>
                <w:szCs w:val="24"/>
                <w:u w:val="none"/>
              </w:rPr>
            </w:pPr>
            <w:r>
              <w:rPr>
                <w:b w:val="0"/>
                <w:bCs/>
                <w:sz w:val="24"/>
                <w:szCs w:val="24"/>
                <w:u w:val="none"/>
              </w:rPr>
              <w:t>在室内近似为扩散声场时，按下式计算出靠近室外围护结构处的声压级：</w:t>
            </w:r>
          </w:p>
          <w:p>
            <w:pPr>
              <w:pStyle w:val="2"/>
              <w:keepNext/>
              <w:keepLines w:val="0"/>
              <w:pageBreakBefore w:val="0"/>
              <w:widowControl w:val="0"/>
              <w:kinsoku/>
              <w:wordWrap/>
              <w:overflowPunct w:val="0"/>
              <w:topLinePunct w:val="0"/>
              <w:autoSpaceDE/>
              <w:autoSpaceDN/>
              <w:bidi w:val="0"/>
              <w:adjustRightInd/>
              <w:snapToGrid w:val="0"/>
              <w:spacing w:before="157" w:beforeLines="50" w:after="157" w:afterLines="50" w:line="440" w:lineRule="exact"/>
              <w:ind w:left="0" w:firstLine="0"/>
              <w:jc w:val="center"/>
              <w:textAlignment w:val="auto"/>
              <w:rPr>
                <w:rFonts w:hint="eastAsia" w:ascii="Times New Roman" w:hAnsi="Times New Roman" w:eastAsia="宋体" w:cs="Times New Roman"/>
                <w:b/>
                <w:bCs w:val="0"/>
                <w:sz w:val="28"/>
                <w:szCs w:val="28"/>
                <w:u w:val="none"/>
                <w:lang w:eastAsia="zh-CN"/>
              </w:rPr>
            </w:pPr>
            <w:r>
              <w:rPr>
                <w:rFonts w:hint="default" w:ascii="Times New Roman" w:hAnsi="Times New Roman" w:cs="Times New Roman"/>
                <w:b/>
                <w:bCs w:val="0"/>
                <w:sz w:val="28"/>
                <w:szCs w:val="28"/>
                <w:u w:val="none"/>
                <w:lang w:eastAsia="zh-CN"/>
              </w:rPr>
              <w:t>L</w:t>
            </w:r>
            <w:r>
              <w:rPr>
                <w:rFonts w:hint="default" w:ascii="Times New Roman" w:hAnsi="Times New Roman" w:cs="Times New Roman"/>
                <w:b/>
                <w:bCs w:val="0"/>
                <w:sz w:val="28"/>
                <w:szCs w:val="28"/>
                <w:u w:val="none"/>
                <w:vertAlign w:val="subscript"/>
                <w:lang w:eastAsia="zh-CN"/>
              </w:rPr>
              <w:t>p2i</w:t>
            </w:r>
            <w:r>
              <w:rPr>
                <w:rFonts w:hint="default" w:ascii="Times New Roman" w:hAnsi="Times New Roman" w:cs="Times New Roman"/>
                <w:b/>
                <w:bCs w:val="0"/>
                <w:sz w:val="28"/>
                <w:szCs w:val="28"/>
                <w:u w:val="none"/>
                <w:lang w:eastAsia="zh-CN"/>
              </w:rPr>
              <w:t>（T）</w:t>
            </w:r>
            <w:r>
              <w:rPr>
                <w:rFonts w:hint="eastAsia" w:ascii="Times New Roman" w:hAnsi="Times New Roman" w:cs="Times New Roman"/>
                <w:b/>
                <w:bCs w:val="0"/>
                <w:sz w:val="28"/>
                <w:szCs w:val="28"/>
                <w:u w:val="none"/>
                <w:lang w:eastAsia="zh-CN"/>
              </w:rPr>
              <w:t>＝</w:t>
            </w:r>
            <w:r>
              <w:rPr>
                <w:rFonts w:hint="default" w:ascii="Times New Roman" w:hAnsi="Times New Roman" w:cs="Times New Roman"/>
                <w:b/>
                <w:bCs w:val="0"/>
                <w:sz w:val="28"/>
                <w:szCs w:val="28"/>
                <w:u w:val="none"/>
                <w:lang w:eastAsia="zh-CN"/>
              </w:rPr>
              <w:t>L</w:t>
            </w:r>
            <w:r>
              <w:rPr>
                <w:rFonts w:hint="default" w:ascii="Times New Roman" w:hAnsi="Times New Roman" w:cs="Times New Roman"/>
                <w:b/>
                <w:bCs w:val="0"/>
                <w:sz w:val="28"/>
                <w:szCs w:val="28"/>
                <w:u w:val="none"/>
                <w:vertAlign w:val="subscript"/>
                <w:lang w:eastAsia="zh-CN"/>
              </w:rPr>
              <w:t>p1i</w:t>
            </w:r>
            <w:r>
              <w:rPr>
                <w:rFonts w:hint="default" w:ascii="Times New Roman" w:hAnsi="Times New Roman" w:cs="Times New Roman"/>
                <w:b/>
                <w:bCs w:val="0"/>
                <w:sz w:val="28"/>
                <w:szCs w:val="28"/>
                <w:u w:val="none"/>
                <w:lang w:eastAsia="zh-CN"/>
              </w:rPr>
              <w:t>（T）</w:t>
            </w:r>
            <w:r>
              <w:rPr>
                <w:rFonts w:hint="eastAsia" w:ascii="Times New Roman" w:hAnsi="Times New Roman" w:cs="Times New Roman"/>
                <w:b/>
                <w:bCs w:val="0"/>
                <w:sz w:val="28"/>
                <w:szCs w:val="28"/>
                <w:u w:val="none"/>
                <w:lang w:val="en-US" w:eastAsia="zh-CN"/>
              </w:rPr>
              <w:t>-</w:t>
            </w:r>
            <w:r>
              <w:rPr>
                <w:rFonts w:hint="eastAsia" w:ascii="Times New Roman" w:hAnsi="Times New Roman" w:cs="Times New Roman"/>
                <w:b/>
                <w:bCs w:val="0"/>
                <w:sz w:val="28"/>
                <w:szCs w:val="28"/>
                <w:u w:val="none"/>
                <w:lang w:eastAsia="zh-CN"/>
              </w:rPr>
              <w:t>（</w:t>
            </w:r>
            <w:r>
              <w:rPr>
                <w:rFonts w:hint="default" w:ascii="Times New Roman" w:hAnsi="Times New Roman" w:cs="Times New Roman"/>
                <w:b/>
                <w:bCs w:val="0"/>
                <w:sz w:val="28"/>
                <w:szCs w:val="28"/>
                <w:u w:val="none"/>
                <w:lang w:eastAsia="zh-CN"/>
              </w:rPr>
              <w:t>TL</w:t>
            </w:r>
            <w:r>
              <w:rPr>
                <w:rFonts w:hint="default" w:ascii="Times New Roman" w:hAnsi="Times New Roman" w:cs="Times New Roman"/>
                <w:b/>
                <w:bCs w:val="0"/>
                <w:sz w:val="28"/>
                <w:szCs w:val="28"/>
                <w:u w:val="none"/>
                <w:vertAlign w:val="subscript"/>
                <w:lang w:eastAsia="zh-CN"/>
              </w:rPr>
              <w:t>i</w:t>
            </w:r>
            <w:r>
              <w:rPr>
                <w:rFonts w:hint="eastAsia" w:ascii="Times New Roman" w:hAnsi="Times New Roman" w:cs="Times New Roman"/>
                <w:b/>
                <w:bCs w:val="0"/>
                <w:sz w:val="28"/>
                <w:szCs w:val="28"/>
                <w:u w:val="none"/>
                <w:vertAlign w:val="baseline"/>
                <w:lang w:eastAsia="zh-CN"/>
              </w:rPr>
              <w:t>＋</w:t>
            </w:r>
            <w:r>
              <w:rPr>
                <w:rFonts w:hint="eastAsia" w:ascii="Times New Roman" w:hAnsi="Times New Roman" w:cs="Times New Roman"/>
                <w:b/>
                <w:bCs w:val="0"/>
                <w:sz w:val="28"/>
                <w:szCs w:val="28"/>
                <w:u w:val="none"/>
                <w:vertAlign w:val="baseline"/>
                <w:lang w:val="en-US" w:eastAsia="zh-CN"/>
              </w:rPr>
              <w:t>6</w:t>
            </w:r>
            <w:r>
              <w:rPr>
                <w:rFonts w:hint="eastAsia" w:ascii="Times New Roman" w:hAnsi="Times New Roman" w:cs="Times New Roman"/>
                <w:b/>
                <w:bCs w:val="0"/>
                <w:sz w:val="28"/>
                <w:szCs w:val="28"/>
                <w:u w:val="none"/>
                <w:lang w:eastAsia="zh-CN"/>
              </w:rPr>
              <w:t>）</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default" w:ascii="Times New Roman" w:hAnsi="Times New Roman" w:cs="Times New Roman"/>
                <w:b w:val="0"/>
                <w:bCs/>
                <w:sz w:val="24"/>
                <w:szCs w:val="24"/>
                <w:u w:val="none"/>
                <w:lang w:eastAsia="zh-CN"/>
              </w:rPr>
            </w:pPr>
            <w:r>
              <w:rPr>
                <w:rFonts w:hint="default" w:ascii="Times New Roman" w:hAnsi="Times New Roman" w:cs="Times New Roman"/>
                <w:b w:val="0"/>
                <w:bCs/>
                <w:sz w:val="24"/>
                <w:szCs w:val="24"/>
                <w:u w:val="none"/>
                <w:lang w:eastAsia="zh-CN"/>
              </w:rPr>
              <w:t>式中：L</w:t>
            </w:r>
            <w:r>
              <w:rPr>
                <w:rFonts w:hint="default" w:ascii="Times New Roman" w:hAnsi="Times New Roman" w:cs="Times New Roman"/>
                <w:b w:val="0"/>
                <w:bCs/>
                <w:sz w:val="24"/>
                <w:szCs w:val="24"/>
                <w:u w:val="none"/>
                <w:vertAlign w:val="subscript"/>
                <w:lang w:eastAsia="zh-CN"/>
              </w:rPr>
              <w:t>p2i</w:t>
            </w:r>
            <w:r>
              <w:rPr>
                <w:rFonts w:hint="default" w:ascii="Times New Roman" w:hAnsi="Times New Roman" w:cs="Times New Roman"/>
                <w:b w:val="0"/>
                <w:bCs/>
                <w:sz w:val="24"/>
                <w:szCs w:val="24"/>
                <w:u w:val="none"/>
                <w:lang w:eastAsia="zh-CN"/>
              </w:rPr>
              <w:t>（T）——靠近围护结构处室外N个声源i倍频带的叠加声压级，dB；</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default" w:ascii="Times New Roman" w:hAnsi="Times New Roman" w:cs="Times New Roman"/>
                <w:b w:val="0"/>
                <w:bCs/>
                <w:sz w:val="24"/>
                <w:szCs w:val="24"/>
                <w:u w:val="none"/>
                <w:lang w:eastAsia="zh-CN"/>
              </w:rPr>
            </w:pPr>
            <w:r>
              <w:rPr>
                <w:rFonts w:hint="default" w:ascii="Times New Roman" w:hAnsi="Times New Roman" w:cs="Times New Roman"/>
                <w:b w:val="0"/>
                <w:bCs/>
                <w:sz w:val="24"/>
                <w:szCs w:val="24"/>
                <w:u w:val="none"/>
                <w:lang w:eastAsia="zh-CN"/>
              </w:rPr>
              <w:t>L</w:t>
            </w:r>
            <w:r>
              <w:rPr>
                <w:rFonts w:hint="default" w:ascii="Times New Roman" w:hAnsi="Times New Roman" w:cs="Times New Roman"/>
                <w:b w:val="0"/>
                <w:bCs/>
                <w:sz w:val="24"/>
                <w:szCs w:val="24"/>
                <w:u w:val="none"/>
                <w:vertAlign w:val="subscript"/>
                <w:lang w:eastAsia="zh-CN"/>
              </w:rPr>
              <w:t>p1i</w:t>
            </w:r>
            <w:r>
              <w:rPr>
                <w:rFonts w:hint="default" w:ascii="Times New Roman" w:hAnsi="Times New Roman" w:cs="Times New Roman"/>
                <w:b w:val="0"/>
                <w:bCs/>
                <w:sz w:val="24"/>
                <w:szCs w:val="24"/>
                <w:u w:val="none"/>
                <w:lang w:eastAsia="zh-CN"/>
              </w:rPr>
              <w:t>（T）——靠近围护结构处室内N个声源i倍频带的叠加声压级，dB；</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default" w:ascii="Times New Roman" w:hAnsi="Times New Roman" w:cs="Times New Roman"/>
                <w:b w:val="0"/>
                <w:bCs/>
                <w:sz w:val="24"/>
                <w:szCs w:val="24"/>
                <w:u w:val="none"/>
                <w:lang w:eastAsia="zh-CN"/>
              </w:rPr>
            </w:pPr>
            <w:r>
              <w:rPr>
                <w:rFonts w:hint="default" w:ascii="Times New Roman" w:hAnsi="Times New Roman" w:cs="Times New Roman"/>
                <w:b w:val="0"/>
                <w:bCs/>
                <w:sz w:val="24"/>
                <w:szCs w:val="24"/>
                <w:u w:val="none"/>
                <w:lang w:eastAsia="zh-CN"/>
              </w:rPr>
              <w:t>TL</w:t>
            </w:r>
            <w:r>
              <w:rPr>
                <w:rFonts w:hint="default" w:ascii="Times New Roman" w:hAnsi="Times New Roman" w:cs="Times New Roman"/>
                <w:b w:val="0"/>
                <w:bCs/>
                <w:sz w:val="24"/>
                <w:szCs w:val="24"/>
                <w:u w:val="none"/>
                <w:vertAlign w:val="subscript"/>
                <w:lang w:eastAsia="zh-CN"/>
              </w:rPr>
              <w:t>i</w:t>
            </w:r>
            <w:r>
              <w:rPr>
                <w:rFonts w:hint="default" w:ascii="Times New Roman" w:hAnsi="Times New Roman" w:cs="Times New Roman"/>
                <w:b w:val="0"/>
                <w:bCs/>
                <w:sz w:val="24"/>
                <w:szCs w:val="24"/>
                <w:u w:val="none"/>
                <w:lang w:eastAsia="zh-CN"/>
              </w:rPr>
              <w:t>——围护结构i倍频带的隔声量，dB；</w:t>
            </w: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left"/>
              <w:textAlignment w:val="baseline"/>
              <w:rPr>
                <w:b w:val="0"/>
                <w:bCs/>
                <w:sz w:val="24"/>
                <w:szCs w:val="24"/>
                <w:u w:val="none"/>
              </w:rPr>
            </w:pPr>
            <w:r>
              <w:rPr>
                <w:b w:val="0"/>
                <w:bCs/>
                <w:sz w:val="24"/>
                <w:szCs w:val="24"/>
                <w:u w:val="none"/>
              </w:rPr>
              <w:t>然后按下式将室外声源的声压级和透过面积换算成等效的室外声源，计算出中心位置位于透声面积（S）处的等效声源的倍频带声功率级：</w:t>
            </w:r>
          </w:p>
          <w:p>
            <w:pPr>
              <w:pStyle w:val="2"/>
              <w:keepNext/>
              <w:keepLines w:val="0"/>
              <w:pageBreakBefore w:val="0"/>
              <w:widowControl w:val="0"/>
              <w:kinsoku/>
              <w:wordWrap/>
              <w:overflowPunct w:val="0"/>
              <w:topLinePunct w:val="0"/>
              <w:autoSpaceDE/>
              <w:autoSpaceDN/>
              <w:bidi w:val="0"/>
              <w:adjustRightInd/>
              <w:snapToGrid w:val="0"/>
              <w:spacing w:before="157" w:beforeLines="50" w:after="157" w:afterLines="50" w:line="440" w:lineRule="exact"/>
              <w:ind w:left="0" w:firstLine="0"/>
              <w:jc w:val="center"/>
              <w:textAlignment w:val="auto"/>
              <w:rPr>
                <w:rFonts w:hint="eastAsia" w:eastAsia="宋体"/>
                <w:b/>
                <w:bCs w:val="0"/>
                <w:sz w:val="28"/>
                <w:szCs w:val="28"/>
                <w:u w:val="none"/>
                <w:lang w:eastAsia="zh-CN"/>
              </w:rPr>
            </w:pPr>
            <w:r>
              <w:rPr>
                <w:b/>
                <w:bCs w:val="0"/>
                <w:sz w:val="28"/>
                <w:szCs w:val="28"/>
                <w:u w:val="none"/>
              </w:rPr>
              <w:t>L</w:t>
            </w:r>
            <w:r>
              <w:rPr>
                <w:b/>
                <w:bCs w:val="0"/>
                <w:sz w:val="28"/>
                <w:szCs w:val="28"/>
                <w:u w:val="none"/>
                <w:vertAlign w:val="subscript"/>
              </w:rPr>
              <w:t>w2</w:t>
            </w:r>
            <w:r>
              <w:rPr>
                <w:rFonts w:hint="eastAsia" w:ascii="Times New Roman" w:hAnsi="Times New Roman" w:cs="Times New Roman"/>
                <w:b/>
                <w:bCs w:val="0"/>
                <w:sz w:val="28"/>
                <w:szCs w:val="28"/>
                <w:u w:val="none"/>
                <w:lang w:eastAsia="zh-CN"/>
              </w:rPr>
              <w:t>＝</w:t>
            </w:r>
            <w:r>
              <w:rPr>
                <w:b/>
                <w:bCs w:val="0"/>
                <w:sz w:val="28"/>
                <w:szCs w:val="28"/>
                <w:u w:val="none"/>
              </w:rPr>
              <w:t>L</w:t>
            </w:r>
            <w:r>
              <w:rPr>
                <w:b/>
                <w:bCs w:val="0"/>
                <w:sz w:val="28"/>
                <w:szCs w:val="28"/>
                <w:u w:val="none"/>
                <w:vertAlign w:val="subscript"/>
              </w:rPr>
              <w:t>p2</w:t>
            </w:r>
            <w:r>
              <w:rPr>
                <w:b/>
                <w:bCs w:val="0"/>
                <w:sz w:val="28"/>
                <w:szCs w:val="28"/>
                <w:u w:val="none"/>
              </w:rPr>
              <w:t>（T）</w:t>
            </w:r>
            <w:r>
              <w:rPr>
                <w:rFonts w:hint="eastAsia" w:ascii="Times New Roman" w:hAnsi="Times New Roman" w:cs="Times New Roman"/>
                <w:b/>
                <w:bCs w:val="0"/>
                <w:sz w:val="28"/>
                <w:szCs w:val="28"/>
                <w:u w:val="none"/>
                <w:vertAlign w:val="baseline"/>
                <w:lang w:eastAsia="zh-CN"/>
              </w:rPr>
              <w:t>＋</w:t>
            </w:r>
            <w:r>
              <w:rPr>
                <w:rFonts w:hint="eastAsia" w:ascii="Times New Roman" w:hAnsi="Times New Roman" w:cs="Times New Roman"/>
                <w:b/>
                <w:bCs w:val="0"/>
                <w:sz w:val="28"/>
                <w:szCs w:val="28"/>
                <w:u w:val="none"/>
                <w:vertAlign w:val="baseline"/>
                <w:lang w:val="en-US" w:eastAsia="zh-CN"/>
              </w:rPr>
              <w:t>10lgS</w:t>
            </w: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left"/>
              <w:textAlignment w:val="baseline"/>
              <w:rPr>
                <w:b w:val="0"/>
                <w:bCs/>
                <w:sz w:val="24"/>
                <w:szCs w:val="24"/>
                <w:u w:val="none"/>
              </w:rPr>
            </w:pPr>
            <w:r>
              <w:rPr>
                <w:b w:val="0"/>
                <w:bCs/>
                <w:sz w:val="24"/>
                <w:szCs w:val="24"/>
                <w:u w:val="none"/>
              </w:rPr>
              <w:t>式中：L</w:t>
            </w:r>
            <w:r>
              <w:rPr>
                <w:b w:val="0"/>
                <w:bCs/>
                <w:sz w:val="24"/>
                <w:szCs w:val="24"/>
                <w:u w:val="none"/>
                <w:vertAlign w:val="subscript"/>
              </w:rPr>
              <w:t>w2</w:t>
            </w:r>
            <w:r>
              <w:rPr>
                <w:b w:val="0"/>
                <w:bCs/>
                <w:sz w:val="24"/>
                <w:szCs w:val="24"/>
                <w:u w:val="none"/>
              </w:rPr>
              <w:t>——中心位置位于透声面积（S）处的等效声源的倍频带声功率级，dB；</w:t>
            </w:r>
          </w:p>
          <w:p>
            <w:pPr>
              <w:keepNext w:val="0"/>
              <w:keepLines w:val="0"/>
              <w:pageBreakBefore w:val="0"/>
              <w:widowControl w:val="0"/>
              <w:kinsoku/>
              <w:wordWrap/>
              <w:overflowPunct/>
              <w:topLinePunct w:val="0"/>
              <w:autoSpaceDE/>
              <w:autoSpaceDN/>
              <w:bidi w:val="0"/>
              <w:adjustRightInd w:val="0"/>
              <w:snapToGrid w:val="0"/>
              <w:spacing w:line="520" w:lineRule="exact"/>
              <w:ind w:left="0" w:right="0" w:firstLine="480" w:firstLineChars="200"/>
              <w:jc w:val="left"/>
              <w:textAlignment w:val="baseline"/>
              <w:rPr>
                <w:b w:val="0"/>
                <w:bCs/>
                <w:sz w:val="24"/>
                <w:szCs w:val="24"/>
                <w:u w:val="none"/>
              </w:rPr>
            </w:pPr>
            <w:r>
              <w:rPr>
                <w:b w:val="0"/>
                <w:bCs/>
                <w:sz w:val="24"/>
                <w:szCs w:val="24"/>
                <w:u w:val="none"/>
              </w:rPr>
              <w:t>L</w:t>
            </w:r>
            <w:r>
              <w:rPr>
                <w:b w:val="0"/>
                <w:bCs/>
                <w:sz w:val="24"/>
                <w:szCs w:val="24"/>
                <w:u w:val="none"/>
                <w:vertAlign w:val="subscript"/>
              </w:rPr>
              <w:t>p2</w:t>
            </w:r>
            <w:r>
              <w:rPr>
                <w:b w:val="0"/>
                <w:bCs/>
                <w:sz w:val="24"/>
                <w:szCs w:val="24"/>
                <w:u w:val="none"/>
              </w:rPr>
              <w:t>（T）——靠近围护结构处室外声源的声压级，dB；</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eastAsia" w:ascii="Times New Roman" w:hAnsi="Times New Roman" w:eastAsia="宋体" w:cs="Times New Roman"/>
                <w:b w:val="0"/>
                <w:bCs/>
                <w:sz w:val="24"/>
                <w:szCs w:val="24"/>
                <w:u w:val="none"/>
                <w:lang w:val="en-US" w:eastAsia="zh-CN"/>
              </w:rPr>
            </w:pPr>
            <w:r>
              <w:rPr>
                <w:b w:val="0"/>
                <w:bCs/>
                <w:sz w:val="24"/>
                <w:szCs w:val="24"/>
                <w:u w:val="none"/>
              </w:rPr>
              <w:t>S——透声面积，m</w:t>
            </w:r>
            <w:r>
              <w:rPr>
                <w:b w:val="0"/>
                <w:bCs/>
                <w:sz w:val="24"/>
                <w:szCs w:val="24"/>
                <w:u w:val="none"/>
                <w:vertAlign w:val="superscript"/>
              </w:rPr>
              <w:t>2</w:t>
            </w:r>
            <w:r>
              <w:rPr>
                <w:b w:val="0"/>
                <w:bCs/>
                <w:sz w:val="24"/>
                <w:szCs w:val="24"/>
                <w:u w:val="none"/>
              </w:rPr>
              <w:t>。</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default" w:ascii="Times New Roman" w:hAnsi="Times New Roman" w:cs="Times New Roman"/>
                <w:b w:val="0"/>
                <w:bCs/>
                <w:sz w:val="24"/>
                <w:szCs w:val="24"/>
                <w:u w:val="none"/>
                <w:lang w:eastAsia="zh-CN"/>
              </w:rPr>
            </w:pPr>
            <w:r>
              <w:rPr>
                <w:rFonts w:hint="default" w:ascii="Times New Roman" w:hAnsi="Times New Roman" w:cs="Times New Roman"/>
                <w:b w:val="0"/>
                <w:bCs/>
                <w:sz w:val="24"/>
                <w:szCs w:val="24"/>
                <w:u w:val="none"/>
                <w:lang w:eastAsia="zh-CN"/>
              </w:rPr>
              <w:t>如果声源处于半自由声场，则预测点处声压级计算公式如下：</w:t>
            </w:r>
          </w:p>
          <w:p>
            <w:pPr>
              <w:pStyle w:val="2"/>
              <w:keepNext/>
              <w:keepLines w:val="0"/>
              <w:pageBreakBefore w:val="0"/>
              <w:widowControl w:val="0"/>
              <w:kinsoku/>
              <w:wordWrap/>
              <w:overflowPunct w:val="0"/>
              <w:topLinePunct w:val="0"/>
              <w:autoSpaceDE/>
              <w:autoSpaceDN/>
              <w:bidi w:val="0"/>
              <w:adjustRightInd/>
              <w:snapToGrid w:val="0"/>
              <w:spacing w:before="157" w:beforeLines="50" w:after="157" w:afterLines="50" w:line="440" w:lineRule="exact"/>
              <w:ind w:left="0" w:firstLine="0"/>
              <w:jc w:val="center"/>
              <w:textAlignment w:val="auto"/>
              <w:rPr>
                <w:rFonts w:hint="default" w:ascii="Times New Roman" w:hAnsi="Times New Roman" w:cs="Times New Roman"/>
                <w:b/>
                <w:bCs w:val="0"/>
                <w:sz w:val="28"/>
                <w:szCs w:val="28"/>
                <w:u w:val="none"/>
                <w:lang w:eastAsia="zh-CN"/>
              </w:rPr>
            </w:pPr>
            <w:r>
              <w:rPr>
                <w:rFonts w:hint="default" w:ascii="Times New Roman" w:hAnsi="Times New Roman" w:cs="Times New Roman"/>
                <w:b/>
                <w:bCs w:val="0"/>
                <w:sz w:val="28"/>
                <w:szCs w:val="28"/>
                <w:u w:val="none"/>
                <w:lang w:eastAsia="zh-CN"/>
              </w:rPr>
              <w:t>L</w:t>
            </w:r>
            <w:r>
              <w:rPr>
                <w:rFonts w:hint="default" w:ascii="Times New Roman" w:hAnsi="Times New Roman" w:cs="Times New Roman"/>
                <w:b/>
                <w:bCs w:val="0"/>
                <w:sz w:val="28"/>
                <w:szCs w:val="28"/>
                <w:u w:val="none"/>
                <w:vertAlign w:val="subscript"/>
                <w:lang w:eastAsia="zh-CN"/>
              </w:rPr>
              <w:t>p</w:t>
            </w:r>
            <w:r>
              <w:rPr>
                <w:rFonts w:hint="default" w:ascii="Times New Roman" w:hAnsi="Times New Roman" w:cs="Times New Roman"/>
                <w:b/>
                <w:bCs w:val="0"/>
                <w:sz w:val="28"/>
                <w:szCs w:val="28"/>
                <w:u w:val="none"/>
                <w:lang w:eastAsia="zh-CN"/>
              </w:rPr>
              <w:t>（r）</w:t>
            </w:r>
            <w:r>
              <w:rPr>
                <w:rFonts w:hint="eastAsia" w:ascii="Times New Roman" w:hAnsi="Times New Roman" w:cs="Times New Roman"/>
                <w:b/>
                <w:bCs w:val="0"/>
                <w:sz w:val="28"/>
                <w:szCs w:val="28"/>
                <w:u w:val="none"/>
                <w:lang w:eastAsia="zh-CN"/>
              </w:rPr>
              <w:t>＝</w:t>
            </w:r>
            <w:r>
              <w:rPr>
                <w:rFonts w:hint="default" w:ascii="Times New Roman" w:hAnsi="Times New Roman" w:cs="Times New Roman"/>
                <w:b/>
                <w:bCs w:val="0"/>
                <w:sz w:val="28"/>
                <w:szCs w:val="28"/>
                <w:u w:val="none"/>
                <w:lang w:eastAsia="zh-CN"/>
              </w:rPr>
              <w:t>L</w:t>
            </w:r>
            <w:r>
              <w:rPr>
                <w:rFonts w:hint="eastAsia" w:ascii="Times New Roman" w:hAnsi="Times New Roman" w:cs="Times New Roman"/>
                <w:b/>
                <w:bCs w:val="0"/>
                <w:sz w:val="28"/>
                <w:szCs w:val="28"/>
                <w:u w:val="none"/>
                <w:vertAlign w:val="subscript"/>
                <w:lang w:val="en-US" w:eastAsia="zh-CN"/>
              </w:rPr>
              <w:t>w</w:t>
            </w:r>
            <w:r>
              <w:rPr>
                <w:rFonts w:hint="eastAsia" w:ascii="Times New Roman" w:hAnsi="Times New Roman" w:cs="Times New Roman"/>
                <w:b/>
                <w:bCs w:val="0"/>
                <w:sz w:val="28"/>
                <w:szCs w:val="28"/>
                <w:u w:val="none"/>
                <w:lang w:val="en-US" w:eastAsia="zh-CN"/>
              </w:rPr>
              <w:t>-20lgr-8</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default" w:ascii="Times New Roman" w:hAnsi="Times New Roman" w:cs="Times New Roman"/>
                <w:b w:val="0"/>
                <w:bCs/>
                <w:sz w:val="24"/>
                <w:szCs w:val="24"/>
                <w:u w:val="none"/>
                <w:lang w:eastAsia="zh-CN"/>
              </w:rPr>
            </w:pPr>
            <w:r>
              <w:rPr>
                <w:rFonts w:hint="default" w:ascii="Times New Roman" w:hAnsi="Times New Roman" w:cs="Times New Roman"/>
                <w:b w:val="0"/>
                <w:bCs/>
                <w:sz w:val="24"/>
                <w:szCs w:val="24"/>
                <w:u w:val="none"/>
                <w:lang w:eastAsia="zh-CN"/>
              </w:rPr>
              <w:t>式中：L</w:t>
            </w:r>
            <w:r>
              <w:rPr>
                <w:rFonts w:hint="default" w:ascii="Times New Roman" w:hAnsi="Times New Roman" w:cs="Times New Roman"/>
                <w:b w:val="0"/>
                <w:bCs/>
                <w:sz w:val="24"/>
                <w:szCs w:val="24"/>
                <w:u w:val="none"/>
                <w:vertAlign w:val="subscript"/>
                <w:lang w:eastAsia="zh-CN"/>
              </w:rPr>
              <w:t>p</w:t>
            </w:r>
            <w:r>
              <w:rPr>
                <w:rFonts w:hint="default" w:ascii="Times New Roman" w:hAnsi="Times New Roman" w:cs="Times New Roman"/>
                <w:b w:val="0"/>
                <w:bCs/>
                <w:sz w:val="24"/>
                <w:szCs w:val="24"/>
                <w:u w:val="none"/>
                <w:lang w:eastAsia="zh-CN"/>
              </w:rPr>
              <w:t>（r）——预测点处声压级，dB；</w:t>
            </w:r>
          </w:p>
          <w:p>
            <w:pPr>
              <w:keepNext w:val="0"/>
              <w:keepLines w:val="0"/>
              <w:pageBreakBefore w:val="0"/>
              <w:widowControl w:val="0"/>
              <w:kinsoku/>
              <w:wordWrap/>
              <w:overflowPunct/>
              <w:topLinePunct w:val="0"/>
              <w:bidi w:val="0"/>
              <w:adjustRightInd w:val="0"/>
              <w:snapToGrid w:val="0"/>
              <w:spacing w:line="520" w:lineRule="exact"/>
              <w:ind w:left="0" w:leftChars="0" w:right="0" w:rightChars="0" w:firstLine="482"/>
              <w:textAlignment w:val="auto"/>
              <w:rPr>
                <w:rFonts w:hint="default" w:ascii="Times New Roman" w:hAnsi="Times New Roman" w:cs="Times New Roman"/>
                <w:b w:val="0"/>
                <w:bCs/>
                <w:sz w:val="24"/>
                <w:szCs w:val="24"/>
                <w:u w:val="none"/>
                <w:lang w:eastAsia="zh-CN"/>
              </w:rPr>
            </w:pPr>
            <w:r>
              <w:rPr>
                <w:rFonts w:hint="default" w:ascii="Times New Roman" w:hAnsi="Times New Roman" w:cs="Times New Roman"/>
                <w:b w:val="0"/>
                <w:bCs/>
                <w:sz w:val="24"/>
                <w:szCs w:val="24"/>
                <w:u w:val="none"/>
                <w:lang w:eastAsia="zh-CN"/>
              </w:rPr>
              <w:t>L</w:t>
            </w:r>
            <w:r>
              <w:rPr>
                <w:rFonts w:hint="eastAsia" w:ascii="Times New Roman" w:hAnsi="Times New Roman" w:cs="Times New Roman"/>
                <w:b w:val="0"/>
                <w:bCs/>
                <w:sz w:val="24"/>
                <w:szCs w:val="24"/>
                <w:u w:val="none"/>
                <w:vertAlign w:val="subscript"/>
                <w:lang w:val="en-US" w:eastAsia="zh-CN"/>
              </w:rPr>
              <w:t>w</w:t>
            </w:r>
            <w:r>
              <w:rPr>
                <w:rFonts w:hint="default" w:ascii="Times New Roman" w:hAnsi="Times New Roman" w:cs="Times New Roman"/>
                <w:b w:val="0"/>
                <w:bCs/>
                <w:sz w:val="24"/>
                <w:szCs w:val="24"/>
                <w:u w:val="none"/>
                <w:lang w:eastAsia="zh-CN"/>
              </w:rPr>
              <w:t>——由点声源产生的倍频带声功率级，dB；</w:t>
            </w:r>
          </w:p>
          <w:p>
            <w:pPr>
              <w:ind w:firstLine="480"/>
              <w:rPr>
                <w:szCs w:val="24"/>
              </w:rPr>
            </w:pPr>
            <w:r>
              <w:rPr>
                <w:rFonts w:hint="default" w:ascii="Times New Roman" w:hAnsi="Times New Roman" w:cs="Times New Roman"/>
                <w:b w:val="0"/>
                <w:bCs/>
                <w:sz w:val="24"/>
                <w:szCs w:val="24"/>
                <w:u w:val="none"/>
                <w:lang w:eastAsia="zh-CN"/>
              </w:rPr>
              <w:t>r——预测点距声源的距离，m。</w:t>
            </w:r>
          </w:p>
          <w:p>
            <w:pPr>
              <w:ind w:firstLine="480"/>
              <w:rPr>
                <w:b/>
                <w:bCs/>
                <w:sz w:val="21"/>
              </w:rPr>
            </w:pPr>
            <w:r>
              <w:rPr>
                <w:szCs w:val="24"/>
              </w:rPr>
              <w:t>项目厂界噪声预测结果见下表。</w:t>
            </w:r>
          </w:p>
          <w:p>
            <w:pPr>
              <w:ind w:firstLine="480"/>
              <w:jc w:val="center"/>
              <w:rPr>
                <w:rFonts w:eastAsia="黑体" w:cs="Times New Roman"/>
              </w:rPr>
            </w:pPr>
            <w:r>
              <w:rPr>
                <w:rFonts w:hint="eastAsia" w:eastAsia="黑体" w:cs="Times New Roman"/>
              </w:rPr>
              <w:t>表4-</w:t>
            </w:r>
            <w:r>
              <w:rPr>
                <w:rFonts w:hint="eastAsia" w:eastAsia="黑体" w:cs="Times New Roman"/>
                <w:lang w:val="en-US" w:eastAsia="zh-CN"/>
              </w:rPr>
              <w:t>8</w:t>
            </w:r>
            <w:r>
              <w:rPr>
                <w:rFonts w:hint="eastAsia" w:eastAsia="黑体" w:cs="Times New Roman"/>
              </w:rPr>
              <w:t xml:space="preserve">    厂界处噪声预测情况一览表</w:t>
            </w:r>
          </w:p>
          <w:tbl>
            <w:tblPr>
              <w:tblStyle w:val="21"/>
              <w:tblW w:w="935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872"/>
              <w:gridCol w:w="1871"/>
              <w:gridCol w:w="1871"/>
              <w:gridCol w:w="1871"/>
              <w:gridCol w:w="1871"/>
            </w:tblGrid>
            <w:tr>
              <w:tblPrEx>
                <w:tblCellMar>
                  <w:top w:w="0" w:type="dxa"/>
                  <w:left w:w="108" w:type="dxa"/>
                  <w:bottom w:w="0" w:type="dxa"/>
                  <w:right w:w="108" w:type="dxa"/>
                </w:tblCellMar>
              </w:tblPrEx>
              <w:trPr>
                <w:trHeight w:val="20" w:hRule="atLeast"/>
                <w:jc w:val="center"/>
              </w:trPr>
              <w:tc>
                <w:tcPr>
                  <w:tcW w:w="187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测点位置</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时段</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贡献值</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标准值</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olor w:val="000000"/>
                      <w:sz w:val="21"/>
                      <w:szCs w:val="21"/>
                      <w:lang w:eastAsia="zh-CN"/>
                    </w:rPr>
                  </w:pPr>
                  <w:r>
                    <w:rPr>
                      <w:rFonts w:hint="eastAsia"/>
                      <w:color w:val="000000"/>
                      <w:sz w:val="21"/>
                      <w:szCs w:val="21"/>
                      <w:lang w:val="en-US" w:eastAsia="zh-CN"/>
                    </w:rPr>
                    <w:t>是否超标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87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东厂界</w:t>
                  </w:r>
                </w:p>
              </w:tc>
              <w:tc>
                <w:tcPr>
                  <w:tcW w:w="187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rFonts w:hint="eastAsia"/>
                      <w:sz w:val="21"/>
                      <w:szCs w:val="21"/>
                    </w:rPr>
                    <w:t>昼间</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34.2</w:t>
                  </w:r>
                </w:p>
              </w:tc>
              <w:tc>
                <w:tcPr>
                  <w:tcW w:w="187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60</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宋体"/>
                      <w:color w:val="000000"/>
                      <w:sz w:val="21"/>
                      <w:szCs w:val="21"/>
                      <w:lang w:val="en-US" w:eastAsia="zh-CN"/>
                    </w:rPr>
                  </w:pPr>
                  <w:r>
                    <w:rPr>
                      <w:rFonts w:hint="eastAsia"/>
                      <w:color w:val="000000"/>
                      <w:sz w:val="21"/>
                      <w:szCs w:val="21"/>
                      <w:lang w:val="en-US" w:eastAsia="zh-CN"/>
                    </w:rPr>
                    <w:t>达标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87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南厂界</w:t>
                  </w:r>
                </w:p>
              </w:tc>
              <w:tc>
                <w:tcPr>
                  <w:tcW w:w="187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36.3</w:t>
                  </w:r>
                </w:p>
              </w:tc>
              <w:tc>
                <w:tcPr>
                  <w:tcW w:w="187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rFonts w:hint="eastAsia"/>
                      <w:color w:val="000000"/>
                      <w:sz w:val="21"/>
                      <w:szCs w:val="21"/>
                      <w:lang w:val="en-US" w:eastAsia="zh-CN"/>
                    </w:rPr>
                    <w:t>达标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87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西厂界</w:t>
                  </w:r>
                </w:p>
              </w:tc>
              <w:tc>
                <w:tcPr>
                  <w:tcW w:w="187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38.1</w:t>
                  </w:r>
                </w:p>
              </w:tc>
              <w:tc>
                <w:tcPr>
                  <w:tcW w:w="187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rFonts w:hint="eastAsia"/>
                      <w:color w:val="000000"/>
                      <w:sz w:val="21"/>
                      <w:szCs w:val="21"/>
                      <w:lang w:val="en-US" w:eastAsia="zh-CN"/>
                    </w:rPr>
                    <w:t>达标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187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color w:val="000000"/>
                      <w:sz w:val="21"/>
                      <w:szCs w:val="21"/>
                    </w:rPr>
                    <w:t>北厂界</w:t>
                  </w:r>
                </w:p>
              </w:tc>
              <w:tc>
                <w:tcPr>
                  <w:tcW w:w="187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40.2</w:t>
                  </w:r>
                </w:p>
              </w:tc>
              <w:tc>
                <w:tcPr>
                  <w:tcW w:w="187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color w:val="000000"/>
                      <w:sz w:val="21"/>
                      <w:szCs w:val="21"/>
                    </w:rPr>
                  </w:pPr>
                  <w:r>
                    <w:rPr>
                      <w:rFonts w:hint="eastAsia"/>
                      <w:color w:val="000000"/>
                      <w:sz w:val="21"/>
                      <w:szCs w:val="21"/>
                      <w:lang w:val="en-US" w:eastAsia="zh-CN"/>
                    </w:rPr>
                    <w:t>达标</w:t>
                  </w:r>
                </w:p>
              </w:tc>
            </w:tr>
          </w:tbl>
          <w:p>
            <w:pPr>
              <w:ind w:firstLine="480"/>
            </w:pPr>
            <w:r>
              <w:rPr>
                <w:rFonts w:cs="Times New Roman"/>
              </w:rPr>
              <w:t>由预测结果可知，经采取基础减振和厂房隔声措施后，项目四个厂界昼夜噪声值能满足《工业企业厂界环境噪声排放标准》（GB12348-2008）2类标准[昼间≤60dB(A)]的要求。</w:t>
            </w:r>
            <w:r>
              <w:rPr>
                <w:rFonts w:hint="eastAsia"/>
              </w:rPr>
              <w:t>项目产生的噪声对周边环境影响较小。</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baseline"/>
              <w:rPr>
                <w:b/>
                <w:color w:val="000000"/>
                <w:sz w:val="24"/>
              </w:rPr>
            </w:pPr>
            <w:r>
              <w:rPr>
                <w:rFonts w:hint="eastAsia"/>
                <w:b/>
                <w:color w:val="000000"/>
                <w:sz w:val="24"/>
                <w:lang w:val="en-US" w:eastAsia="zh-CN"/>
              </w:rPr>
              <w:t>3.3</w:t>
            </w:r>
            <w:r>
              <w:rPr>
                <w:b/>
                <w:color w:val="000000"/>
                <w:sz w:val="24"/>
              </w:rPr>
              <w:t xml:space="preserve"> 噪声监测计划</w:t>
            </w:r>
          </w:p>
          <w:p>
            <w:pPr>
              <w:ind w:firstLine="480"/>
            </w:pPr>
            <w:r>
              <w:rPr>
                <w:rFonts w:hint="eastAsia"/>
              </w:rPr>
              <w:t>根据《排污</w:t>
            </w:r>
            <w:r>
              <w:rPr>
                <w:rFonts w:hint="eastAsia"/>
                <w:lang w:val="en-US" w:eastAsia="zh-CN"/>
              </w:rPr>
              <w:t>单位自行监测技术指南</w:t>
            </w:r>
            <w:r>
              <w:rPr>
                <w:rFonts w:hint="eastAsia"/>
              </w:rPr>
              <w:t xml:space="preserve"> 食品制造》（HJ</w:t>
            </w:r>
            <w:r>
              <w:rPr>
                <w:rFonts w:hint="eastAsia"/>
                <w:lang w:val="en-US" w:eastAsia="zh-CN"/>
              </w:rPr>
              <w:t>1084-</w:t>
            </w:r>
            <w:r>
              <w:rPr>
                <w:rFonts w:hint="eastAsia"/>
              </w:rPr>
              <w:t>20</w:t>
            </w:r>
            <w:r>
              <w:rPr>
                <w:rFonts w:hint="eastAsia"/>
                <w:lang w:val="en-US" w:eastAsia="zh-CN"/>
              </w:rPr>
              <w:t>20</w:t>
            </w:r>
            <w:r>
              <w:rPr>
                <w:rFonts w:hint="eastAsia"/>
              </w:rPr>
              <w:t>），评价提出噪声监测要求如下：</w:t>
            </w:r>
          </w:p>
          <w:p>
            <w:pPr>
              <w:ind w:firstLine="480"/>
              <w:jc w:val="center"/>
              <w:rPr>
                <w:rFonts w:eastAsia="黑体" w:cs="Times New Roman"/>
              </w:rPr>
            </w:pPr>
            <w:r>
              <w:rPr>
                <w:rFonts w:hint="eastAsia" w:eastAsia="黑体" w:cs="Times New Roman"/>
              </w:rPr>
              <w:t>表4-</w:t>
            </w:r>
            <w:r>
              <w:rPr>
                <w:rFonts w:hint="eastAsia" w:eastAsia="黑体" w:cs="Times New Roman"/>
                <w:lang w:val="en-US" w:eastAsia="zh-CN"/>
              </w:rPr>
              <w:t>9</w:t>
            </w:r>
            <w:r>
              <w:rPr>
                <w:rFonts w:hint="eastAsia" w:eastAsia="黑体" w:cs="Times New Roman"/>
              </w:rPr>
              <w:t xml:space="preserve">  噪声监测计划表</w:t>
            </w:r>
          </w:p>
          <w:tbl>
            <w:tblPr>
              <w:tblStyle w:val="21"/>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89"/>
              <w:gridCol w:w="1784"/>
              <w:gridCol w:w="1653"/>
              <w:gridCol w:w="1408"/>
              <w:gridCol w:w="38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16" w:type="pct"/>
                  <w:tcBorders>
                    <w:tl2br w:val="nil"/>
                    <w:tr2bl w:val="nil"/>
                  </w:tcBorders>
                  <w:vAlign w:val="center"/>
                </w:tcPr>
                <w:p>
                  <w:pPr>
                    <w:pStyle w:val="26"/>
                  </w:pPr>
                  <w:r>
                    <w:t>类别</w:t>
                  </w:r>
                </w:p>
              </w:tc>
              <w:tc>
                <w:tcPr>
                  <w:tcW w:w="939" w:type="pct"/>
                  <w:tcBorders>
                    <w:tl2br w:val="nil"/>
                    <w:tr2bl w:val="nil"/>
                  </w:tcBorders>
                  <w:vAlign w:val="center"/>
                </w:tcPr>
                <w:p>
                  <w:pPr>
                    <w:pStyle w:val="26"/>
                  </w:pPr>
                  <w:r>
                    <w:t>监测点位</w:t>
                  </w:r>
                </w:p>
              </w:tc>
              <w:tc>
                <w:tcPr>
                  <w:tcW w:w="870" w:type="pct"/>
                  <w:tcBorders>
                    <w:tl2br w:val="nil"/>
                    <w:tr2bl w:val="nil"/>
                  </w:tcBorders>
                  <w:vAlign w:val="center"/>
                </w:tcPr>
                <w:p>
                  <w:pPr>
                    <w:pStyle w:val="26"/>
                  </w:pPr>
                  <w:r>
                    <w:t>监测指标</w:t>
                  </w:r>
                </w:p>
              </w:tc>
              <w:tc>
                <w:tcPr>
                  <w:tcW w:w="741" w:type="pct"/>
                  <w:tcBorders>
                    <w:tl2br w:val="nil"/>
                    <w:tr2bl w:val="nil"/>
                  </w:tcBorders>
                  <w:vAlign w:val="center"/>
                </w:tcPr>
                <w:p>
                  <w:pPr>
                    <w:pStyle w:val="26"/>
                  </w:pPr>
                  <w:r>
                    <w:t>监测频次</w:t>
                  </w:r>
                </w:p>
              </w:tc>
              <w:tc>
                <w:tcPr>
                  <w:tcW w:w="2032" w:type="pct"/>
                  <w:tcBorders>
                    <w:tl2br w:val="nil"/>
                    <w:tr2bl w:val="nil"/>
                  </w:tcBorders>
                  <w:vAlign w:val="center"/>
                </w:tcPr>
                <w:p>
                  <w:pPr>
                    <w:pStyle w:val="26"/>
                  </w:pPr>
                  <w:r>
                    <w:t>执行排放标准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16" w:type="pct"/>
                  <w:tcBorders>
                    <w:tl2br w:val="nil"/>
                    <w:tr2bl w:val="nil"/>
                  </w:tcBorders>
                  <w:vAlign w:val="center"/>
                </w:tcPr>
                <w:p>
                  <w:pPr>
                    <w:pStyle w:val="26"/>
                  </w:pPr>
                  <w:r>
                    <w:t>噪声</w:t>
                  </w:r>
                </w:p>
              </w:tc>
              <w:tc>
                <w:tcPr>
                  <w:tcW w:w="939" w:type="pct"/>
                  <w:tcBorders>
                    <w:tl2br w:val="nil"/>
                    <w:tr2bl w:val="nil"/>
                  </w:tcBorders>
                  <w:vAlign w:val="center"/>
                </w:tcPr>
                <w:p>
                  <w:pPr>
                    <w:pStyle w:val="26"/>
                  </w:pPr>
                  <w:r>
                    <w:t>东、南、西、北厂界</w:t>
                  </w:r>
                </w:p>
              </w:tc>
              <w:tc>
                <w:tcPr>
                  <w:tcW w:w="870" w:type="pct"/>
                  <w:tcBorders>
                    <w:tl2br w:val="nil"/>
                    <w:tr2bl w:val="nil"/>
                  </w:tcBorders>
                  <w:vAlign w:val="center"/>
                </w:tcPr>
                <w:p>
                  <w:pPr>
                    <w:pStyle w:val="26"/>
                  </w:pPr>
                  <w:r>
                    <w:t>等效连续</w:t>
                  </w:r>
                </w:p>
                <w:p>
                  <w:pPr>
                    <w:pStyle w:val="26"/>
                  </w:pPr>
                  <w:r>
                    <w:t>A声级</w:t>
                  </w:r>
                </w:p>
              </w:tc>
              <w:tc>
                <w:tcPr>
                  <w:tcW w:w="741" w:type="pct"/>
                  <w:tcBorders>
                    <w:tl2br w:val="nil"/>
                    <w:tr2bl w:val="nil"/>
                  </w:tcBorders>
                  <w:vAlign w:val="center"/>
                </w:tcPr>
                <w:p>
                  <w:pPr>
                    <w:pStyle w:val="26"/>
                  </w:pPr>
                  <w:r>
                    <w:t>每季度1次</w:t>
                  </w:r>
                </w:p>
              </w:tc>
              <w:tc>
                <w:tcPr>
                  <w:tcW w:w="2032" w:type="pct"/>
                  <w:tcBorders>
                    <w:tl2br w:val="nil"/>
                    <w:tr2bl w:val="nil"/>
                  </w:tcBorders>
                  <w:vAlign w:val="center"/>
                </w:tcPr>
                <w:p>
                  <w:pPr>
                    <w:pStyle w:val="26"/>
                  </w:pPr>
                  <w:r>
                    <w:t>《工业企业厂界环境噪声排放标准》（GB12348-2008）2类</w:t>
                  </w:r>
                </w:p>
              </w:tc>
            </w:tr>
          </w:tbl>
          <w:p>
            <w:pPr>
              <w:ind w:firstLine="482"/>
              <w:rPr>
                <w:rFonts w:hint="eastAsia"/>
                <w:b/>
                <w:bCs/>
              </w:rPr>
            </w:pPr>
          </w:p>
          <w:p>
            <w:pPr>
              <w:ind w:firstLine="482"/>
              <w:rPr>
                <w:b/>
                <w:bCs/>
              </w:rPr>
            </w:pPr>
            <w:r>
              <w:rPr>
                <w:rFonts w:hint="eastAsia"/>
                <w:b/>
                <w:bCs/>
              </w:rPr>
              <w:t>4</w:t>
            </w:r>
            <w:r>
              <w:rPr>
                <w:b/>
                <w:bCs/>
              </w:rPr>
              <w:t>.</w:t>
            </w:r>
            <w:r>
              <w:rPr>
                <w:rFonts w:hint="eastAsia"/>
                <w:b/>
                <w:bCs/>
              </w:rPr>
              <w:t>固体废物</w:t>
            </w:r>
          </w:p>
          <w:p>
            <w:pPr>
              <w:ind w:firstLine="480"/>
            </w:pPr>
            <w:r>
              <w:rPr>
                <w:rFonts w:hint="eastAsia"/>
              </w:rPr>
              <w:t>由工程分析可知，项目运营期产生的固体废物主要有废包装材料、</w:t>
            </w:r>
            <w:r>
              <w:rPr>
                <w:rFonts w:hint="eastAsia"/>
                <w:lang w:val="en-US" w:eastAsia="zh-CN"/>
              </w:rPr>
              <w:t>除尘器收尘</w:t>
            </w:r>
            <w:r>
              <w:rPr>
                <w:rFonts w:hint="eastAsia"/>
              </w:rPr>
              <w:t>、生活垃圾。项目各固废处置情况如下：</w:t>
            </w:r>
          </w:p>
          <w:p>
            <w:pPr>
              <w:ind w:firstLine="480"/>
            </w:pPr>
            <w:r>
              <w:rPr>
                <w:rFonts w:hint="eastAsia"/>
              </w:rPr>
              <w:t>（1）废包装材料</w:t>
            </w:r>
          </w:p>
          <w:p>
            <w:pPr>
              <w:ind w:firstLine="480"/>
            </w:pPr>
            <w:r>
              <w:rPr>
                <w:rFonts w:hint="eastAsia"/>
              </w:rPr>
              <w:t>本项目在运营过程产生的废包装材料约为0</w:t>
            </w:r>
            <w:r>
              <w:t>.</w:t>
            </w:r>
            <w:r>
              <w:rPr>
                <w:rFonts w:hint="eastAsia"/>
                <w:lang w:val="en-US" w:eastAsia="zh-CN"/>
              </w:rPr>
              <w:t>3</w:t>
            </w:r>
            <w:r>
              <w:t>t/a。</w:t>
            </w:r>
            <w:r>
              <w:rPr>
                <w:rFonts w:hint="eastAsia"/>
              </w:rPr>
              <w:t>经收集后暂存</w:t>
            </w:r>
            <w:r>
              <w:rPr>
                <w:rFonts w:hint="eastAsia"/>
                <w:lang w:val="en-US" w:eastAsia="zh-CN"/>
              </w:rPr>
              <w:t>与</w:t>
            </w:r>
            <w:r>
              <w:rPr>
                <w:rFonts w:hint="eastAsia"/>
              </w:rPr>
              <w:t>一般固废</w:t>
            </w:r>
            <w:r>
              <w:rPr>
                <w:rFonts w:hint="eastAsia"/>
                <w:lang w:val="en-US" w:eastAsia="zh-CN"/>
              </w:rPr>
              <w:t>暂存</w:t>
            </w:r>
            <w:r>
              <w:rPr>
                <w:rFonts w:hint="eastAsia"/>
              </w:rPr>
              <w:t>间，定期外售。</w:t>
            </w:r>
          </w:p>
          <w:p>
            <w:pPr>
              <w:ind w:firstLine="480"/>
              <w:rPr>
                <w:rFonts w:hint="default" w:eastAsia="宋体"/>
                <w:lang w:val="en-US" w:eastAsia="zh-CN"/>
              </w:rPr>
            </w:pPr>
            <w:r>
              <w:rPr>
                <w:rFonts w:hint="eastAsia"/>
              </w:rPr>
              <w:t>（</w:t>
            </w:r>
            <w:r>
              <w:t>2</w:t>
            </w:r>
            <w:r>
              <w:rPr>
                <w:rFonts w:hint="eastAsia"/>
              </w:rPr>
              <w:t>）</w:t>
            </w:r>
            <w:r>
              <w:rPr>
                <w:rFonts w:hint="eastAsia"/>
                <w:lang w:val="en-US" w:eastAsia="zh-CN"/>
              </w:rPr>
              <w:t>除尘器收尘</w:t>
            </w:r>
          </w:p>
          <w:p>
            <w:pPr>
              <w:ind w:firstLine="480"/>
              <w:rPr>
                <w:rFonts w:hint="default" w:eastAsia="宋体"/>
                <w:lang w:val="en-US" w:eastAsia="zh-CN"/>
              </w:rPr>
            </w:pPr>
            <w:r>
              <w:rPr>
                <w:rFonts w:hint="eastAsia"/>
                <w:lang w:val="en-US" w:eastAsia="zh-CN"/>
              </w:rPr>
              <w:t>根据工程分析，除尘器收尘产生量约0.0138t/a，经收集后外售综合利用。</w:t>
            </w:r>
          </w:p>
          <w:p>
            <w:pPr>
              <w:ind w:firstLine="480"/>
            </w:pPr>
            <w:r>
              <w:rPr>
                <w:rFonts w:hint="eastAsia"/>
              </w:rPr>
              <w:t>（</w:t>
            </w:r>
            <w:r>
              <w:rPr>
                <w:rFonts w:hint="eastAsia"/>
                <w:lang w:val="en-US" w:eastAsia="zh-CN"/>
              </w:rPr>
              <w:t>3</w:t>
            </w:r>
            <w:r>
              <w:rPr>
                <w:rFonts w:hint="eastAsia"/>
              </w:rPr>
              <w:t>）生活垃圾</w:t>
            </w:r>
          </w:p>
          <w:p>
            <w:pPr>
              <w:ind w:firstLine="480"/>
            </w:pPr>
            <w:r>
              <w:rPr>
                <w:rFonts w:hint="eastAsia"/>
              </w:rPr>
              <w:t>项目劳动定员</w:t>
            </w:r>
            <w:r>
              <w:rPr>
                <w:rFonts w:hint="eastAsia"/>
                <w:lang w:val="en-US" w:eastAsia="zh-CN"/>
              </w:rPr>
              <w:t>6</w:t>
            </w:r>
            <w:r>
              <w:rPr>
                <w:rFonts w:hint="eastAsia"/>
              </w:rPr>
              <w:t>人，均不在厂区食宿，生活垃圾按照</w:t>
            </w:r>
            <w:r>
              <w:t>0.5</w:t>
            </w:r>
            <w:r>
              <w:rPr>
                <w:rFonts w:hint="eastAsia"/>
              </w:rPr>
              <w:t>kg/人•d计算，年生产</w:t>
            </w:r>
            <w:r>
              <w:rPr>
                <w:rFonts w:hint="eastAsia"/>
                <w:lang w:val="en-US" w:eastAsia="zh-CN"/>
              </w:rPr>
              <w:t>300</w:t>
            </w:r>
            <w:r>
              <w:rPr>
                <w:rFonts w:hint="eastAsia"/>
              </w:rPr>
              <w:t>天，则生活垃圾产生量为</w:t>
            </w:r>
            <w:r>
              <w:rPr>
                <w:rFonts w:hint="eastAsia"/>
                <w:lang w:val="en-US" w:eastAsia="zh-CN"/>
              </w:rPr>
              <w:t>0.9</w:t>
            </w:r>
            <w:r>
              <w:rPr>
                <w:rFonts w:hint="eastAsia"/>
              </w:rPr>
              <w:t>t/a。厂区设置若干垃圾桶，生活垃圾经收集后，由环卫部门统一处理。</w:t>
            </w:r>
          </w:p>
          <w:p>
            <w:pPr>
              <w:ind w:firstLine="480"/>
            </w:pPr>
            <w:r>
              <w:rPr>
                <w:rFonts w:hint="eastAsia"/>
              </w:rPr>
              <w:t>本项目固体废物处置汇总情况见下表：</w:t>
            </w:r>
          </w:p>
          <w:p>
            <w:pPr>
              <w:ind w:firstLine="480"/>
              <w:jc w:val="center"/>
              <w:rPr>
                <w:rFonts w:eastAsia="黑体" w:cs="Times New Roman"/>
              </w:rPr>
            </w:pPr>
            <w:r>
              <w:rPr>
                <w:rFonts w:hint="eastAsia" w:eastAsia="黑体" w:cs="Times New Roman"/>
              </w:rPr>
              <w:t>表4-1</w:t>
            </w:r>
            <w:r>
              <w:rPr>
                <w:rFonts w:hint="eastAsia" w:eastAsia="黑体" w:cs="Times New Roman"/>
                <w:lang w:val="en-US" w:eastAsia="zh-CN"/>
              </w:rPr>
              <w:t>0</w:t>
            </w:r>
            <w:r>
              <w:rPr>
                <w:rFonts w:hint="eastAsia" w:eastAsia="黑体" w:cs="Times New Roman"/>
              </w:rPr>
              <w:t xml:space="preserve">  项目固体废物处置情况一览表</w:t>
            </w:r>
          </w:p>
          <w:tbl>
            <w:tblPr>
              <w:tblStyle w:val="21"/>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438"/>
              <w:gridCol w:w="1329"/>
              <w:gridCol w:w="1101"/>
              <w:gridCol w:w="1395"/>
              <w:gridCol w:w="1234"/>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tcBorders>
                    <w:left w:val="single" w:color="auto" w:sz="0"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序号</w:t>
                  </w:r>
                </w:p>
              </w:tc>
              <w:tc>
                <w:tcPr>
                  <w:tcW w:w="14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污染物</w:t>
                  </w:r>
                </w:p>
              </w:tc>
              <w:tc>
                <w:tcPr>
                  <w:tcW w:w="132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产生途径</w:t>
                  </w:r>
                </w:p>
              </w:tc>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产生量（t/a）</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color w:val="000000"/>
                      <w:sz w:val="21"/>
                      <w:szCs w:val="21"/>
                      <w:lang w:eastAsia="zh-CN"/>
                    </w:rPr>
                  </w:pPr>
                  <w:r>
                    <w:rPr>
                      <w:rFonts w:hint="eastAsia"/>
                      <w:color w:val="000000"/>
                      <w:sz w:val="21"/>
                      <w:szCs w:val="21"/>
                      <w:lang w:eastAsia="zh-CN"/>
                    </w:rPr>
                    <w:t>废物代码</w:t>
                  </w:r>
                </w:p>
              </w:tc>
              <w:tc>
                <w:tcPr>
                  <w:tcW w:w="123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属性</w:t>
                  </w:r>
                </w:p>
              </w:tc>
              <w:tc>
                <w:tcPr>
                  <w:tcW w:w="224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处理或处置方法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1</w:t>
                  </w:r>
                </w:p>
              </w:tc>
              <w:tc>
                <w:tcPr>
                  <w:tcW w:w="14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生活垃圾</w:t>
                  </w:r>
                </w:p>
              </w:tc>
              <w:tc>
                <w:tcPr>
                  <w:tcW w:w="132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职工生活</w:t>
                  </w:r>
                </w:p>
              </w:tc>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0.9</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color w:val="000000"/>
                      <w:sz w:val="21"/>
                      <w:szCs w:val="21"/>
                      <w:lang w:val="en-US" w:eastAsia="zh-CN"/>
                    </w:rPr>
                  </w:pPr>
                  <w:r>
                    <w:rPr>
                      <w:rFonts w:hint="eastAsia"/>
                      <w:color w:val="000000"/>
                      <w:sz w:val="21"/>
                      <w:szCs w:val="21"/>
                      <w:lang w:val="en-US" w:eastAsia="zh-CN"/>
                    </w:rPr>
                    <w:t>/</w:t>
                  </w:r>
                </w:p>
              </w:tc>
              <w:tc>
                <w:tcPr>
                  <w:tcW w:w="123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生活垃圾</w:t>
                  </w:r>
                </w:p>
              </w:tc>
              <w:tc>
                <w:tcPr>
                  <w:tcW w:w="224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统一收集后交由环卫部门集中处置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kern w:val="2"/>
                      <w:sz w:val="21"/>
                      <w:szCs w:val="21"/>
                      <w:lang w:val="en-US" w:eastAsia="zh-CN" w:bidi="ar-SA"/>
                    </w:rPr>
                  </w:pPr>
                  <w:r>
                    <w:rPr>
                      <w:color w:val="000000"/>
                      <w:sz w:val="21"/>
                      <w:szCs w:val="21"/>
                    </w:rPr>
                    <w:t>2</w:t>
                  </w:r>
                </w:p>
              </w:tc>
              <w:tc>
                <w:tcPr>
                  <w:tcW w:w="14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废包装材料</w:t>
                  </w:r>
                </w:p>
              </w:tc>
              <w:tc>
                <w:tcPr>
                  <w:tcW w:w="132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color w:val="000000"/>
                      <w:sz w:val="21"/>
                      <w:szCs w:val="21"/>
                      <w:lang w:val="en-US" w:eastAsia="zh-CN"/>
                    </w:rPr>
                  </w:pPr>
                  <w:r>
                    <w:rPr>
                      <w:rFonts w:hint="eastAsia"/>
                      <w:color w:val="000000"/>
                      <w:sz w:val="21"/>
                      <w:szCs w:val="21"/>
                      <w:lang w:val="en-US" w:eastAsia="zh-CN"/>
                    </w:rPr>
                    <w:t>原料包装</w:t>
                  </w:r>
                </w:p>
              </w:tc>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color w:val="000000"/>
                      <w:sz w:val="21"/>
                      <w:szCs w:val="21"/>
                      <w:lang w:val="en-US" w:eastAsia="zh-CN"/>
                    </w:rPr>
                  </w:pPr>
                  <w:r>
                    <w:rPr>
                      <w:rFonts w:hint="eastAsia"/>
                      <w:color w:val="000000"/>
                      <w:sz w:val="21"/>
                      <w:szCs w:val="21"/>
                      <w:lang w:val="en-US" w:eastAsia="zh-CN"/>
                    </w:rPr>
                    <w:t>0.3</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eastAsia="宋体"/>
                      <w:color w:val="000000"/>
                      <w:sz w:val="21"/>
                      <w:szCs w:val="21"/>
                      <w:lang w:val="en-US" w:eastAsia="zh-CN"/>
                    </w:rPr>
                  </w:pPr>
                  <w:r>
                    <w:rPr>
                      <w:rFonts w:hint="eastAsia"/>
                      <w:sz w:val="21"/>
                      <w:szCs w:val="21"/>
                    </w:rPr>
                    <w:t>900-999-99</w:t>
                  </w:r>
                </w:p>
              </w:tc>
              <w:tc>
                <w:tcPr>
                  <w:tcW w:w="123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color w:val="000000"/>
                      <w:sz w:val="21"/>
                      <w:szCs w:val="21"/>
                    </w:rPr>
                  </w:pPr>
                  <w:r>
                    <w:rPr>
                      <w:color w:val="000000"/>
                      <w:sz w:val="21"/>
                      <w:szCs w:val="21"/>
                    </w:rPr>
                    <w:t>一般固废</w:t>
                  </w:r>
                </w:p>
              </w:tc>
              <w:tc>
                <w:tcPr>
                  <w:tcW w:w="224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color w:val="000000"/>
                      <w:sz w:val="21"/>
                      <w:szCs w:val="21"/>
                    </w:rPr>
                  </w:pPr>
                  <w:r>
                    <w:rPr>
                      <w:color w:val="000000"/>
                      <w:sz w:val="21"/>
                      <w:szCs w:val="21"/>
                    </w:rPr>
                    <w:t>经收集后</w:t>
                  </w:r>
                  <w:r>
                    <w:rPr>
                      <w:rFonts w:hint="eastAsia"/>
                      <w:color w:val="000000"/>
                      <w:sz w:val="21"/>
                      <w:szCs w:val="21"/>
                      <w:lang w:eastAsia="zh-CN"/>
                    </w:rPr>
                    <w:t>，暂存于一座</w:t>
                  </w:r>
                  <w:r>
                    <w:rPr>
                      <w:rFonts w:hint="eastAsia"/>
                      <w:color w:val="000000"/>
                      <w:sz w:val="21"/>
                      <w:szCs w:val="21"/>
                      <w:lang w:val="en-US" w:eastAsia="zh-CN"/>
                    </w:rPr>
                    <w:t>10m</w:t>
                  </w:r>
                  <w:r>
                    <w:rPr>
                      <w:rFonts w:hint="eastAsia"/>
                      <w:color w:val="000000"/>
                      <w:sz w:val="21"/>
                      <w:szCs w:val="21"/>
                      <w:vertAlign w:val="superscript"/>
                      <w:lang w:val="en-US" w:eastAsia="zh-CN"/>
                    </w:rPr>
                    <w:t>2</w:t>
                  </w:r>
                  <w:r>
                    <w:rPr>
                      <w:rFonts w:hint="eastAsia"/>
                      <w:color w:val="000000"/>
                      <w:sz w:val="21"/>
                      <w:szCs w:val="21"/>
                      <w:lang w:val="en-US" w:eastAsia="zh-CN"/>
                    </w:rPr>
                    <w:t>一般固废暂存间，定期</w:t>
                  </w:r>
                  <w:r>
                    <w:rPr>
                      <w:color w:val="000000"/>
                      <w:sz w:val="21"/>
                      <w:szCs w:val="21"/>
                    </w:rPr>
                    <w:t>外售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14" w:type="dxa"/>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eastAsia="宋体"/>
                      <w:color w:val="000000"/>
                      <w:kern w:val="2"/>
                      <w:sz w:val="21"/>
                      <w:szCs w:val="21"/>
                      <w:lang w:val="en-US" w:eastAsia="zh-CN" w:bidi="ar-SA"/>
                    </w:rPr>
                  </w:pPr>
                  <w:r>
                    <w:rPr>
                      <w:rFonts w:hint="eastAsia"/>
                      <w:color w:val="000000"/>
                      <w:sz w:val="21"/>
                      <w:szCs w:val="21"/>
                      <w:lang w:val="en-US" w:eastAsia="zh-CN"/>
                    </w:rPr>
                    <w:t>3</w:t>
                  </w:r>
                </w:p>
              </w:tc>
              <w:tc>
                <w:tcPr>
                  <w:tcW w:w="14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heme="minorBidi"/>
                      <w:color w:val="000000"/>
                      <w:kern w:val="2"/>
                      <w:sz w:val="21"/>
                      <w:szCs w:val="21"/>
                      <w:lang w:val="en-US" w:eastAsia="zh-CN" w:bidi="ar-SA"/>
                    </w:rPr>
                  </w:pPr>
                  <w:r>
                    <w:rPr>
                      <w:rFonts w:hint="eastAsia"/>
                      <w:color w:val="000000"/>
                      <w:sz w:val="21"/>
                      <w:szCs w:val="21"/>
                      <w:lang w:val="en-US" w:eastAsia="zh-CN"/>
                    </w:rPr>
                    <w:t>除尘器收尘</w:t>
                  </w:r>
                </w:p>
              </w:tc>
              <w:tc>
                <w:tcPr>
                  <w:tcW w:w="132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heme="minorBidi"/>
                      <w:color w:val="000000"/>
                      <w:kern w:val="2"/>
                      <w:sz w:val="21"/>
                      <w:szCs w:val="21"/>
                      <w:lang w:val="en-US" w:eastAsia="zh-CN" w:bidi="ar-SA"/>
                    </w:rPr>
                  </w:pPr>
                  <w:r>
                    <w:rPr>
                      <w:rFonts w:hint="eastAsia"/>
                      <w:color w:val="000000"/>
                      <w:sz w:val="21"/>
                      <w:szCs w:val="21"/>
                      <w:lang w:val="en-US" w:eastAsia="zh-CN"/>
                    </w:rPr>
                    <w:t>废气处理</w:t>
                  </w:r>
                </w:p>
              </w:tc>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heme="minorBidi"/>
                      <w:color w:val="000000"/>
                      <w:kern w:val="2"/>
                      <w:sz w:val="21"/>
                      <w:szCs w:val="21"/>
                      <w:lang w:val="en-US" w:eastAsia="zh-CN" w:bidi="ar-SA"/>
                    </w:rPr>
                  </w:pPr>
                  <w:r>
                    <w:rPr>
                      <w:rFonts w:hint="eastAsia"/>
                      <w:color w:val="000000"/>
                      <w:sz w:val="21"/>
                      <w:szCs w:val="21"/>
                      <w:lang w:val="en-US" w:eastAsia="zh-CN"/>
                    </w:rPr>
                    <w:t>0.0138</w:t>
                  </w:r>
                </w:p>
              </w:tc>
              <w:tc>
                <w:tcPr>
                  <w:tcW w:w="139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heme="minorBidi"/>
                      <w:color w:val="000000"/>
                      <w:kern w:val="2"/>
                      <w:sz w:val="21"/>
                      <w:szCs w:val="21"/>
                      <w:lang w:val="en-US" w:eastAsia="zh-CN" w:bidi="ar-SA"/>
                    </w:rPr>
                  </w:pPr>
                  <w:r>
                    <w:rPr>
                      <w:rFonts w:hint="eastAsia"/>
                      <w:sz w:val="21"/>
                      <w:szCs w:val="21"/>
                    </w:rPr>
                    <w:t>900-999-</w:t>
                  </w:r>
                  <w:r>
                    <w:rPr>
                      <w:rFonts w:hint="eastAsia"/>
                      <w:sz w:val="21"/>
                      <w:szCs w:val="21"/>
                      <w:lang w:val="en-US" w:eastAsia="zh-CN"/>
                    </w:rPr>
                    <w:t>66</w:t>
                  </w:r>
                </w:p>
              </w:tc>
              <w:tc>
                <w:tcPr>
                  <w:tcW w:w="123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eastAsia="宋体" w:cstheme="minorBidi"/>
                      <w:color w:val="000000"/>
                      <w:kern w:val="2"/>
                      <w:sz w:val="21"/>
                      <w:szCs w:val="21"/>
                      <w:lang w:val="en-US" w:eastAsia="zh-CN" w:bidi="ar-SA"/>
                    </w:rPr>
                  </w:pPr>
                  <w:r>
                    <w:rPr>
                      <w:color w:val="000000"/>
                      <w:sz w:val="21"/>
                      <w:szCs w:val="21"/>
                    </w:rPr>
                    <w:t>一般固废</w:t>
                  </w:r>
                </w:p>
              </w:tc>
              <w:tc>
                <w:tcPr>
                  <w:tcW w:w="224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经收集后外售综合利用</w:t>
                  </w:r>
                </w:p>
              </w:tc>
            </w:tr>
          </w:tbl>
          <w:p>
            <w:pPr>
              <w:ind w:firstLine="480"/>
              <w:rPr>
                <w:rFonts w:cs="Times New Roman"/>
                <w:szCs w:val="24"/>
              </w:rPr>
            </w:pPr>
            <w:r>
              <w:rPr>
                <w:rFonts w:hint="eastAsia" w:cs="Times New Roman"/>
                <w:szCs w:val="24"/>
              </w:rPr>
              <w:t>（</w:t>
            </w:r>
            <w:r>
              <w:rPr>
                <w:rFonts w:hint="eastAsia" w:cs="Times New Roman"/>
                <w:szCs w:val="24"/>
                <w:lang w:val="en-US" w:eastAsia="zh-CN"/>
              </w:rPr>
              <w:t>4</w:t>
            </w:r>
            <w:r>
              <w:rPr>
                <w:rFonts w:hint="eastAsia" w:cs="Times New Roman"/>
                <w:szCs w:val="24"/>
              </w:rPr>
              <w:t>）一般固废管理要求</w:t>
            </w:r>
          </w:p>
          <w:p>
            <w:pPr>
              <w:ind w:firstLine="480"/>
            </w:pPr>
            <w:r>
              <w:rPr>
                <w:rFonts w:hint="eastAsia" w:ascii="Times New Roman" w:hAnsi="Times New Roman" w:eastAsia="宋体" w:cs="Times New Roman"/>
                <w:b w:val="0"/>
                <w:bCs/>
                <w:sz w:val="24"/>
                <w:u w:val="none"/>
                <w:lang w:val="en-GB"/>
              </w:rPr>
              <w:t>本项目根据</w:t>
            </w:r>
            <w:r>
              <w:rPr>
                <w:rFonts w:hint="eastAsia" w:ascii="Times New Roman" w:hAnsi="Times New Roman" w:eastAsia="宋体" w:cs="Times New Roman"/>
                <w:b w:val="0"/>
                <w:bCs/>
                <w:sz w:val="24"/>
                <w:u w:val="none"/>
                <w:lang w:val="en-GB" w:eastAsia="zh-CN"/>
              </w:rPr>
              <w:t>《</w:t>
            </w:r>
            <w:r>
              <w:rPr>
                <w:rFonts w:hint="eastAsia" w:ascii="Times New Roman" w:hAnsi="Times New Roman" w:eastAsia="宋体" w:cs="Times New Roman"/>
                <w:b w:val="0"/>
                <w:bCs/>
                <w:sz w:val="24"/>
                <w:u w:val="none"/>
                <w:lang w:val="en-US" w:eastAsia="zh-CN"/>
              </w:rPr>
              <w:t>中华人民共和国固体废物污染环境防治法</w:t>
            </w:r>
            <w:r>
              <w:rPr>
                <w:rFonts w:hint="eastAsia" w:ascii="Times New Roman" w:hAnsi="Times New Roman" w:eastAsia="宋体" w:cs="Times New Roman"/>
                <w:b w:val="0"/>
                <w:bCs/>
                <w:sz w:val="24"/>
                <w:u w:val="none"/>
                <w:lang w:val="en-GB" w:eastAsia="zh-CN"/>
              </w:rPr>
              <w:t>》（</w:t>
            </w:r>
            <w:r>
              <w:rPr>
                <w:rFonts w:hint="eastAsia" w:ascii="Times New Roman" w:hAnsi="Times New Roman" w:eastAsia="宋体" w:cs="Times New Roman"/>
                <w:b w:val="0"/>
                <w:bCs/>
                <w:sz w:val="24"/>
                <w:u w:val="none"/>
                <w:lang w:val="en-US" w:eastAsia="zh-CN"/>
              </w:rPr>
              <w:t>2020年4月29日修正</w:t>
            </w:r>
            <w:r>
              <w:rPr>
                <w:rFonts w:hint="eastAsia" w:ascii="Times New Roman" w:hAnsi="Times New Roman" w:eastAsia="宋体" w:cs="Times New Roman"/>
                <w:b w:val="0"/>
                <w:bCs/>
                <w:sz w:val="24"/>
                <w:u w:val="none"/>
                <w:lang w:val="en-GB" w:eastAsia="zh-CN"/>
              </w:rPr>
              <w:t>）要求，</w:t>
            </w:r>
            <w:r>
              <w:rPr>
                <w:rFonts w:hint="eastAsia" w:ascii="Times New Roman" w:hAnsi="Times New Roman" w:eastAsia="宋体" w:cs="Times New Roman"/>
                <w:b w:val="0"/>
                <w:bCs/>
                <w:sz w:val="24"/>
                <w:u w:val="none"/>
                <w:lang w:val="en-US" w:eastAsia="zh-CN"/>
              </w:rPr>
              <w:t>设置</w:t>
            </w:r>
            <w:r>
              <w:rPr>
                <w:rFonts w:hint="eastAsia" w:ascii="Times New Roman" w:hAnsi="Times New Roman" w:eastAsia="宋体" w:cs="Times New Roman"/>
                <w:b w:val="0"/>
                <w:bCs/>
                <w:sz w:val="24"/>
                <w:u w:val="none"/>
                <w:lang w:val="en-GB" w:eastAsia="zh-CN"/>
              </w:rPr>
              <w:t>一座面积为</w:t>
            </w:r>
            <w:r>
              <w:rPr>
                <w:rFonts w:hint="eastAsia" w:cs="Times New Roman"/>
                <w:b w:val="0"/>
                <w:bCs/>
                <w:sz w:val="24"/>
                <w:u w:val="none"/>
                <w:lang w:val="en-US" w:eastAsia="zh-CN"/>
              </w:rPr>
              <w:t>10</w:t>
            </w:r>
            <w:r>
              <w:rPr>
                <w:rFonts w:hint="eastAsia" w:ascii="Times New Roman" w:hAnsi="Times New Roman" w:eastAsia="宋体" w:cs="Times New Roman"/>
                <w:b w:val="0"/>
                <w:bCs/>
                <w:sz w:val="24"/>
                <w:u w:val="none"/>
                <w:lang w:val="en-US" w:eastAsia="zh-CN"/>
              </w:rPr>
              <w:t>m</w:t>
            </w:r>
            <w:r>
              <w:rPr>
                <w:rFonts w:hint="eastAsia" w:ascii="Times New Roman" w:hAnsi="Times New Roman" w:eastAsia="宋体" w:cs="Times New Roman"/>
                <w:b w:val="0"/>
                <w:bCs/>
                <w:sz w:val="24"/>
                <w:u w:val="none"/>
                <w:vertAlign w:val="superscript"/>
                <w:lang w:val="en-US" w:eastAsia="zh-CN"/>
              </w:rPr>
              <w:t>2</w:t>
            </w:r>
            <w:r>
              <w:rPr>
                <w:rFonts w:hint="eastAsia" w:ascii="Times New Roman" w:hAnsi="Times New Roman" w:eastAsia="宋体" w:cs="Times New Roman"/>
                <w:b w:val="0"/>
                <w:bCs/>
                <w:sz w:val="24"/>
                <w:u w:val="none"/>
                <w:lang w:val="en-US" w:eastAsia="zh-CN"/>
              </w:rPr>
              <w:t>的</w:t>
            </w:r>
            <w:r>
              <w:rPr>
                <w:rFonts w:hint="eastAsia" w:ascii="Times New Roman" w:hAnsi="Times New Roman" w:eastAsia="宋体" w:cs="Times New Roman"/>
                <w:b w:val="0"/>
                <w:bCs/>
                <w:sz w:val="24"/>
                <w:u w:val="none"/>
                <w:lang w:val="en-GB"/>
              </w:rPr>
              <w:t>一般固废暂存间，做到防渗漏、防雨淋、防扬散，同时应避免固体废物在产生、转运、暂存及处置过程中对环境造成二次污染。建立工业固体废物产生、收集、贮存、运输、利用、处置全过程的污染环境防治责任制度，建立工业固体废物管理台账，如实记录产生工业固体废物的种类、数量、流向、贮存、利用、处置等信息，实现工业固体废物可追溯、可查询，并采取防治工业固体废物污染环境的措施。</w:t>
            </w:r>
          </w:p>
          <w:p>
            <w:pPr>
              <w:ind w:firstLine="482"/>
              <w:rPr>
                <w:rFonts w:hint="eastAsia"/>
                <w:b/>
                <w:bCs/>
              </w:rPr>
            </w:pPr>
          </w:p>
          <w:p>
            <w:pPr>
              <w:ind w:firstLine="482"/>
              <w:rPr>
                <w:b/>
                <w:bCs/>
              </w:rPr>
            </w:pPr>
            <w:r>
              <w:rPr>
                <w:rFonts w:hint="eastAsia"/>
                <w:b/>
                <w:bCs/>
              </w:rPr>
              <w:t>5、地下水、土壤</w:t>
            </w:r>
          </w:p>
          <w:p>
            <w:pPr>
              <w:ind w:firstLine="480"/>
            </w:pPr>
            <w:r>
              <w:rPr>
                <w:rFonts w:hint="eastAsia" w:ascii="Times New Roman" w:hAnsi="Times New Roman" w:eastAsia="宋体" w:cs="Times New Roman"/>
                <w:bCs/>
                <w:sz w:val="24"/>
                <w:lang w:val="en-US" w:eastAsia="zh-CN"/>
              </w:rPr>
              <w:t>本项目废气经收集处理后，颗粒物、</w:t>
            </w:r>
            <w:r>
              <w:rPr>
                <w:rFonts w:hint="eastAsia" w:cs="Times New Roman"/>
                <w:bCs/>
                <w:sz w:val="24"/>
                <w:lang w:val="en-US" w:eastAsia="zh-CN"/>
              </w:rPr>
              <w:t>二氧化硫、氮氧化物</w:t>
            </w:r>
            <w:r>
              <w:rPr>
                <w:rFonts w:hint="eastAsia" w:ascii="Times New Roman" w:hAnsi="Times New Roman" w:eastAsia="宋体" w:cs="Times New Roman"/>
                <w:bCs/>
                <w:sz w:val="24"/>
                <w:lang w:val="en-US" w:eastAsia="zh-CN"/>
              </w:rPr>
              <w:t>可实现达标排放，</w:t>
            </w:r>
            <w:r>
              <w:rPr>
                <w:rFonts w:hint="eastAsia"/>
                <w:bCs/>
                <w:sz w:val="24"/>
              </w:rPr>
              <w:t>对周围环境影响较小。</w:t>
            </w:r>
            <w:r>
              <w:rPr>
                <w:rFonts w:hint="default" w:ascii="Times New Roman" w:hAnsi="Times New Roman" w:eastAsia="宋体" w:cs="Times New Roman"/>
                <w:bCs/>
                <w:sz w:val="24"/>
                <w:lang w:val="en-US" w:eastAsia="zh-CN"/>
              </w:rPr>
              <w:t>项目废水主要为生活污水，</w:t>
            </w:r>
            <w:r>
              <w:rPr>
                <w:rFonts w:hint="eastAsia" w:ascii="Times New Roman" w:hAnsi="Times New Roman" w:eastAsia="宋体" w:cs="Times New Roman"/>
                <w:bCs/>
                <w:sz w:val="24"/>
                <w:lang w:val="en-US" w:eastAsia="zh-CN"/>
              </w:rPr>
              <w:t>生活污水</w:t>
            </w:r>
            <w:r>
              <w:rPr>
                <w:rFonts w:hint="default" w:ascii="Times New Roman" w:hAnsi="Times New Roman" w:eastAsia="宋体" w:cs="Times New Roman"/>
                <w:bCs/>
                <w:sz w:val="24"/>
                <w:lang w:val="en-US" w:eastAsia="zh-CN"/>
              </w:rPr>
              <w:t>经厂区化粪池处理后，定期</w:t>
            </w:r>
            <w:r>
              <w:rPr>
                <w:rFonts w:hint="eastAsia" w:ascii="Times New Roman" w:hAnsi="Times New Roman" w:eastAsia="宋体" w:cs="Times New Roman"/>
                <w:bCs/>
                <w:sz w:val="24"/>
                <w:lang w:val="en-US" w:eastAsia="zh-CN"/>
              </w:rPr>
              <w:t>清掏肥田</w:t>
            </w:r>
            <w:r>
              <w:rPr>
                <w:rFonts w:hint="eastAsia" w:cs="Times New Roman"/>
                <w:bCs/>
                <w:sz w:val="24"/>
                <w:lang w:val="en-US" w:eastAsia="zh-CN"/>
              </w:rPr>
              <w:t>，</w:t>
            </w:r>
            <w:r>
              <w:rPr>
                <w:rFonts w:hint="eastAsia" w:ascii="Times New Roman" w:hAnsi="Times New Roman" w:eastAsia="宋体" w:cs="Times New Roman"/>
                <w:bCs/>
                <w:sz w:val="24"/>
                <w:lang w:val="en-US" w:eastAsia="zh-CN"/>
              </w:rPr>
              <w:t>不外排。项目</w:t>
            </w:r>
            <w:r>
              <w:rPr>
                <w:rFonts w:hint="eastAsia" w:ascii="Times New Roman" w:hAnsi="Times New Roman" w:eastAsia="宋体" w:cs="Times New Roman"/>
                <w:sz w:val="24"/>
                <w:szCs w:val="24"/>
                <w:lang w:val="en-US" w:eastAsia="zh-CN"/>
              </w:rPr>
              <w:t>产生的固体废物均能实现妥善处理与处置，不会产生二次污染。</w:t>
            </w:r>
            <w:r>
              <w:rPr>
                <w:rFonts w:hint="eastAsia"/>
                <w:bCs/>
                <w:sz w:val="24"/>
              </w:rPr>
              <w:t>项目营运期各污染物对地下水、土壤影响较小。</w:t>
            </w:r>
          </w:p>
          <w:p>
            <w:pPr>
              <w:ind w:firstLine="482"/>
              <w:rPr>
                <w:b/>
                <w:bCs/>
              </w:rPr>
            </w:pPr>
            <w:r>
              <w:rPr>
                <w:rFonts w:hint="eastAsia"/>
                <w:b/>
                <w:bCs/>
                <w:lang w:val="en-US" w:eastAsia="zh-CN"/>
              </w:rPr>
              <w:t>6</w:t>
            </w:r>
            <w:r>
              <w:rPr>
                <w:rFonts w:hint="eastAsia"/>
                <w:b/>
                <w:bCs/>
              </w:rPr>
              <w:t>、环境风险</w:t>
            </w:r>
          </w:p>
          <w:p>
            <w:pPr>
              <w:ind w:firstLine="482"/>
              <w:rPr>
                <w:b/>
                <w:bCs/>
              </w:rPr>
            </w:pPr>
            <w:r>
              <w:rPr>
                <w:rFonts w:hint="eastAsia"/>
                <w:b/>
                <w:bCs/>
                <w:lang w:val="en-US" w:eastAsia="zh-CN"/>
              </w:rPr>
              <w:t>6</w:t>
            </w:r>
            <w:r>
              <w:rPr>
                <w:b/>
                <w:bCs/>
              </w:rPr>
              <w:t>.1</w:t>
            </w:r>
            <w:r>
              <w:rPr>
                <w:rFonts w:hint="eastAsia"/>
                <w:b/>
                <w:bCs/>
              </w:rPr>
              <w:t>环境风险调查</w:t>
            </w:r>
          </w:p>
          <w:p>
            <w:pPr>
              <w:ind w:firstLine="480"/>
              <w:rPr>
                <w:rFonts w:hint="default" w:eastAsia="宋体"/>
                <w:lang w:val="en-US" w:eastAsia="zh-CN"/>
              </w:rPr>
            </w:pPr>
            <w:r>
              <w:rPr>
                <w:rFonts w:hint="eastAsia"/>
              </w:rPr>
              <w:t>本项目</w:t>
            </w:r>
            <w:r>
              <w:rPr>
                <w:rFonts w:hint="eastAsia"/>
                <w:lang w:val="en-US" w:eastAsia="zh-CN"/>
              </w:rPr>
              <w:t>天然气热风炉，使用的天然气为管道天然气，天然气不在厂区储存。项目可能发生的环境风险为天然气管道泄漏，遇明火引发的火灾和爆炸事故。</w:t>
            </w:r>
          </w:p>
          <w:p>
            <w:pPr>
              <w:ind w:firstLine="482"/>
              <w:rPr>
                <w:b/>
                <w:bCs/>
              </w:rPr>
            </w:pPr>
            <w:r>
              <w:rPr>
                <w:rFonts w:hint="eastAsia"/>
                <w:b/>
                <w:bCs/>
                <w:lang w:val="en-US" w:eastAsia="zh-CN"/>
              </w:rPr>
              <w:t>6</w:t>
            </w:r>
            <w:r>
              <w:rPr>
                <w:b/>
                <w:bCs/>
              </w:rPr>
              <w:t>.2</w:t>
            </w:r>
            <w:r>
              <w:rPr>
                <w:rFonts w:hint="eastAsia"/>
                <w:b/>
                <w:bCs/>
              </w:rPr>
              <w:t>环境风险分析</w:t>
            </w:r>
          </w:p>
          <w:p>
            <w:pPr>
              <w:ind w:firstLine="480"/>
            </w:pPr>
            <w:r>
              <w:rPr>
                <w:rFonts w:hint="eastAsia" w:hAnsi="宋体"/>
                <w:sz w:val="24"/>
                <w:u w:val="none"/>
              </w:rPr>
              <w:t>本项目天然气泄漏，达到一定浓度遇明火发生火灾或爆炸时，事故不完全燃烧，同时伴随大量烟尘、</w:t>
            </w:r>
            <w:r>
              <w:rPr>
                <w:rFonts w:hAnsi="宋体"/>
                <w:sz w:val="24"/>
                <w:u w:val="none"/>
              </w:rPr>
              <w:t>CO</w:t>
            </w:r>
            <w:r>
              <w:rPr>
                <w:rFonts w:hint="eastAsia" w:hAnsi="宋体"/>
                <w:sz w:val="24"/>
                <w:u w:val="none"/>
              </w:rPr>
              <w:t>、</w:t>
            </w:r>
            <w:r>
              <w:rPr>
                <w:rFonts w:hAnsi="宋体"/>
                <w:sz w:val="24"/>
                <w:u w:val="none"/>
              </w:rPr>
              <w:t>SO</w:t>
            </w:r>
            <w:r>
              <w:rPr>
                <w:rFonts w:hAnsi="宋体"/>
                <w:sz w:val="24"/>
                <w:u w:val="none"/>
                <w:vertAlign w:val="subscript"/>
              </w:rPr>
              <w:t>2</w:t>
            </w:r>
            <w:r>
              <w:rPr>
                <w:rFonts w:hint="eastAsia" w:hAnsi="宋体"/>
                <w:sz w:val="24"/>
                <w:u w:val="none"/>
              </w:rPr>
              <w:t>等污染物的产生。</w:t>
            </w:r>
            <w:r>
              <w:rPr>
                <w:rFonts w:hint="eastAsia"/>
              </w:rPr>
              <w:t>对周围</w:t>
            </w:r>
            <w:r>
              <w:rPr>
                <w:rFonts w:hint="eastAsia"/>
                <w:lang w:val="en-US" w:eastAsia="zh-CN"/>
              </w:rPr>
              <w:t>大气环境</w:t>
            </w:r>
            <w:r>
              <w:rPr>
                <w:rFonts w:hint="eastAsia"/>
              </w:rPr>
              <w:t>造成不利影响。</w:t>
            </w:r>
          </w:p>
          <w:p>
            <w:pPr>
              <w:ind w:firstLine="482"/>
              <w:rPr>
                <w:b/>
                <w:bCs/>
              </w:rPr>
            </w:pPr>
            <w:r>
              <w:rPr>
                <w:rFonts w:hint="eastAsia"/>
                <w:b/>
                <w:bCs/>
                <w:lang w:val="en-US" w:eastAsia="zh-CN"/>
              </w:rPr>
              <w:t>6</w:t>
            </w:r>
            <w:r>
              <w:rPr>
                <w:b/>
                <w:bCs/>
              </w:rPr>
              <w:t>.3</w:t>
            </w:r>
            <w:r>
              <w:rPr>
                <w:rFonts w:hint="eastAsia"/>
                <w:b/>
                <w:bCs/>
              </w:rPr>
              <w:t>环境风险防范措施及应急要求</w:t>
            </w:r>
          </w:p>
          <w:p>
            <w:pPr>
              <w:adjustRightInd w:val="0"/>
              <w:snapToGrid w:val="0"/>
              <w:spacing w:line="480" w:lineRule="exact"/>
              <w:ind w:firstLine="480"/>
              <w:rPr>
                <w:rFonts w:cs="Times New Roman"/>
                <w:szCs w:val="24"/>
              </w:rPr>
            </w:pPr>
            <w:r>
              <w:rPr>
                <w:rFonts w:cs="Times New Roman"/>
                <w:szCs w:val="24"/>
              </w:rPr>
              <w:t>（1）风险防范措施</w:t>
            </w:r>
          </w:p>
          <w:p>
            <w:pPr>
              <w:ind w:firstLine="480"/>
              <w:rPr>
                <w:u w:val="none"/>
              </w:rPr>
            </w:pPr>
            <w:r>
              <w:rPr>
                <w:rFonts w:hint="eastAsia"/>
                <w:sz w:val="24"/>
                <w:u w:val="none"/>
              </w:rPr>
              <w:t>本项目防范措施主要体现在风险管理方面，拟建项目设计、建造和运行要科学规划、合理布局、严格执行防火安全设计规范，保证工程质量，严格安全生产制度、严格日常管理，提高操作人员素质和水平，以减少事故的发生。厂区一旦发生事故，则要根据具体情况采取应急措施，切断泄漏源、火源，控制事故扩大。</w:t>
            </w:r>
          </w:p>
          <w:p>
            <w:pPr>
              <w:ind w:firstLine="480"/>
            </w:pPr>
            <w:r>
              <w:rPr>
                <w:rFonts w:hint="eastAsia"/>
              </w:rPr>
              <w:t>（2）应急处理要求</w:t>
            </w:r>
          </w:p>
          <w:p>
            <w:pPr>
              <w:spacing w:line="520" w:lineRule="exact"/>
              <w:ind w:firstLine="480" w:firstLineChars="200"/>
              <w:rPr>
                <w:rFonts w:hint="eastAsia" w:eastAsia="宋体"/>
                <w:sz w:val="24"/>
                <w:u w:val="none"/>
                <w:lang w:eastAsia="zh-CN"/>
              </w:rPr>
            </w:pPr>
            <w:r>
              <w:rPr>
                <w:rFonts w:hint="eastAsia"/>
                <w:sz w:val="24"/>
                <w:u w:val="none"/>
              </w:rPr>
              <w:t>天然气管道泄漏应急处理方案</w:t>
            </w:r>
            <w:r>
              <w:rPr>
                <w:rFonts w:hint="eastAsia"/>
                <w:sz w:val="24"/>
                <w:u w:val="none"/>
                <w:lang w:eastAsia="zh-CN"/>
              </w:rPr>
              <w:t>：</w:t>
            </w:r>
          </w:p>
          <w:p>
            <w:pPr>
              <w:spacing w:line="520" w:lineRule="exact"/>
              <w:ind w:firstLine="480" w:firstLineChars="200"/>
              <w:rPr>
                <w:rFonts w:hint="eastAsia"/>
                <w:sz w:val="24"/>
                <w:u w:val="none"/>
              </w:rPr>
            </w:pPr>
            <w:r>
              <w:rPr>
                <w:rFonts w:hint="eastAsia"/>
                <w:sz w:val="24"/>
                <w:u w:val="none"/>
              </w:rPr>
              <w:t>①立即通知当地政府、公安、消防、燃管、安监等部门，迅速组织疏散事故发生地周围居民群众，告知附近居民熄灭一切火源。</w:t>
            </w:r>
          </w:p>
          <w:p>
            <w:pPr>
              <w:spacing w:line="520" w:lineRule="exact"/>
              <w:ind w:firstLine="480" w:firstLineChars="200"/>
              <w:rPr>
                <w:rFonts w:hint="eastAsia"/>
                <w:sz w:val="24"/>
                <w:u w:val="none"/>
              </w:rPr>
            </w:pPr>
            <w:r>
              <w:rPr>
                <w:rFonts w:hint="eastAsia"/>
                <w:sz w:val="24"/>
                <w:u w:val="none"/>
              </w:rPr>
              <w:t>②现场指挥人员迅速赶到出事地点，协助当地相关部门，围控事故区域，在事故区域内设置警戒线、警示标志，确保人民群众远离危险。</w:t>
            </w:r>
          </w:p>
          <w:p>
            <w:pPr>
              <w:spacing w:line="520" w:lineRule="exact"/>
              <w:ind w:firstLine="480" w:firstLineChars="200"/>
              <w:rPr>
                <w:rFonts w:hint="eastAsia"/>
                <w:sz w:val="24"/>
                <w:u w:val="none"/>
              </w:rPr>
            </w:pPr>
            <w:r>
              <w:rPr>
                <w:rFonts w:hint="eastAsia"/>
                <w:sz w:val="24"/>
                <w:u w:val="none"/>
              </w:rPr>
              <w:t>③现场指挥人员进一步摸清事故现场泄漏情况，评估事故发展状况、影响范围，将情况立即汇报有关部门。</w:t>
            </w:r>
          </w:p>
          <w:p>
            <w:pPr>
              <w:spacing w:line="520" w:lineRule="exact"/>
              <w:ind w:firstLine="480" w:firstLineChars="200"/>
              <w:rPr>
                <w:rFonts w:hint="eastAsia"/>
                <w:sz w:val="24"/>
                <w:u w:val="none"/>
              </w:rPr>
            </w:pPr>
            <w:r>
              <w:rPr>
                <w:rFonts w:hint="eastAsia"/>
                <w:sz w:val="24"/>
                <w:u w:val="none"/>
              </w:rPr>
              <w:t>④采取一切必要措施封堵泄漏部位。</w:t>
            </w:r>
          </w:p>
          <w:p>
            <w:pPr>
              <w:ind w:firstLine="480"/>
            </w:pPr>
            <w:r>
              <w:rPr>
                <w:rFonts w:hint="eastAsia"/>
                <w:sz w:val="24"/>
                <w:u w:val="none"/>
              </w:rPr>
              <w:t>⑤发生事故后，专业抢修人员以最快的速度到达事故现场，及时挖出泄漏处管沟土方，在抢修焊接过程中，使用轴流风机强制排出沟管的天然气，并进行不间断的可燃气体监测和安全监护。</w:t>
            </w:r>
          </w:p>
          <w:p>
            <w:pPr>
              <w:ind w:firstLine="480"/>
            </w:pPr>
            <w:r>
              <w:rPr>
                <w:rFonts w:hint="eastAsia"/>
              </w:rPr>
              <w:t>此外，评价建议企业根据项目实际情况设立切实有效的应急预案，并定期进行消防演练和消防知识培训。</w:t>
            </w:r>
          </w:p>
          <w:p>
            <w:pPr>
              <w:ind w:firstLine="480"/>
            </w:pPr>
            <w:r>
              <w:rPr>
                <w:rFonts w:hint="eastAsia"/>
              </w:rPr>
              <w:t>综上，经采取风险防范措施后，本项目环境风险可防控。</w:t>
            </w:r>
          </w:p>
          <w:p>
            <w:pPr>
              <w:ind w:firstLine="482"/>
              <w:rPr>
                <w:b/>
                <w:bCs/>
              </w:rPr>
            </w:pPr>
            <w:r>
              <w:rPr>
                <w:rFonts w:hint="eastAsia"/>
                <w:b/>
                <w:bCs/>
                <w:lang w:val="en-US" w:eastAsia="zh-CN"/>
              </w:rPr>
              <w:t>7</w:t>
            </w:r>
            <w:r>
              <w:rPr>
                <w:rFonts w:hint="eastAsia"/>
                <w:b/>
                <w:bCs/>
              </w:rPr>
              <w:t>、环保投资</w:t>
            </w:r>
          </w:p>
          <w:p>
            <w:pPr>
              <w:ind w:firstLine="480"/>
            </w:pPr>
            <w:r>
              <w:t>本项目总投资</w:t>
            </w:r>
            <w:r>
              <w:rPr>
                <w:rFonts w:hint="eastAsia"/>
                <w:lang w:val="en-US" w:eastAsia="zh-CN"/>
              </w:rPr>
              <w:t>101</w:t>
            </w:r>
            <w:r>
              <w:t>万元，其中环保投资</w:t>
            </w:r>
            <w:r>
              <w:rPr>
                <w:rFonts w:hint="eastAsia"/>
                <w:szCs w:val="24"/>
                <w:lang w:val="en-US" w:eastAsia="zh-CN"/>
              </w:rPr>
              <w:t>18</w:t>
            </w:r>
            <w:r>
              <w:t>万元，环保投资站总投资的</w:t>
            </w:r>
            <w:r>
              <w:rPr>
                <w:rFonts w:hint="eastAsia"/>
                <w:lang w:val="en-US" w:eastAsia="zh-CN"/>
              </w:rPr>
              <w:t>17.8</w:t>
            </w:r>
            <w:r>
              <w:t>%。具体环保投资见下表。</w:t>
            </w:r>
          </w:p>
          <w:p>
            <w:pPr>
              <w:ind w:firstLine="482"/>
              <w:jc w:val="center"/>
              <w:rPr>
                <w:rFonts w:eastAsia="黑体" w:cs="Times New Roman"/>
                <w:b w:val="0"/>
                <w:bCs/>
                <w:u w:val="none"/>
              </w:rPr>
            </w:pPr>
            <w:r>
              <w:rPr>
                <w:rFonts w:hint="eastAsia" w:eastAsia="黑体" w:cs="Times New Roman"/>
                <w:b w:val="0"/>
                <w:bCs/>
                <w:u w:val="none"/>
              </w:rPr>
              <w:t>表4-1</w:t>
            </w:r>
            <w:r>
              <w:rPr>
                <w:rFonts w:hint="eastAsia" w:eastAsia="黑体" w:cs="Times New Roman"/>
                <w:b w:val="0"/>
                <w:bCs/>
                <w:u w:val="none"/>
                <w:lang w:val="en-US" w:eastAsia="zh-CN"/>
              </w:rPr>
              <w:t>1</w:t>
            </w:r>
            <w:r>
              <w:rPr>
                <w:rFonts w:hint="eastAsia" w:eastAsia="黑体" w:cs="Times New Roman"/>
                <w:b w:val="0"/>
                <w:bCs/>
                <w:u w:val="none"/>
              </w:rPr>
              <w:t xml:space="preserve"> </w:t>
            </w:r>
            <w:r>
              <w:rPr>
                <w:rFonts w:hint="eastAsia" w:eastAsia="黑体" w:cs="Times New Roman"/>
                <w:b w:val="0"/>
                <w:bCs/>
                <w:u w:val="none"/>
                <w:lang w:val="en-US" w:eastAsia="zh-CN"/>
              </w:rPr>
              <w:t xml:space="preserve"> </w:t>
            </w:r>
            <w:r>
              <w:rPr>
                <w:rFonts w:hint="eastAsia" w:eastAsia="黑体" w:cs="Times New Roman"/>
                <w:b w:val="0"/>
                <w:bCs/>
                <w:u w:val="none"/>
              </w:rPr>
              <w:t>工程环保投资一览表</w:t>
            </w:r>
          </w:p>
          <w:tbl>
            <w:tblPr>
              <w:tblStyle w:val="22"/>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428"/>
              <w:gridCol w:w="3754"/>
              <w:gridCol w:w="23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tcBorders>
                    <w:tl2br w:val="nil"/>
                    <w:tr2bl w:val="nil"/>
                  </w:tcBorders>
                  <w:vAlign w:val="center"/>
                </w:tcPr>
                <w:p>
                  <w:pPr>
                    <w:spacing w:line="320" w:lineRule="exact"/>
                    <w:ind w:firstLine="0" w:firstLineChars="0"/>
                    <w:jc w:val="center"/>
                    <w:rPr>
                      <w:sz w:val="21"/>
                      <w:szCs w:val="21"/>
                    </w:rPr>
                  </w:pPr>
                  <w:r>
                    <w:rPr>
                      <w:sz w:val="21"/>
                      <w:szCs w:val="21"/>
                    </w:rPr>
                    <w:t>类别</w:t>
                  </w:r>
                </w:p>
              </w:tc>
              <w:tc>
                <w:tcPr>
                  <w:tcW w:w="1278" w:type="pct"/>
                  <w:tcBorders>
                    <w:tl2br w:val="nil"/>
                    <w:tr2bl w:val="nil"/>
                  </w:tcBorders>
                  <w:vAlign w:val="center"/>
                </w:tcPr>
                <w:p>
                  <w:pPr>
                    <w:spacing w:line="320" w:lineRule="exact"/>
                    <w:ind w:firstLine="0" w:firstLineChars="0"/>
                    <w:jc w:val="center"/>
                    <w:rPr>
                      <w:sz w:val="21"/>
                      <w:szCs w:val="21"/>
                    </w:rPr>
                  </w:pPr>
                  <w:r>
                    <w:rPr>
                      <w:sz w:val="21"/>
                      <w:szCs w:val="21"/>
                    </w:rPr>
                    <w:t>污染源</w:t>
                  </w:r>
                </w:p>
              </w:tc>
              <w:tc>
                <w:tcPr>
                  <w:tcW w:w="1976" w:type="pct"/>
                  <w:tcBorders>
                    <w:tl2br w:val="nil"/>
                    <w:tr2bl w:val="nil"/>
                  </w:tcBorders>
                  <w:vAlign w:val="center"/>
                </w:tcPr>
                <w:p>
                  <w:pPr>
                    <w:spacing w:line="320" w:lineRule="exact"/>
                    <w:ind w:firstLine="0" w:firstLineChars="0"/>
                    <w:jc w:val="center"/>
                    <w:rPr>
                      <w:sz w:val="21"/>
                      <w:szCs w:val="21"/>
                    </w:rPr>
                  </w:pPr>
                  <w:r>
                    <w:rPr>
                      <w:sz w:val="21"/>
                      <w:szCs w:val="21"/>
                    </w:rPr>
                    <w:t>环保设施</w:t>
                  </w:r>
                </w:p>
              </w:tc>
              <w:tc>
                <w:tcPr>
                  <w:tcW w:w="1252" w:type="pct"/>
                  <w:tcBorders>
                    <w:tl2br w:val="nil"/>
                    <w:tr2bl w:val="nil"/>
                  </w:tcBorders>
                  <w:vAlign w:val="center"/>
                </w:tcPr>
                <w:p>
                  <w:pPr>
                    <w:spacing w:line="320" w:lineRule="exact"/>
                    <w:ind w:firstLine="0" w:firstLineChars="0"/>
                    <w:jc w:val="center"/>
                    <w:rPr>
                      <w:sz w:val="21"/>
                      <w:szCs w:val="21"/>
                    </w:rPr>
                  </w:pPr>
                  <w:r>
                    <w:rPr>
                      <w:sz w:val="21"/>
                      <w:szCs w:val="21"/>
                    </w:rPr>
                    <w:t>环保投资（万元）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vMerge w:val="restart"/>
                  <w:tcBorders>
                    <w:tl2br w:val="nil"/>
                    <w:tr2bl w:val="nil"/>
                  </w:tcBorders>
                  <w:vAlign w:val="center"/>
                </w:tcPr>
                <w:p>
                  <w:pPr>
                    <w:spacing w:line="320" w:lineRule="exact"/>
                    <w:ind w:firstLine="0" w:firstLineChars="0"/>
                    <w:jc w:val="center"/>
                    <w:rPr>
                      <w:sz w:val="21"/>
                      <w:szCs w:val="21"/>
                    </w:rPr>
                  </w:pPr>
                  <w:r>
                    <w:rPr>
                      <w:sz w:val="21"/>
                      <w:szCs w:val="21"/>
                    </w:rPr>
                    <w:t>废气</w:t>
                  </w:r>
                </w:p>
              </w:tc>
              <w:tc>
                <w:tcPr>
                  <w:tcW w:w="1278" w:type="pct"/>
                  <w:tcBorders>
                    <w:tl2br w:val="nil"/>
                    <w:tr2bl w:val="nil"/>
                  </w:tcBorders>
                  <w:vAlign w:val="center"/>
                </w:tcPr>
                <w:p>
                  <w:pPr>
                    <w:spacing w:line="320" w:lineRule="exact"/>
                    <w:ind w:firstLine="0" w:firstLineChars="0"/>
                    <w:jc w:val="center"/>
                    <w:rPr>
                      <w:sz w:val="21"/>
                      <w:szCs w:val="21"/>
                    </w:rPr>
                  </w:pPr>
                  <w:r>
                    <w:rPr>
                      <w:rFonts w:hint="eastAsia"/>
                      <w:sz w:val="21"/>
                      <w:szCs w:val="21"/>
                      <w:lang w:val="en-US" w:eastAsia="zh-CN"/>
                    </w:rPr>
                    <w:t>调味料生产线工艺粉尘</w:t>
                  </w:r>
                </w:p>
              </w:tc>
              <w:tc>
                <w:tcPr>
                  <w:tcW w:w="1976"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集气装置+一套袋式除尘器+一根15m高排气筒</w:t>
                  </w:r>
                </w:p>
              </w:tc>
              <w:tc>
                <w:tcPr>
                  <w:tcW w:w="1252"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vMerge w:val="continue"/>
                  <w:tcBorders>
                    <w:tl2br w:val="nil"/>
                    <w:tr2bl w:val="nil"/>
                  </w:tcBorders>
                  <w:vAlign w:val="center"/>
                </w:tcPr>
                <w:p>
                  <w:pPr>
                    <w:spacing w:line="320" w:lineRule="exact"/>
                    <w:ind w:firstLine="0" w:firstLineChars="0"/>
                    <w:jc w:val="center"/>
                    <w:rPr>
                      <w:sz w:val="21"/>
                      <w:szCs w:val="21"/>
                    </w:rPr>
                  </w:pPr>
                </w:p>
              </w:tc>
              <w:tc>
                <w:tcPr>
                  <w:tcW w:w="1278"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天然气热风炉燃烧废气</w:t>
                  </w:r>
                </w:p>
              </w:tc>
              <w:tc>
                <w:tcPr>
                  <w:tcW w:w="1976"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低氮燃烧器+一根15m高排气筒</w:t>
                  </w:r>
                </w:p>
              </w:tc>
              <w:tc>
                <w:tcPr>
                  <w:tcW w:w="1252"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tcBorders>
                    <w:tl2br w:val="nil"/>
                    <w:tr2bl w:val="nil"/>
                  </w:tcBorders>
                  <w:vAlign w:val="center"/>
                </w:tcPr>
                <w:p>
                  <w:pPr>
                    <w:spacing w:line="320" w:lineRule="exact"/>
                    <w:ind w:firstLine="0" w:firstLineChars="0"/>
                    <w:jc w:val="center"/>
                    <w:rPr>
                      <w:sz w:val="21"/>
                      <w:szCs w:val="21"/>
                    </w:rPr>
                  </w:pPr>
                  <w:r>
                    <w:rPr>
                      <w:rFonts w:hint="eastAsia"/>
                      <w:sz w:val="21"/>
                      <w:szCs w:val="21"/>
                    </w:rPr>
                    <w:t>废水</w:t>
                  </w:r>
                </w:p>
              </w:tc>
              <w:tc>
                <w:tcPr>
                  <w:tcW w:w="1278" w:type="pct"/>
                  <w:tcBorders>
                    <w:tl2br w:val="nil"/>
                    <w:tr2bl w:val="nil"/>
                  </w:tcBorders>
                  <w:vAlign w:val="center"/>
                </w:tcPr>
                <w:p>
                  <w:pPr>
                    <w:spacing w:line="320" w:lineRule="exact"/>
                    <w:ind w:firstLine="0" w:firstLineChars="0"/>
                    <w:jc w:val="center"/>
                    <w:rPr>
                      <w:sz w:val="21"/>
                      <w:szCs w:val="21"/>
                    </w:rPr>
                  </w:pPr>
                  <w:r>
                    <w:rPr>
                      <w:rFonts w:hint="eastAsia"/>
                      <w:sz w:val="21"/>
                      <w:szCs w:val="21"/>
                    </w:rPr>
                    <w:t>生活污水</w:t>
                  </w:r>
                </w:p>
              </w:tc>
              <w:tc>
                <w:tcPr>
                  <w:tcW w:w="1976" w:type="pct"/>
                  <w:tcBorders>
                    <w:tl2br w:val="nil"/>
                    <w:tr2bl w:val="nil"/>
                  </w:tcBorders>
                  <w:vAlign w:val="center"/>
                </w:tcPr>
                <w:p>
                  <w:pPr>
                    <w:spacing w:line="320" w:lineRule="exact"/>
                    <w:ind w:firstLine="0" w:firstLineChars="0"/>
                    <w:jc w:val="center"/>
                    <w:rPr>
                      <w:sz w:val="21"/>
                      <w:szCs w:val="21"/>
                    </w:rPr>
                  </w:pPr>
                  <w:r>
                    <w:rPr>
                      <w:rFonts w:hint="eastAsia"/>
                      <w:sz w:val="21"/>
                      <w:szCs w:val="21"/>
                      <w:lang w:val="en-US" w:eastAsia="zh-CN"/>
                    </w:rPr>
                    <w:t>化粪池</w:t>
                  </w:r>
                  <w:r>
                    <w:rPr>
                      <w:rFonts w:hint="eastAsia"/>
                      <w:sz w:val="21"/>
                      <w:szCs w:val="21"/>
                    </w:rPr>
                    <w:t>（</w:t>
                  </w:r>
                  <w:r>
                    <w:rPr>
                      <w:rFonts w:hint="eastAsia"/>
                      <w:sz w:val="21"/>
                      <w:szCs w:val="21"/>
                      <w:lang w:val="en-US" w:eastAsia="zh-CN"/>
                    </w:rPr>
                    <w:t>3</w:t>
                  </w:r>
                  <w:r>
                    <w:rPr>
                      <w:rFonts w:hint="eastAsia"/>
                      <w:sz w:val="21"/>
                      <w:szCs w:val="21"/>
                    </w:rPr>
                    <w:t>m</w:t>
                  </w:r>
                  <w:r>
                    <w:rPr>
                      <w:sz w:val="21"/>
                      <w:szCs w:val="21"/>
                      <w:vertAlign w:val="superscript"/>
                    </w:rPr>
                    <w:t>3</w:t>
                  </w:r>
                  <w:r>
                    <w:rPr>
                      <w:rFonts w:hint="eastAsia"/>
                      <w:sz w:val="21"/>
                      <w:szCs w:val="21"/>
                    </w:rPr>
                    <w:t>）</w:t>
                  </w:r>
                </w:p>
              </w:tc>
              <w:tc>
                <w:tcPr>
                  <w:tcW w:w="1252"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tcBorders>
                    <w:tl2br w:val="nil"/>
                    <w:tr2bl w:val="nil"/>
                  </w:tcBorders>
                  <w:vAlign w:val="center"/>
                </w:tcPr>
                <w:p>
                  <w:pPr>
                    <w:spacing w:line="320" w:lineRule="exact"/>
                    <w:ind w:firstLine="0" w:firstLineChars="0"/>
                    <w:jc w:val="center"/>
                    <w:rPr>
                      <w:sz w:val="21"/>
                      <w:szCs w:val="21"/>
                    </w:rPr>
                  </w:pPr>
                  <w:r>
                    <w:rPr>
                      <w:sz w:val="21"/>
                      <w:szCs w:val="21"/>
                    </w:rPr>
                    <w:t>噪声</w:t>
                  </w:r>
                </w:p>
              </w:tc>
              <w:tc>
                <w:tcPr>
                  <w:tcW w:w="1278" w:type="pct"/>
                  <w:tcBorders>
                    <w:tl2br w:val="nil"/>
                    <w:tr2bl w:val="nil"/>
                  </w:tcBorders>
                  <w:vAlign w:val="center"/>
                </w:tcPr>
                <w:p>
                  <w:pPr>
                    <w:spacing w:line="320" w:lineRule="exact"/>
                    <w:ind w:firstLine="0" w:firstLineChars="0"/>
                    <w:jc w:val="center"/>
                    <w:rPr>
                      <w:sz w:val="21"/>
                      <w:szCs w:val="21"/>
                    </w:rPr>
                  </w:pPr>
                  <w:r>
                    <w:rPr>
                      <w:sz w:val="21"/>
                      <w:szCs w:val="21"/>
                    </w:rPr>
                    <w:t>设备运行</w:t>
                  </w:r>
                </w:p>
              </w:tc>
              <w:tc>
                <w:tcPr>
                  <w:tcW w:w="1976" w:type="pct"/>
                  <w:tcBorders>
                    <w:tl2br w:val="nil"/>
                    <w:tr2bl w:val="nil"/>
                  </w:tcBorders>
                  <w:vAlign w:val="center"/>
                </w:tcPr>
                <w:p>
                  <w:pPr>
                    <w:spacing w:line="320" w:lineRule="exact"/>
                    <w:ind w:firstLine="0" w:firstLineChars="0"/>
                    <w:jc w:val="center"/>
                    <w:rPr>
                      <w:sz w:val="21"/>
                      <w:szCs w:val="21"/>
                    </w:rPr>
                  </w:pPr>
                  <w:r>
                    <w:rPr>
                      <w:sz w:val="21"/>
                      <w:szCs w:val="21"/>
                    </w:rPr>
                    <w:t>选用低噪声设备，基础减振</w:t>
                  </w:r>
                </w:p>
              </w:tc>
              <w:tc>
                <w:tcPr>
                  <w:tcW w:w="1252" w:type="pct"/>
                  <w:tcBorders>
                    <w:tl2br w:val="nil"/>
                    <w:tr2bl w:val="nil"/>
                  </w:tcBorders>
                  <w:vAlign w:val="center"/>
                </w:tcPr>
                <w:p>
                  <w:pPr>
                    <w:spacing w:line="320" w:lineRule="exact"/>
                    <w:ind w:firstLine="0" w:firstLineChars="0"/>
                    <w:jc w:val="center"/>
                    <w:rPr>
                      <w:rFonts w:hint="eastAsia" w:eastAsia="宋体"/>
                      <w:sz w:val="21"/>
                      <w:szCs w:val="21"/>
                      <w:lang w:eastAsia="zh-CN"/>
                    </w:rPr>
                  </w:pPr>
                  <w:r>
                    <w:rPr>
                      <w:rFonts w:hint="eastAsia"/>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tcBorders>
                    <w:tl2br w:val="nil"/>
                    <w:tr2bl w:val="nil"/>
                  </w:tcBorders>
                  <w:vAlign w:val="center"/>
                </w:tcPr>
                <w:p>
                  <w:pPr>
                    <w:spacing w:line="320" w:lineRule="exact"/>
                    <w:ind w:firstLine="0" w:firstLineChars="0"/>
                    <w:jc w:val="center"/>
                    <w:rPr>
                      <w:sz w:val="21"/>
                      <w:szCs w:val="21"/>
                    </w:rPr>
                  </w:pPr>
                  <w:r>
                    <w:rPr>
                      <w:sz w:val="21"/>
                      <w:szCs w:val="21"/>
                    </w:rPr>
                    <w:t>固体</w:t>
                  </w:r>
                </w:p>
                <w:p>
                  <w:pPr>
                    <w:spacing w:line="320" w:lineRule="exact"/>
                    <w:ind w:firstLine="0" w:firstLineChars="0"/>
                    <w:jc w:val="center"/>
                    <w:rPr>
                      <w:sz w:val="21"/>
                      <w:szCs w:val="21"/>
                    </w:rPr>
                  </w:pPr>
                  <w:r>
                    <w:rPr>
                      <w:sz w:val="21"/>
                      <w:szCs w:val="21"/>
                    </w:rPr>
                    <w:t>废物</w:t>
                  </w:r>
                </w:p>
              </w:tc>
              <w:tc>
                <w:tcPr>
                  <w:tcW w:w="1278" w:type="pct"/>
                  <w:tcBorders>
                    <w:tl2br w:val="nil"/>
                    <w:tr2bl w:val="nil"/>
                  </w:tcBorders>
                  <w:vAlign w:val="center"/>
                </w:tcPr>
                <w:p>
                  <w:pPr>
                    <w:pStyle w:val="26"/>
                    <w:rPr>
                      <w:sz w:val="21"/>
                      <w:szCs w:val="21"/>
                    </w:rPr>
                  </w:pPr>
                  <w:r>
                    <w:rPr>
                      <w:rFonts w:hint="eastAsia"/>
                      <w:sz w:val="21"/>
                      <w:szCs w:val="21"/>
                    </w:rPr>
                    <w:t>废包装材料、</w:t>
                  </w:r>
                  <w:r>
                    <w:rPr>
                      <w:rFonts w:hint="eastAsia"/>
                      <w:sz w:val="21"/>
                      <w:szCs w:val="21"/>
                      <w:lang w:val="en-US" w:eastAsia="zh-CN"/>
                    </w:rPr>
                    <w:t>除尘器收尘、</w:t>
                  </w:r>
                  <w:r>
                    <w:rPr>
                      <w:rFonts w:hint="eastAsia"/>
                      <w:sz w:val="21"/>
                      <w:szCs w:val="21"/>
                    </w:rPr>
                    <w:t>生活垃圾</w:t>
                  </w:r>
                </w:p>
              </w:tc>
              <w:tc>
                <w:tcPr>
                  <w:tcW w:w="1976" w:type="pct"/>
                  <w:tcBorders>
                    <w:tl2br w:val="nil"/>
                    <w:tr2bl w:val="nil"/>
                  </w:tcBorders>
                  <w:vAlign w:val="center"/>
                </w:tcPr>
                <w:p>
                  <w:pPr>
                    <w:spacing w:line="320" w:lineRule="exact"/>
                    <w:ind w:firstLine="0" w:firstLineChars="0"/>
                    <w:jc w:val="center"/>
                    <w:rPr>
                      <w:sz w:val="21"/>
                      <w:szCs w:val="21"/>
                    </w:rPr>
                  </w:pPr>
                  <w:r>
                    <w:rPr>
                      <w:sz w:val="21"/>
                      <w:szCs w:val="21"/>
                    </w:rPr>
                    <w:t>在厂区内设置一般固废间（</w:t>
                  </w:r>
                  <w:r>
                    <w:rPr>
                      <w:rFonts w:hint="eastAsia"/>
                      <w:sz w:val="21"/>
                      <w:szCs w:val="21"/>
                      <w:lang w:val="en-US" w:eastAsia="zh-CN"/>
                    </w:rPr>
                    <w:t>1</w:t>
                  </w:r>
                  <w:r>
                    <w:rPr>
                      <w:rFonts w:hint="eastAsia"/>
                      <w:sz w:val="21"/>
                      <w:szCs w:val="21"/>
                    </w:rPr>
                    <w:t>0</w:t>
                  </w:r>
                  <w:r>
                    <w:rPr>
                      <w:sz w:val="21"/>
                      <w:szCs w:val="21"/>
                    </w:rPr>
                    <w:t>m</w:t>
                  </w:r>
                  <w:r>
                    <w:rPr>
                      <w:sz w:val="21"/>
                      <w:szCs w:val="21"/>
                      <w:vertAlign w:val="superscript"/>
                    </w:rPr>
                    <w:t>2</w:t>
                  </w:r>
                  <w:r>
                    <w:rPr>
                      <w:sz w:val="21"/>
                      <w:szCs w:val="21"/>
                    </w:rPr>
                    <w:t>）</w:t>
                  </w:r>
                  <w:r>
                    <w:rPr>
                      <w:rFonts w:hint="eastAsia"/>
                      <w:sz w:val="21"/>
                      <w:szCs w:val="21"/>
                      <w:lang w:eastAsia="zh-CN"/>
                    </w:rPr>
                    <w:t>，</w:t>
                  </w:r>
                  <w:r>
                    <w:rPr>
                      <w:rFonts w:hint="eastAsia"/>
                      <w:sz w:val="21"/>
                      <w:szCs w:val="21"/>
                      <w:lang w:val="en-US" w:eastAsia="zh-CN"/>
                    </w:rPr>
                    <w:t>若干</w:t>
                  </w:r>
                  <w:r>
                    <w:rPr>
                      <w:rFonts w:hint="eastAsia"/>
                      <w:sz w:val="21"/>
                      <w:szCs w:val="21"/>
                    </w:rPr>
                    <w:t>垃圾桶</w:t>
                  </w:r>
                </w:p>
              </w:tc>
              <w:tc>
                <w:tcPr>
                  <w:tcW w:w="1252"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4" w:type="pct"/>
                  <w:tcBorders>
                    <w:tl2br w:val="nil"/>
                    <w:tr2bl w:val="nil"/>
                  </w:tcBorders>
                  <w:vAlign w:val="center"/>
                </w:tcPr>
                <w:p>
                  <w:pPr>
                    <w:spacing w:line="320" w:lineRule="exact"/>
                    <w:ind w:firstLine="0" w:firstLineChars="0"/>
                    <w:jc w:val="center"/>
                    <w:rPr>
                      <w:sz w:val="21"/>
                      <w:szCs w:val="21"/>
                    </w:rPr>
                  </w:pPr>
                  <w:r>
                    <w:rPr>
                      <w:rFonts w:hint="eastAsia"/>
                      <w:sz w:val="21"/>
                      <w:szCs w:val="21"/>
                    </w:rPr>
                    <w:t>其他</w:t>
                  </w:r>
                </w:p>
              </w:tc>
              <w:tc>
                <w:tcPr>
                  <w:tcW w:w="3254" w:type="pct"/>
                  <w:gridSpan w:val="2"/>
                  <w:tcBorders>
                    <w:tl2br w:val="nil"/>
                    <w:tr2bl w:val="nil"/>
                  </w:tcBorders>
                  <w:vAlign w:val="center"/>
                </w:tcPr>
                <w:p>
                  <w:pPr>
                    <w:spacing w:line="320" w:lineRule="exact"/>
                    <w:ind w:firstLine="0" w:firstLineChars="0"/>
                    <w:jc w:val="center"/>
                    <w:rPr>
                      <w:sz w:val="21"/>
                      <w:szCs w:val="21"/>
                    </w:rPr>
                  </w:pPr>
                  <w:r>
                    <w:rPr>
                      <w:rFonts w:hint="eastAsia"/>
                      <w:sz w:val="21"/>
                      <w:szCs w:val="21"/>
                    </w:rPr>
                    <w:t>厂区进行硬化处理，</w:t>
                  </w:r>
                  <w:r>
                    <w:rPr>
                      <w:rFonts w:hint="eastAsia"/>
                      <w:sz w:val="21"/>
                      <w:szCs w:val="21"/>
                      <w:lang w:val="en-US" w:eastAsia="zh-CN"/>
                    </w:rPr>
                    <w:t>化粪池</w:t>
                  </w:r>
                  <w:r>
                    <w:rPr>
                      <w:rFonts w:hint="eastAsia"/>
                      <w:sz w:val="21"/>
                      <w:szCs w:val="21"/>
                    </w:rPr>
                    <w:t>进行重点</w:t>
                  </w:r>
                  <w:r>
                    <w:rPr>
                      <w:rFonts w:hint="eastAsia"/>
                      <w:sz w:val="21"/>
                      <w:szCs w:val="21"/>
                      <w:lang w:val="en-US" w:eastAsia="zh-CN"/>
                    </w:rPr>
                    <w:t>防渗</w:t>
                  </w:r>
                  <w:r>
                    <w:rPr>
                      <w:rFonts w:hint="eastAsia"/>
                      <w:sz w:val="21"/>
                      <w:szCs w:val="21"/>
                    </w:rPr>
                    <w:t>处理，其</w:t>
                  </w:r>
                  <w:r>
                    <w:rPr>
                      <w:rFonts w:hint="eastAsia"/>
                      <w:sz w:val="21"/>
                      <w:szCs w:val="21"/>
                      <w:lang w:val="en-US" w:eastAsia="zh-CN"/>
                    </w:rPr>
                    <w:t>防渗</w:t>
                  </w:r>
                  <w:r>
                    <w:rPr>
                      <w:rFonts w:hint="eastAsia"/>
                      <w:sz w:val="21"/>
                      <w:szCs w:val="21"/>
                    </w:rPr>
                    <w:t>参数</w:t>
                  </w:r>
                  <w:r>
                    <w:rPr>
                      <w:bCs/>
                      <w:kern w:val="18"/>
                      <w:sz w:val="21"/>
                      <w:szCs w:val="21"/>
                    </w:rPr>
                    <w:t>Mb≥6.0m，防渗系数不大于1×10</w:t>
                  </w:r>
                  <w:r>
                    <w:rPr>
                      <w:bCs/>
                      <w:kern w:val="18"/>
                      <w:sz w:val="21"/>
                      <w:szCs w:val="21"/>
                      <w:vertAlign w:val="superscript"/>
                    </w:rPr>
                    <w:t>-7</w:t>
                  </w:r>
                  <w:r>
                    <w:rPr>
                      <w:bCs/>
                      <w:kern w:val="18"/>
                      <w:sz w:val="21"/>
                      <w:szCs w:val="21"/>
                    </w:rPr>
                    <w:t>cm/s</w:t>
                  </w:r>
                  <w:r>
                    <w:rPr>
                      <w:rFonts w:hint="eastAsia"/>
                      <w:bCs/>
                      <w:kern w:val="18"/>
                      <w:sz w:val="21"/>
                      <w:szCs w:val="21"/>
                    </w:rPr>
                    <w:t>；</w:t>
                  </w:r>
                </w:p>
              </w:tc>
              <w:tc>
                <w:tcPr>
                  <w:tcW w:w="1252"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48" w:type="pct"/>
                  <w:gridSpan w:val="3"/>
                  <w:tcBorders>
                    <w:tl2br w:val="nil"/>
                    <w:tr2bl w:val="nil"/>
                  </w:tcBorders>
                  <w:vAlign w:val="center"/>
                </w:tcPr>
                <w:p>
                  <w:pPr>
                    <w:spacing w:line="320" w:lineRule="exact"/>
                    <w:ind w:firstLine="0" w:firstLineChars="0"/>
                    <w:jc w:val="center"/>
                    <w:rPr>
                      <w:sz w:val="21"/>
                      <w:szCs w:val="21"/>
                    </w:rPr>
                  </w:pPr>
                  <w:r>
                    <w:rPr>
                      <w:sz w:val="21"/>
                      <w:szCs w:val="21"/>
                    </w:rPr>
                    <w:t>总计</w:t>
                  </w:r>
                </w:p>
              </w:tc>
              <w:tc>
                <w:tcPr>
                  <w:tcW w:w="1252" w:type="pct"/>
                  <w:tcBorders>
                    <w:tl2br w:val="nil"/>
                    <w:tr2bl w:val="nil"/>
                  </w:tcBorders>
                  <w:vAlign w:val="center"/>
                </w:tcPr>
                <w:p>
                  <w:pPr>
                    <w:spacing w:line="320" w:lineRule="exact"/>
                    <w:ind w:firstLine="0" w:firstLineChars="0"/>
                    <w:jc w:val="center"/>
                    <w:rPr>
                      <w:rFonts w:hint="default" w:eastAsia="宋体"/>
                      <w:sz w:val="21"/>
                      <w:szCs w:val="21"/>
                      <w:lang w:val="en-US" w:eastAsia="zh-CN"/>
                    </w:rPr>
                  </w:pPr>
                  <w:r>
                    <w:rPr>
                      <w:rFonts w:hint="eastAsia"/>
                      <w:sz w:val="21"/>
                      <w:szCs w:val="21"/>
                      <w:lang w:val="en-US" w:eastAsia="zh-CN"/>
                    </w:rPr>
                    <w:t>18</w:t>
                  </w:r>
                </w:p>
              </w:tc>
            </w:tr>
          </w:tbl>
          <w:p>
            <w:pPr>
              <w:ind w:firstLine="482"/>
            </w:pPr>
          </w:p>
          <w:p>
            <w:pPr>
              <w:ind w:firstLine="480"/>
            </w:pPr>
          </w:p>
          <w:p>
            <w:pPr>
              <w:ind w:firstLine="482"/>
              <w:jc w:val="center"/>
              <w:rPr>
                <w:rFonts w:eastAsia="黑体" w:cs="Times New Roman"/>
                <w:b/>
                <w:u w:val="single"/>
              </w:rPr>
            </w:pPr>
          </w:p>
          <w:p>
            <w:pPr>
              <w:ind w:firstLine="0" w:firstLineChars="0"/>
            </w:pPr>
          </w:p>
          <w:p>
            <w:pPr>
              <w:ind w:firstLine="0" w:firstLineChars="0"/>
            </w:pPr>
          </w:p>
          <w:p>
            <w:pPr>
              <w:ind w:firstLine="0" w:firstLineChars="0"/>
            </w:pPr>
          </w:p>
        </w:tc>
      </w:tr>
    </w:tbl>
    <w:p>
      <w:pPr>
        <w:ind w:firstLine="0" w:firstLineChars="0"/>
        <w:rPr>
          <w:rFonts w:eastAsia="黑体" w:cs="Times New Roman"/>
          <w:b/>
          <w:sz w:val="30"/>
          <w:szCs w:val="30"/>
        </w:rPr>
      </w:pPr>
    </w:p>
    <w:p>
      <w:pPr>
        <w:ind w:firstLine="0" w:firstLineChars="0"/>
        <w:rPr>
          <w:rFonts w:eastAsia="黑体" w:cs="Times New Roman"/>
          <w:b/>
          <w:sz w:val="30"/>
          <w:szCs w:val="30"/>
        </w:rPr>
        <w:sectPr>
          <w:footerReference r:id="rId12" w:type="default"/>
          <w:pgSz w:w="11906" w:h="16838"/>
          <w:pgMar w:top="1418" w:right="1418" w:bottom="1418" w:left="1418" w:header="851" w:footer="992" w:gutter="0"/>
          <w:pgNumType w:fmt="decimal"/>
          <w:cols w:space="425" w:num="1"/>
          <w:docGrid w:type="lines" w:linePitch="312" w:charSpace="0"/>
        </w:sectPr>
      </w:pPr>
    </w:p>
    <w:p>
      <w:pPr>
        <w:ind w:firstLine="0" w:firstLineChars="0"/>
        <w:jc w:val="center"/>
        <w:rPr>
          <w:rFonts w:eastAsia="黑体" w:cs="Times New Roman"/>
          <w:b/>
          <w:sz w:val="30"/>
          <w:szCs w:val="30"/>
        </w:rPr>
      </w:pPr>
      <w:r>
        <w:rPr>
          <w:rFonts w:hint="eastAsia" w:eastAsia="黑体" w:cs="Times New Roman"/>
          <w:b/>
          <w:sz w:val="30"/>
          <w:szCs w:val="30"/>
        </w:rPr>
        <w:t>环境保护措施监督检查清单</w:t>
      </w:r>
    </w:p>
    <w:tbl>
      <w:tblPr>
        <w:tblStyle w:val="22"/>
        <w:tblW w:w="963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1352"/>
        <w:gridCol w:w="1810"/>
        <w:gridCol w:w="1658"/>
        <w:gridCol w:w="2117"/>
        <w:gridCol w:w="270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rPr>
                <w:sz w:val="21"/>
              </w:rPr>
            </w:pPr>
            <w:r>
              <w:rPr>
                <w:rFonts w:hint="eastAsia"/>
                <w:sz w:val="21"/>
              </w:rPr>
              <w:t>内容</w:t>
            </w:r>
          </w:p>
          <w:p>
            <w:pPr>
              <w:spacing w:line="320" w:lineRule="exact"/>
              <w:ind w:firstLine="210" w:firstLineChars="100"/>
              <w:rPr>
                <w:sz w:val="21"/>
              </w:rPr>
            </w:pPr>
            <w:r>
              <w:rPr>
                <w:rFonts w:hint="eastAsia"/>
                <w:sz w:val="21"/>
              </w:rPr>
              <w:t>要素</w:t>
            </w:r>
          </w:p>
        </w:tc>
        <w:tc>
          <w:tcPr>
            <w:tcW w:w="1810" w:type="dxa"/>
            <w:tcBorders>
              <w:tl2br w:val="nil"/>
              <w:tr2bl w:val="nil"/>
            </w:tcBorders>
            <w:vAlign w:val="center"/>
          </w:tcPr>
          <w:p>
            <w:pPr>
              <w:spacing w:line="320" w:lineRule="exact"/>
              <w:ind w:firstLine="0" w:firstLineChars="0"/>
              <w:jc w:val="center"/>
              <w:rPr>
                <w:sz w:val="21"/>
              </w:rPr>
            </w:pPr>
            <w:r>
              <w:rPr>
                <w:rFonts w:hint="eastAsia"/>
                <w:sz w:val="21"/>
              </w:rPr>
              <w:t>排放口（编号、名称）/污染源</w:t>
            </w:r>
          </w:p>
        </w:tc>
        <w:tc>
          <w:tcPr>
            <w:tcW w:w="1658" w:type="dxa"/>
            <w:tcBorders>
              <w:tl2br w:val="nil"/>
              <w:tr2bl w:val="nil"/>
            </w:tcBorders>
            <w:vAlign w:val="center"/>
          </w:tcPr>
          <w:p>
            <w:pPr>
              <w:spacing w:line="320" w:lineRule="exact"/>
              <w:ind w:firstLine="0" w:firstLineChars="0"/>
              <w:jc w:val="center"/>
              <w:rPr>
                <w:sz w:val="21"/>
              </w:rPr>
            </w:pPr>
            <w:r>
              <w:rPr>
                <w:rFonts w:hint="eastAsia"/>
                <w:sz w:val="21"/>
              </w:rPr>
              <w:t>污染物项目</w:t>
            </w:r>
          </w:p>
        </w:tc>
        <w:tc>
          <w:tcPr>
            <w:tcW w:w="2117" w:type="dxa"/>
            <w:tcBorders>
              <w:tl2br w:val="nil"/>
              <w:tr2bl w:val="nil"/>
            </w:tcBorders>
            <w:vAlign w:val="center"/>
          </w:tcPr>
          <w:p>
            <w:pPr>
              <w:spacing w:line="320" w:lineRule="exact"/>
              <w:ind w:firstLine="0" w:firstLineChars="0"/>
              <w:jc w:val="center"/>
              <w:rPr>
                <w:sz w:val="21"/>
              </w:rPr>
            </w:pPr>
            <w:r>
              <w:rPr>
                <w:rFonts w:hint="eastAsia"/>
                <w:sz w:val="21"/>
              </w:rPr>
              <w:t>环境保护措施</w:t>
            </w:r>
          </w:p>
        </w:tc>
        <w:tc>
          <w:tcPr>
            <w:tcW w:w="2701" w:type="dxa"/>
            <w:tcBorders>
              <w:tl2br w:val="nil"/>
              <w:tr2bl w:val="nil"/>
            </w:tcBorders>
            <w:vAlign w:val="center"/>
          </w:tcPr>
          <w:p>
            <w:pPr>
              <w:spacing w:line="320" w:lineRule="exact"/>
              <w:ind w:firstLine="0" w:firstLineChars="0"/>
              <w:jc w:val="center"/>
              <w:rPr>
                <w:sz w:val="21"/>
              </w:rPr>
            </w:pPr>
            <w:r>
              <w:rPr>
                <w:rFonts w:hint="eastAsia"/>
                <w:sz w:val="21"/>
              </w:rPr>
              <w:t>执行标准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vMerge w:val="restart"/>
            <w:tcBorders>
              <w:tl2br w:val="nil"/>
              <w:tr2bl w:val="nil"/>
            </w:tcBorders>
            <w:vAlign w:val="center"/>
          </w:tcPr>
          <w:p>
            <w:pPr>
              <w:spacing w:line="320" w:lineRule="exact"/>
              <w:ind w:firstLine="0" w:firstLineChars="0"/>
              <w:jc w:val="center"/>
              <w:rPr>
                <w:sz w:val="21"/>
              </w:rPr>
            </w:pPr>
            <w:r>
              <w:rPr>
                <w:rFonts w:hint="eastAsia"/>
                <w:sz w:val="21"/>
              </w:rPr>
              <w:t>大气环境</w:t>
            </w:r>
          </w:p>
        </w:tc>
        <w:tc>
          <w:tcPr>
            <w:tcW w:w="1810" w:type="dxa"/>
            <w:tcBorders>
              <w:tl2br w:val="nil"/>
              <w:tr2bl w:val="nil"/>
            </w:tcBorders>
            <w:vAlign w:val="center"/>
          </w:tcPr>
          <w:p>
            <w:pPr>
              <w:spacing w:line="320" w:lineRule="exact"/>
              <w:ind w:firstLine="0" w:firstLineChars="0"/>
              <w:jc w:val="center"/>
              <w:rPr>
                <w:rFonts w:hint="default" w:eastAsia="宋体"/>
                <w:sz w:val="21"/>
                <w:lang w:val="en-US" w:eastAsia="zh-CN"/>
              </w:rPr>
            </w:pPr>
            <w:r>
              <w:rPr>
                <w:rFonts w:hint="eastAsia"/>
                <w:sz w:val="21"/>
                <w:lang w:val="en-US" w:eastAsia="zh-CN"/>
              </w:rPr>
              <w:t>DA001</w:t>
            </w:r>
          </w:p>
        </w:tc>
        <w:tc>
          <w:tcPr>
            <w:tcW w:w="1658" w:type="dxa"/>
            <w:tcBorders>
              <w:tl2br w:val="nil"/>
              <w:tr2bl w:val="nil"/>
            </w:tcBorders>
            <w:vAlign w:val="center"/>
          </w:tcPr>
          <w:p>
            <w:pPr>
              <w:spacing w:line="320" w:lineRule="exact"/>
              <w:ind w:firstLine="0" w:firstLineChars="0"/>
              <w:jc w:val="center"/>
              <w:rPr>
                <w:rFonts w:hint="eastAsia" w:eastAsia="宋体"/>
                <w:sz w:val="21"/>
                <w:lang w:val="en-US" w:eastAsia="zh-CN"/>
              </w:rPr>
            </w:pPr>
            <w:r>
              <w:rPr>
                <w:rFonts w:hint="eastAsia"/>
                <w:sz w:val="21"/>
                <w:lang w:val="en-US" w:eastAsia="zh-CN"/>
              </w:rPr>
              <w:t>颗粒物</w:t>
            </w:r>
          </w:p>
        </w:tc>
        <w:tc>
          <w:tcPr>
            <w:tcW w:w="2117" w:type="dxa"/>
            <w:tcBorders>
              <w:tl2br w:val="nil"/>
              <w:tr2bl w:val="nil"/>
            </w:tcBorders>
            <w:vAlign w:val="center"/>
          </w:tcPr>
          <w:p>
            <w:pPr>
              <w:spacing w:line="320" w:lineRule="exact"/>
              <w:ind w:firstLine="0" w:firstLineChars="0"/>
              <w:jc w:val="center"/>
              <w:rPr>
                <w:sz w:val="21"/>
              </w:rPr>
            </w:pPr>
            <w:r>
              <w:rPr>
                <w:rFonts w:hint="eastAsia"/>
                <w:sz w:val="21"/>
                <w:szCs w:val="21"/>
                <w:lang w:val="en-US" w:eastAsia="zh-CN"/>
              </w:rPr>
              <w:t>集气装置+一套袋式除尘器+一根15m高排气筒</w:t>
            </w:r>
          </w:p>
        </w:tc>
        <w:tc>
          <w:tcPr>
            <w:tcW w:w="2701" w:type="dxa"/>
            <w:tcBorders>
              <w:tl2br w:val="nil"/>
              <w:tr2bl w:val="nil"/>
            </w:tcBorders>
            <w:vAlign w:val="center"/>
          </w:tcPr>
          <w:p>
            <w:pPr>
              <w:pStyle w:val="26"/>
              <w:rPr>
                <w:sz w:val="21"/>
              </w:rPr>
            </w:pPr>
            <w:r>
              <w:rPr>
                <w:rFonts w:hint="default" w:ascii="Times New Roman" w:hAnsi="Times New Roman" w:eastAsia="宋体"/>
                <w:sz w:val="21"/>
                <w:szCs w:val="21"/>
                <w:highlight w:val="none"/>
                <w:lang w:val="en-US" w:eastAsia="zh-CN"/>
              </w:rPr>
              <w:t>《大气污染物综合排放标准》</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GB16297</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1996</w:t>
            </w:r>
            <w:r>
              <w:rPr>
                <w:rFonts w:hint="eastAsia" w:ascii="Times New Roman" w:hAnsi="Times New Roman" w:eastAsia="宋体"/>
                <w:sz w:val="21"/>
                <w:szCs w:val="21"/>
                <w:highlight w:val="none"/>
                <w:lang w:val="en-US" w:eastAsia="zh-CN"/>
              </w:rPr>
              <w:t>）</w:t>
            </w:r>
            <w:r>
              <w:rPr>
                <w:rFonts w:hint="default" w:ascii="Times New Roman" w:hAnsi="Times New Roman" w:eastAsia="宋体"/>
                <w:sz w:val="21"/>
                <w:szCs w:val="21"/>
                <w:highlight w:val="none"/>
                <w:lang w:val="en-US" w:eastAsia="zh-CN"/>
              </w:rPr>
              <w:t>表2</w:t>
            </w:r>
            <w:r>
              <w:rPr>
                <w:rFonts w:hint="eastAsia" w:ascii="Times New Roman" w:hAnsi="Times New Roman" w:eastAsia="宋体"/>
                <w:sz w:val="21"/>
                <w:szCs w:val="21"/>
                <w:highlight w:val="none"/>
                <w:lang w:val="en-US" w:eastAsia="zh-CN"/>
              </w:rPr>
              <w:t>二级</w:t>
            </w:r>
            <w:r>
              <w:rPr>
                <w:rFonts w:hint="default" w:ascii="Times New Roman" w:hAnsi="Times New Roman" w:eastAsia="宋体"/>
                <w:sz w:val="21"/>
                <w:szCs w:val="21"/>
                <w:highlight w:val="none"/>
                <w:lang w:val="en-US" w:eastAsia="zh-CN"/>
              </w:rPr>
              <w:t>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vMerge w:val="continue"/>
            <w:tcBorders>
              <w:tl2br w:val="nil"/>
              <w:tr2bl w:val="nil"/>
            </w:tcBorders>
            <w:vAlign w:val="center"/>
          </w:tcPr>
          <w:p>
            <w:pPr>
              <w:spacing w:line="320" w:lineRule="exact"/>
              <w:ind w:firstLine="0" w:firstLineChars="0"/>
              <w:jc w:val="center"/>
              <w:rPr>
                <w:sz w:val="21"/>
              </w:rPr>
            </w:pPr>
          </w:p>
        </w:tc>
        <w:tc>
          <w:tcPr>
            <w:tcW w:w="1810" w:type="dxa"/>
            <w:tcBorders>
              <w:tl2br w:val="nil"/>
              <w:tr2bl w:val="nil"/>
            </w:tcBorders>
            <w:vAlign w:val="center"/>
          </w:tcPr>
          <w:p>
            <w:pPr>
              <w:spacing w:line="320" w:lineRule="exact"/>
              <w:ind w:firstLine="0" w:firstLineChars="0"/>
              <w:jc w:val="center"/>
              <w:rPr>
                <w:rFonts w:hint="default" w:eastAsia="宋体"/>
                <w:sz w:val="21"/>
                <w:lang w:val="en-US" w:eastAsia="zh-CN"/>
              </w:rPr>
            </w:pPr>
            <w:r>
              <w:rPr>
                <w:rFonts w:hint="eastAsia"/>
                <w:sz w:val="21"/>
                <w:lang w:val="en-US" w:eastAsia="zh-CN"/>
              </w:rPr>
              <w:t>DA002</w:t>
            </w:r>
          </w:p>
        </w:tc>
        <w:tc>
          <w:tcPr>
            <w:tcW w:w="1658" w:type="dxa"/>
            <w:tcBorders>
              <w:tl2br w:val="nil"/>
              <w:tr2bl w:val="nil"/>
            </w:tcBorders>
            <w:vAlign w:val="center"/>
          </w:tcPr>
          <w:p>
            <w:pPr>
              <w:spacing w:line="320" w:lineRule="exact"/>
              <w:ind w:firstLine="0" w:firstLineChars="0"/>
              <w:jc w:val="center"/>
              <w:rPr>
                <w:rFonts w:hint="default" w:eastAsia="宋体"/>
                <w:sz w:val="21"/>
                <w:lang w:val="en-US" w:eastAsia="zh-CN"/>
              </w:rPr>
            </w:pPr>
            <w:r>
              <w:rPr>
                <w:rFonts w:hint="eastAsia"/>
                <w:sz w:val="21"/>
                <w:lang w:val="en-US" w:eastAsia="zh-CN"/>
              </w:rPr>
              <w:t>颗粒物、二氧化硫、氮氧化物</w:t>
            </w:r>
          </w:p>
        </w:tc>
        <w:tc>
          <w:tcPr>
            <w:tcW w:w="2117" w:type="dxa"/>
            <w:tcBorders>
              <w:tl2br w:val="nil"/>
              <w:tr2bl w:val="nil"/>
            </w:tcBorders>
            <w:vAlign w:val="center"/>
          </w:tcPr>
          <w:p>
            <w:pPr>
              <w:spacing w:line="320" w:lineRule="exact"/>
              <w:ind w:firstLine="0" w:firstLineChars="0"/>
              <w:jc w:val="center"/>
              <w:rPr>
                <w:sz w:val="21"/>
              </w:rPr>
            </w:pPr>
            <w:r>
              <w:rPr>
                <w:rFonts w:hint="eastAsia"/>
                <w:sz w:val="21"/>
                <w:szCs w:val="21"/>
                <w:lang w:val="en-US" w:eastAsia="zh-CN"/>
              </w:rPr>
              <w:t>低氮燃烧器+一根15m高排气筒</w:t>
            </w:r>
          </w:p>
        </w:tc>
        <w:tc>
          <w:tcPr>
            <w:tcW w:w="2701" w:type="dxa"/>
            <w:tcBorders>
              <w:tl2br w:val="nil"/>
              <w:tr2bl w:val="nil"/>
            </w:tcBorders>
            <w:vAlign w:val="center"/>
          </w:tcPr>
          <w:p>
            <w:pPr>
              <w:pStyle w:val="26"/>
              <w:rPr>
                <w:sz w:val="21"/>
              </w:rPr>
            </w:pPr>
            <w:r>
              <w:rPr>
                <w:rFonts w:hint="eastAsia"/>
                <w:sz w:val="21"/>
                <w:szCs w:val="21"/>
                <w:highlight w:val="none"/>
              </w:rPr>
              <w:t>《工业炉窑大气污染物排放标准》（DB41/1066-2020</w:t>
            </w:r>
            <w:r>
              <w:rPr>
                <w:rFonts w:hint="eastAsia"/>
                <w:sz w:val="21"/>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地表水环境</w:t>
            </w:r>
          </w:p>
        </w:tc>
        <w:tc>
          <w:tcPr>
            <w:tcW w:w="1810" w:type="dxa"/>
            <w:tcBorders>
              <w:tl2br w:val="nil"/>
              <w:tr2bl w:val="nil"/>
            </w:tcBorders>
            <w:vAlign w:val="center"/>
          </w:tcPr>
          <w:p>
            <w:pPr>
              <w:spacing w:line="320" w:lineRule="exact"/>
              <w:ind w:firstLine="0" w:firstLineChars="0"/>
              <w:jc w:val="center"/>
              <w:rPr>
                <w:rFonts w:hint="eastAsia" w:eastAsia="宋体"/>
                <w:sz w:val="21"/>
                <w:lang w:val="en-US" w:eastAsia="zh-CN"/>
              </w:rPr>
            </w:pPr>
            <w:r>
              <w:rPr>
                <w:rFonts w:hint="eastAsia"/>
                <w:sz w:val="21"/>
                <w:lang w:val="en-US" w:eastAsia="zh-CN"/>
              </w:rPr>
              <w:t>生活污水</w:t>
            </w:r>
          </w:p>
        </w:tc>
        <w:tc>
          <w:tcPr>
            <w:tcW w:w="1658" w:type="dxa"/>
            <w:tcBorders>
              <w:tl2br w:val="nil"/>
              <w:tr2bl w:val="nil"/>
            </w:tcBorders>
            <w:vAlign w:val="center"/>
          </w:tcPr>
          <w:p>
            <w:pPr>
              <w:spacing w:line="320" w:lineRule="exact"/>
              <w:ind w:firstLine="0" w:firstLineChars="0"/>
              <w:jc w:val="center"/>
              <w:rPr>
                <w:sz w:val="21"/>
              </w:rPr>
            </w:pPr>
            <w:r>
              <w:rPr>
                <w:rFonts w:hint="eastAsia"/>
                <w:sz w:val="21"/>
              </w:rPr>
              <w:t>COD、BOD</w:t>
            </w:r>
            <w:r>
              <w:rPr>
                <w:rFonts w:hint="eastAsia"/>
                <w:sz w:val="21"/>
                <w:vertAlign w:val="subscript"/>
              </w:rPr>
              <w:t>5</w:t>
            </w:r>
            <w:r>
              <w:rPr>
                <w:rFonts w:hint="eastAsia"/>
                <w:sz w:val="21"/>
              </w:rPr>
              <w:t>、SS、NH</w:t>
            </w:r>
            <w:r>
              <w:rPr>
                <w:rFonts w:hint="eastAsia"/>
                <w:sz w:val="21"/>
                <w:vertAlign w:val="subscript"/>
              </w:rPr>
              <w:t>3</w:t>
            </w:r>
            <w:r>
              <w:rPr>
                <w:rFonts w:hint="eastAsia"/>
                <w:sz w:val="21"/>
              </w:rPr>
              <w:t>-N</w:t>
            </w:r>
          </w:p>
        </w:tc>
        <w:tc>
          <w:tcPr>
            <w:tcW w:w="2117" w:type="dxa"/>
            <w:tcBorders>
              <w:tl2br w:val="nil"/>
              <w:tr2bl w:val="nil"/>
            </w:tcBorders>
            <w:vAlign w:val="center"/>
          </w:tcPr>
          <w:p>
            <w:pPr>
              <w:spacing w:line="320" w:lineRule="exact"/>
              <w:ind w:firstLine="0" w:firstLineChars="0"/>
              <w:jc w:val="center"/>
              <w:rPr>
                <w:rFonts w:hint="eastAsia" w:eastAsia="宋体"/>
                <w:sz w:val="21"/>
                <w:lang w:eastAsia="zh-CN"/>
              </w:rPr>
            </w:pPr>
            <w:r>
              <w:rPr>
                <w:rFonts w:hint="eastAsia"/>
                <w:sz w:val="21"/>
                <w:lang w:val="en-US" w:eastAsia="zh-CN"/>
              </w:rPr>
              <w:t>化粪池（3m</w:t>
            </w:r>
            <w:r>
              <w:rPr>
                <w:rFonts w:hint="eastAsia"/>
                <w:sz w:val="21"/>
                <w:vertAlign w:val="superscript"/>
                <w:lang w:val="en-US" w:eastAsia="zh-CN"/>
              </w:rPr>
              <w:t>3</w:t>
            </w:r>
            <w:r>
              <w:rPr>
                <w:rFonts w:hint="eastAsia"/>
                <w:sz w:val="21"/>
                <w:lang w:val="en-US" w:eastAsia="zh-CN"/>
              </w:rPr>
              <w:t>）</w:t>
            </w:r>
          </w:p>
        </w:tc>
        <w:tc>
          <w:tcPr>
            <w:tcW w:w="2701" w:type="dxa"/>
            <w:tcBorders>
              <w:tl2br w:val="nil"/>
              <w:tr2bl w:val="nil"/>
            </w:tcBorders>
            <w:vAlign w:val="center"/>
          </w:tcPr>
          <w:p>
            <w:pPr>
              <w:pStyle w:val="26"/>
              <w:rPr>
                <w:rFonts w:hint="eastAsia" w:eastAsia="宋体"/>
                <w:lang w:val="en-US" w:eastAsia="zh-CN"/>
              </w:rPr>
            </w:pPr>
            <w:r>
              <w:rPr>
                <w:rFonts w:hint="eastAsia"/>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声环境</w:t>
            </w:r>
          </w:p>
        </w:tc>
        <w:tc>
          <w:tcPr>
            <w:tcW w:w="1810" w:type="dxa"/>
            <w:tcBorders>
              <w:tl2br w:val="nil"/>
              <w:tr2bl w:val="nil"/>
            </w:tcBorders>
            <w:vAlign w:val="center"/>
          </w:tcPr>
          <w:p>
            <w:pPr>
              <w:spacing w:line="320" w:lineRule="exact"/>
              <w:ind w:firstLine="0" w:firstLineChars="0"/>
              <w:jc w:val="center"/>
              <w:rPr>
                <w:sz w:val="21"/>
              </w:rPr>
            </w:pPr>
            <w:r>
              <w:rPr>
                <w:rFonts w:hint="eastAsia"/>
                <w:sz w:val="21"/>
              </w:rPr>
              <w:t>高噪声设备</w:t>
            </w:r>
          </w:p>
        </w:tc>
        <w:tc>
          <w:tcPr>
            <w:tcW w:w="1658" w:type="dxa"/>
            <w:tcBorders>
              <w:tl2br w:val="nil"/>
              <w:tr2bl w:val="nil"/>
            </w:tcBorders>
            <w:vAlign w:val="center"/>
          </w:tcPr>
          <w:p>
            <w:pPr>
              <w:spacing w:line="320" w:lineRule="exact"/>
              <w:ind w:firstLine="0" w:firstLineChars="0"/>
              <w:jc w:val="center"/>
              <w:rPr>
                <w:sz w:val="21"/>
              </w:rPr>
            </w:pPr>
            <w:r>
              <w:rPr>
                <w:rFonts w:hint="eastAsia"/>
                <w:sz w:val="21"/>
              </w:rPr>
              <w:t>噪声</w:t>
            </w:r>
          </w:p>
        </w:tc>
        <w:tc>
          <w:tcPr>
            <w:tcW w:w="2117" w:type="dxa"/>
            <w:tcBorders>
              <w:tl2br w:val="nil"/>
              <w:tr2bl w:val="nil"/>
            </w:tcBorders>
            <w:vAlign w:val="center"/>
          </w:tcPr>
          <w:p>
            <w:pPr>
              <w:spacing w:line="320" w:lineRule="exact"/>
              <w:ind w:firstLine="0" w:firstLineChars="0"/>
              <w:jc w:val="center"/>
              <w:rPr>
                <w:sz w:val="21"/>
              </w:rPr>
            </w:pPr>
            <w:r>
              <w:rPr>
                <w:rFonts w:hint="eastAsia"/>
                <w:sz w:val="21"/>
              </w:rPr>
              <w:t>基础减震、厂房隔声</w:t>
            </w:r>
          </w:p>
        </w:tc>
        <w:tc>
          <w:tcPr>
            <w:tcW w:w="2701" w:type="dxa"/>
            <w:tcBorders>
              <w:tl2br w:val="nil"/>
              <w:tr2bl w:val="nil"/>
            </w:tcBorders>
            <w:vAlign w:val="center"/>
          </w:tcPr>
          <w:p>
            <w:pPr>
              <w:spacing w:line="320" w:lineRule="exact"/>
              <w:ind w:firstLine="0" w:firstLineChars="0"/>
              <w:jc w:val="center"/>
              <w:rPr>
                <w:sz w:val="21"/>
              </w:rPr>
            </w:pPr>
            <w:r>
              <w:rPr>
                <w:rFonts w:hint="eastAsia"/>
                <w:sz w:val="21"/>
              </w:rPr>
              <w:t>《工业企业厂界环境噪声排放标》（GB12348-2008）2类标准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电磁辐射</w:t>
            </w:r>
          </w:p>
        </w:tc>
        <w:tc>
          <w:tcPr>
            <w:tcW w:w="1810" w:type="dxa"/>
            <w:tcBorders>
              <w:tl2br w:val="nil"/>
              <w:tr2bl w:val="nil"/>
            </w:tcBorders>
            <w:vAlign w:val="center"/>
          </w:tcPr>
          <w:p>
            <w:pPr>
              <w:spacing w:line="320" w:lineRule="exact"/>
              <w:ind w:firstLine="0" w:firstLineChars="0"/>
              <w:jc w:val="center"/>
              <w:rPr>
                <w:sz w:val="21"/>
              </w:rPr>
            </w:pPr>
            <w:r>
              <w:rPr>
                <w:rFonts w:hint="eastAsia"/>
                <w:sz w:val="21"/>
              </w:rPr>
              <w:t>/</w:t>
            </w:r>
          </w:p>
        </w:tc>
        <w:tc>
          <w:tcPr>
            <w:tcW w:w="1658" w:type="dxa"/>
            <w:tcBorders>
              <w:tl2br w:val="nil"/>
              <w:tr2bl w:val="nil"/>
            </w:tcBorders>
            <w:vAlign w:val="center"/>
          </w:tcPr>
          <w:p>
            <w:pPr>
              <w:spacing w:line="320" w:lineRule="exact"/>
              <w:ind w:firstLine="0" w:firstLineChars="0"/>
              <w:jc w:val="center"/>
              <w:rPr>
                <w:sz w:val="21"/>
              </w:rPr>
            </w:pPr>
            <w:r>
              <w:rPr>
                <w:rFonts w:hint="eastAsia"/>
                <w:sz w:val="21"/>
              </w:rPr>
              <w:t>/</w:t>
            </w:r>
          </w:p>
        </w:tc>
        <w:tc>
          <w:tcPr>
            <w:tcW w:w="2117" w:type="dxa"/>
            <w:tcBorders>
              <w:tl2br w:val="nil"/>
              <w:tr2bl w:val="nil"/>
            </w:tcBorders>
            <w:vAlign w:val="center"/>
          </w:tcPr>
          <w:p>
            <w:pPr>
              <w:spacing w:line="320" w:lineRule="exact"/>
              <w:ind w:firstLine="0" w:firstLineChars="0"/>
              <w:jc w:val="center"/>
              <w:rPr>
                <w:sz w:val="21"/>
              </w:rPr>
            </w:pPr>
            <w:r>
              <w:rPr>
                <w:rFonts w:hint="eastAsia"/>
                <w:sz w:val="21"/>
              </w:rPr>
              <w:t>/</w:t>
            </w:r>
          </w:p>
        </w:tc>
        <w:tc>
          <w:tcPr>
            <w:tcW w:w="2701" w:type="dxa"/>
            <w:tcBorders>
              <w:tl2br w:val="nil"/>
              <w:tr2bl w:val="nil"/>
            </w:tcBorders>
            <w:vAlign w:val="center"/>
          </w:tcPr>
          <w:p>
            <w:pPr>
              <w:spacing w:line="320" w:lineRule="exact"/>
              <w:ind w:firstLine="0" w:firstLineChars="0"/>
              <w:jc w:val="center"/>
              <w:rPr>
                <w:sz w:val="21"/>
              </w:rPr>
            </w:pPr>
            <w:r>
              <w:rPr>
                <w:rFonts w:hint="eastAsia"/>
                <w:sz w:val="21"/>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固体废物</w:t>
            </w:r>
          </w:p>
        </w:tc>
        <w:tc>
          <w:tcPr>
            <w:tcW w:w="8286" w:type="dxa"/>
            <w:gridSpan w:val="4"/>
            <w:tcBorders>
              <w:tl2br w:val="nil"/>
              <w:tr2bl w:val="nil"/>
            </w:tcBorders>
            <w:vAlign w:val="center"/>
          </w:tcPr>
          <w:p>
            <w:pPr>
              <w:spacing w:line="320" w:lineRule="exact"/>
              <w:ind w:firstLine="0" w:firstLineChars="0"/>
              <w:jc w:val="center"/>
              <w:rPr>
                <w:sz w:val="21"/>
              </w:rPr>
            </w:pPr>
            <w:r>
              <w:rPr>
                <w:rFonts w:hint="eastAsia"/>
                <w:sz w:val="21"/>
              </w:rPr>
              <w:t>项目产生的固体废物为废包装材料、</w:t>
            </w:r>
            <w:r>
              <w:rPr>
                <w:rFonts w:hint="eastAsia"/>
                <w:sz w:val="21"/>
                <w:lang w:val="en-US" w:eastAsia="zh-CN"/>
              </w:rPr>
              <w:t>除尘器收尘</w:t>
            </w:r>
            <w:r>
              <w:rPr>
                <w:rFonts w:hint="eastAsia"/>
                <w:sz w:val="21"/>
              </w:rPr>
              <w:t>、生活垃圾。废包装材料经收集后暂存</w:t>
            </w:r>
            <w:r>
              <w:rPr>
                <w:rFonts w:hint="eastAsia"/>
                <w:sz w:val="21"/>
                <w:lang w:val="en-US" w:eastAsia="zh-CN"/>
              </w:rPr>
              <w:t>于</w:t>
            </w:r>
            <w:r>
              <w:rPr>
                <w:rFonts w:hint="eastAsia"/>
                <w:sz w:val="21"/>
              </w:rPr>
              <w:t>一般固废</w:t>
            </w:r>
            <w:r>
              <w:rPr>
                <w:rFonts w:hint="eastAsia"/>
                <w:sz w:val="21"/>
                <w:lang w:val="en-US" w:eastAsia="zh-CN"/>
              </w:rPr>
              <w:t>暂存</w:t>
            </w:r>
            <w:r>
              <w:rPr>
                <w:rFonts w:hint="eastAsia"/>
                <w:sz w:val="21"/>
              </w:rPr>
              <w:t>间，定期外售；</w:t>
            </w:r>
            <w:r>
              <w:rPr>
                <w:rFonts w:hint="eastAsia"/>
                <w:sz w:val="21"/>
                <w:lang w:val="en-US" w:eastAsia="zh-CN"/>
              </w:rPr>
              <w:t>除尘器收尘经收集后外售综合利用；</w:t>
            </w:r>
            <w:r>
              <w:rPr>
                <w:rFonts w:hint="eastAsia"/>
                <w:sz w:val="21"/>
              </w:rPr>
              <w:t>生活垃圾经厂区内垃圾桶收集后，由环卫部门处理。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土壤及地下水污染防措施</w:t>
            </w:r>
          </w:p>
        </w:tc>
        <w:tc>
          <w:tcPr>
            <w:tcW w:w="8286" w:type="dxa"/>
            <w:gridSpan w:val="4"/>
            <w:tcBorders>
              <w:tl2br w:val="nil"/>
              <w:tr2bl w:val="nil"/>
            </w:tcBorders>
            <w:vAlign w:val="center"/>
          </w:tcPr>
          <w:p>
            <w:pPr>
              <w:spacing w:line="320" w:lineRule="exact"/>
              <w:ind w:firstLine="0" w:firstLineChars="0"/>
              <w:jc w:val="center"/>
              <w:rPr>
                <w:sz w:val="21"/>
              </w:rPr>
            </w:pPr>
            <w:r>
              <w:rPr>
                <w:rFonts w:hint="eastAsia"/>
                <w:sz w:val="21"/>
                <w:szCs w:val="21"/>
              </w:rPr>
              <w:t>厂区进行硬化处理，</w:t>
            </w:r>
            <w:r>
              <w:rPr>
                <w:rFonts w:hint="eastAsia"/>
                <w:sz w:val="21"/>
                <w:szCs w:val="21"/>
                <w:lang w:val="en-US" w:eastAsia="zh-CN"/>
              </w:rPr>
              <w:t>化粪池</w:t>
            </w:r>
            <w:r>
              <w:rPr>
                <w:rFonts w:hint="eastAsia"/>
                <w:sz w:val="21"/>
                <w:szCs w:val="21"/>
              </w:rPr>
              <w:t>进行重点</w:t>
            </w:r>
            <w:r>
              <w:rPr>
                <w:rFonts w:hint="eastAsia"/>
                <w:sz w:val="21"/>
                <w:szCs w:val="21"/>
                <w:lang w:val="en-US" w:eastAsia="zh-CN"/>
              </w:rPr>
              <w:t>防渗</w:t>
            </w:r>
            <w:r>
              <w:rPr>
                <w:rFonts w:hint="eastAsia"/>
                <w:sz w:val="21"/>
                <w:szCs w:val="21"/>
              </w:rPr>
              <w:t>处理，其</w:t>
            </w:r>
            <w:r>
              <w:rPr>
                <w:rFonts w:hint="eastAsia"/>
                <w:sz w:val="21"/>
                <w:szCs w:val="21"/>
                <w:lang w:val="en-US" w:eastAsia="zh-CN"/>
              </w:rPr>
              <w:t>防渗</w:t>
            </w:r>
            <w:r>
              <w:rPr>
                <w:rFonts w:hint="eastAsia"/>
                <w:sz w:val="21"/>
                <w:szCs w:val="21"/>
              </w:rPr>
              <w:t>参数</w:t>
            </w:r>
            <w:r>
              <w:rPr>
                <w:bCs/>
                <w:kern w:val="18"/>
                <w:sz w:val="21"/>
                <w:szCs w:val="21"/>
              </w:rPr>
              <w:t>Mb≥6.0m，防渗系数不大于1×10</w:t>
            </w:r>
            <w:r>
              <w:rPr>
                <w:bCs/>
                <w:kern w:val="18"/>
                <w:sz w:val="21"/>
                <w:szCs w:val="21"/>
                <w:vertAlign w:val="superscript"/>
              </w:rPr>
              <w:t>-7</w:t>
            </w:r>
            <w:r>
              <w:rPr>
                <w:bCs/>
                <w:kern w:val="18"/>
                <w:sz w:val="21"/>
                <w:szCs w:val="21"/>
              </w:rPr>
              <w:t>cm/s</w:t>
            </w:r>
            <w:r>
              <w:rPr>
                <w:rFonts w:hint="eastAsia"/>
                <w:bCs/>
                <w:kern w:val="18"/>
                <w:sz w:val="21"/>
                <w:szCs w:val="21"/>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生态保护措</w:t>
            </w:r>
          </w:p>
        </w:tc>
        <w:tc>
          <w:tcPr>
            <w:tcW w:w="8286" w:type="dxa"/>
            <w:gridSpan w:val="4"/>
            <w:tcBorders>
              <w:tl2br w:val="nil"/>
              <w:tr2bl w:val="nil"/>
            </w:tcBorders>
            <w:vAlign w:val="center"/>
          </w:tcPr>
          <w:p>
            <w:pPr>
              <w:spacing w:line="320" w:lineRule="exact"/>
              <w:ind w:firstLine="0" w:firstLineChars="0"/>
              <w:jc w:val="center"/>
              <w:rPr>
                <w:rFonts w:hint="eastAsia" w:eastAsia="宋体"/>
                <w:sz w:val="21"/>
                <w:lang w:val="en-US" w:eastAsia="zh-CN"/>
              </w:rPr>
            </w:pPr>
            <w:r>
              <w:rPr>
                <w:rFonts w:hint="eastAsia"/>
                <w:sz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环境风险</w:t>
            </w:r>
          </w:p>
          <w:p>
            <w:pPr>
              <w:spacing w:line="320" w:lineRule="exact"/>
              <w:ind w:firstLine="0" w:firstLineChars="0"/>
              <w:jc w:val="center"/>
              <w:rPr>
                <w:sz w:val="21"/>
              </w:rPr>
            </w:pPr>
            <w:r>
              <w:rPr>
                <w:rFonts w:hint="eastAsia"/>
                <w:sz w:val="21"/>
              </w:rPr>
              <w:t>防范措施</w:t>
            </w:r>
          </w:p>
        </w:tc>
        <w:tc>
          <w:tcPr>
            <w:tcW w:w="8286" w:type="dxa"/>
            <w:gridSpan w:val="4"/>
            <w:tcBorders>
              <w:tl2br w:val="nil"/>
              <w:tr2bl w:val="nil"/>
            </w:tcBorders>
            <w:vAlign w:val="center"/>
          </w:tcPr>
          <w:p>
            <w:pPr>
              <w:spacing w:line="320" w:lineRule="exact"/>
              <w:ind w:firstLine="0" w:firstLineChars="0"/>
              <w:jc w:val="center"/>
              <w:rPr>
                <w:sz w:val="21"/>
              </w:rPr>
            </w:pPr>
            <w:r>
              <w:rPr>
                <w:rFonts w:hint="eastAsia"/>
                <w:color w:val="000000"/>
                <w:sz w:val="21"/>
                <w:szCs w:val="21"/>
              </w:rPr>
              <w:t>本项目防范措施主要体现在风险管理方面，拟建项目设计、建造和运行要科学规划、合理布局、严格执行防火安全设计规范，保证工程质量，严格安全生产制度、严格日常管理，提高操作人员素质和水平，以减少事故的发生。厂区一旦发生事故，则要根据具体情况采取应急措施，切断泄漏源、火源，控制事故扩大。</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52" w:type="dxa"/>
            <w:tcBorders>
              <w:tl2br w:val="nil"/>
              <w:tr2bl w:val="nil"/>
            </w:tcBorders>
            <w:vAlign w:val="center"/>
          </w:tcPr>
          <w:p>
            <w:pPr>
              <w:spacing w:line="320" w:lineRule="exact"/>
              <w:ind w:firstLine="0" w:firstLineChars="0"/>
              <w:jc w:val="center"/>
              <w:rPr>
                <w:sz w:val="21"/>
              </w:rPr>
            </w:pPr>
            <w:r>
              <w:rPr>
                <w:rFonts w:hint="eastAsia"/>
                <w:sz w:val="21"/>
              </w:rPr>
              <w:t>其他环境</w:t>
            </w:r>
          </w:p>
          <w:p>
            <w:pPr>
              <w:spacing w:line="320" w:lineRule="exact"/>
              <w:ind w:firstLine="0" w:firstLineChars="0"/>
              <w:jc w:val="center"/>
              <w:rPr>
                <w:sz w:val="21"/>
              </w:rPr>
            </w:pPr>
            <w:r>
              <w:rPr>
                <w:rFonts w:hint="eastAsia"/>
                <w:sz w:val="21"/>
              </w:rPr>
              <w:t>管理要求</w:t>
            </w:r>
          </w:p>
        </w:tc>
        <w:tc>
          <w:tcPr>
            <w:tcW w:w="8286" w:type="dxa"/>
            <w:gridSpan w:val="4"/>
            <w:tcBorders>
              <w:tl2br w:val="nil"/>
              <w:tr2bl w:val="nil"/>
            </w:tcBorders>
            <w:vAlign w:val="center"/>
          </w:tcPr>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（1）环境管理机构的设置</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rFonts w:hint="eastAsia" w:eastAsia="宋体"/>
                <w:color w:val="000000"/>
                <w:sz w:val="21"/>
                <w:szCs w:val="21"/>
                <w:lang w:eastAsia="zh-CN"/>
              </w:rPr>
            </w:pPr>
            <w:r>
              <w:rPr>
                <w:color w:val="000000"/>
                <w:sz w:val="21"/>
                <w:szCs w:val="21"/>
              </w:rPr>
              <w:t>企业设置环保管理机构，设立副厂长为主管的环保机构—环保处，下设1名专业环保人员。专业人员在主管的领导下负责日常工作，除负责制定实施各种环保管理制度外，同时应对环保工作进行监督检查，并发现问题及时向上级主管部门汇报</w:t>
            </w:r>
            <w:r>
              <w:rPr>
                <w:rFonts w:hint="eastAsia"/>
                <w:color w:val="000000"/>
                <w:sz w:val="21"/>
                <w:szCs w:val="21"/>
                <w:lang w:eastAsia="zh-CN"/>
              </w:rPr>
              <w:t>。</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岗位职责：</w:t>
            </w:r>
            <w:r>
              <w:rPr>
                <w:rFonts w:hint="eastAsia" w:ascii="宋体" w:hAnsi="宋体" w:cs="宋体"/>
                <w:color w:val="000000"/>
                <w:sz w:val="21"/>
                <w:szCs w:val="21"/>
              </w:rPr>
              <w:t>①</w:t>
            </w:r>
            <w:r>
              <w:rPr>
                <w:color w:val="000000"/>
                <w:sz w:val="21"/>
                <w:szCs w:val="21"/>
              </w:rPr>
              <w:t>贯彻落实执行国家、行业有关环保法规、条例、标准；</w:t>
            </w:r>
            <w:r>
              <w:rPr>
                <w:rFonts w:hint="eastAsia" w:ascii="宋体" w:hAnsi="宋体" w:cs="宋体"/>
                <w:color w:val="000000"/>
                <w:sz w:val="21"/>
                <w:szCs w:val="21"/>
              </w:rPr>
              <w:t>②</w:t>
            </w:r>
            <w:r>
              <w:rPr>
                <w:color w:val="000000"/>
                <w:sz w:val="21"/>
                <w:szCs w:val="21"/>
              </w:rPr>
              <w:t>组织制定并监督执行本厂有关环境管理与检测制度；</w:t>
            </w:r>
            <w:r>
              <w:rPr>
                <w:rFonts w:hint="eastAsia" w:ascii="宋体" w:hAnsi="宋体" w:cs="宋体"/>
                <w:color w:val="000000"/>
                <w:sz w:val="21"/>
                <w:szCs w:val="21"/>
              </w:rPr>
              <w:t>③</w:t>
            </w:r>
            <w:r>
              <w:rPr>
                <w:color w:val="000000"/>
                <w:sz w:val="21"/>
                <w:szCs w:val="21"/>
              </w:rPr>
              <w:t>负责定期对监测人员相关专业知识的培训；</w:t>
            </w:r>
            <w:r>
              <w:rPr>
                <w:rFonts w:hint="eastAsia" w:ascii="宋体" w:hAnsi="宋体" w:cs="宋体"/>
                <w:spacing w:val="2"/>
                <w:sz w:val="21"/>
                <w:szCs w:val="21"/>
              </w:rPr>
              <w:t>④</w:t>
            </w:r>
            <w:r>
              <w:rPr>
                <w:color w:val="000000"/>
                <w:sz w:val="21"/>
                <w:szCs w:val="21"/>
              </w:rPr>
              <w:t>负责监督、检查场内环保设施的运行情况；</w:t>
            </w:r>
            <w:r>
              <w:rPr>
                <w:rFonts w:hint="eastAsia" w:ascii="宋体" w:hAnsi="宋体" w:cs="宋体"/>
                <w:color w:val="000000"/>
                <w:sz w:val="21"/>
                <w:szCs w:val="21"/>
              </w:rPr>
              <w:t>⑤</w:t>
            </w:r>
            <w:r>
              <w:rPr>
                <w:color w:val="000000"/>
                <w:sz w:val="21"/>
                <w:szCs w:val="21"/>
              </w:rPr>
              <w:t>负责监督、检查本项目周围环境及生态保护措施的落实。</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（2）环境管理</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营运期环境管理：营运期建设单位应认真贯彻执行《环保法》，按照环保部门的要求和本报告提出的环保设施制定环境管理计划，实行清洁生产，把环保工作落到实处。</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rFonts w:hint="eastAsia" w:ascii="宋体" w:hAnsi="宋体" w:cs="宋体"/>
                <w:color w:val="000000"/>
                <w:sz w:val="21"/>
                <w:szCs w:val="21"/>
              </w:rPr>
              <w:t>①</w:t>
            </w:r>
            <w:r>
              <w:rPr>
                <w:color w:val="000000"/>
                <w:sz w:val="21"/>
                <w:szCs w:val="21"/>
              </w:rPr>
              <w:t>企业要</w:t>
            </w:r>
            <w:r>
              <w:rPr>
                <w:rFonts w:hint="eastAsia"/>
                <w:color w:val="000000"/>
                <w:sz w:val="21"/>
                <w:szCs w:val="21"/>
              </w:rPr>
              <w:t>安排</w:t>
            </w:r>
            <w:r>
              <w:rPr>
                <w:color w:val="000000"/>
                <w:sz w:val="21"/>
                <w:szCs w:val="21"/>
              </w:rPr>
              <w:t>专人员负责环保事务，确保环保措施的落实及环境监测工作；</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rFonts w:hint="eastAsia" w:ascii="宋体" w:hAnsi="宋体" w:cs="宋体"/>
                <w:color w:val="000000"/>
                <w:sz w:val="21"/>
                <w:szCs w:val="21"/>
              </w:rPr>
              <w:t>②</w:t>
            </w:r>
            <w:r>
              <w:rPr>
                <w:color w:val="000000"/>
                <w:sz w:val="21"/>
                <w:szCs w:val="21"/>
              </w:rPr>
              <w:t>对环保设备定期保养，确保环保设备运行率100%。环保设施如有发生突发事故，要及时向环保部门汇报，及时抢修，使环保设施及时正常运行，确保污染降到最低程度。</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rFonts w:hint="eastAsia" w:ascii="宋体" w:hAnsi="宋体" w:cs="宋体"/>
                <w:color w:val="000000"/>
                <w:sz w:val="21"/>
                <w:szCs w:val="21"/>
              </w:rPr>
              <w:t>③</w:t>
            </w:r>
            <w:r>
              <w:rPr>
                <w:color w:val="000000"/>
                <w:sz w:val="21"/>
                <w:szCs w:val="21"/>
              </w:rPr>
              <w:t>企业应建立大气环境、声环境等监测数据档案，并定期进行监测，以便于了解环境质量状况。</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（4）排污口规范化设置</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根据《排污口规范化整治技术要求（试行）》设置废气排污口，便于采集样品、便于监测计量、便于公众参与和监督管理。同时按照《环境保护图形标志实施细则（试行）》的规定，设置与排污口相应的图形标志牌。</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（5）排污许可证管理要求</w:t>
            </w:r>
          </w:p>
          <w:p>
            <w:pPr>
              <w:keepNext w:val="0"/>
              <w:keepLines w:val="0"/>
              <w:pageBreakBefore w:val="0"/>
              <w:widowControl w:val="0"/>
              <w:kinsoku/>
              <w:wordWrap/>
              <w:overflowPunct/>
              <w:topLinePunct w:val="0"/>
              <w:autoSpaceDE w:val="0"/>
              <w:autoSpaceDN/>
              <w:bidi w:val="0"/>
              <w:adjustRightInd/>
              <w:snapToGrid w:val="0"/>
              <w:spacing w:line="400" w:lineRule="exact"/>
              <w:ind w:firstLine="420" w:firstLineChars="200"/>
              <w:textAlignment w:val="auto"/>
              <w:rPr>
                <w:color w:val="000000"/>
                <w:sz w:val="21"/>
                <w:szCs w:val="21"/>
              </w:rPr>
            </w:pPr>
            <w:r>
              <w:rPr>
                <w:color w:val="000000"/>
                <w:sz w:val="21"/>
                <w:szCs w:val="21"/>
              </w:rPr>
              <w:t>根据《排污许可管理办法（试行）》（环保部令第48号），纳入固定污染源排污许可分类管理名录的企业事业单位和其他排污单位应当按照规定的时限申请并取得排污许可证，排污单位应当依法持有排污许可证，并按照排污许可证的规定排放污染物。</w:t>
            </w: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r>
              <w:rPr>
                <w:color w:val="000000"/>
                <w:sz w:val="21"/>
                <w:szCs w:val="21"/>
              </w:rPr>
              <w:t>因此建设单位按照国家相关要求积极申请排污许可证。排污许可证的申请、受理、审核、发放、变更、延续、注销、撤销、遗失补办应当在全国排污许可证管理信息平台上进行。</w:t>
            </w: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p>
            <w:pPr>
              <w:keepNext w:val="0"/>
              <w:keepLines w:val="0"/>
              <w:pageBreakBefore w:val="0"/>
              <w:widowControl w:val="0"/>
              <w:kinsoku/>
              <w:wordWrap/>
              <w:overflowPunct/>
              <w:topLinePunct w:val="0"/>
              <w:autoSpaceDN/>
              <w:bidi w:val="0"/>
              <w:adjustRightInd/>
              <w:spacing w:line="400" w:lineRule="exact"/>
              <w:ind w:firstLine="0" w:firstLineChars="0"/>
              <w:jc w:val="left"/>
              <w:textAlignment w:val="auto"/>
              <w:rPr>
                <w:color w:val="000000"/>
                <w:sz w:val="21"/>
                <w:szCs w:val="21"/>
              </w:rPr>
            </w:pPr>
          </w:p>
        </w:tc>
      </w:tr>
    </w:tbl>
    <w:p>
      <w:pPr>
        <w:ind w:firstLine="0" w:firstLineChars="0"/>
        <w:jc w:val="center"/>
        <w:rPr>
          <w:rFonts w:eastAsia="黑体" w:cs="Times New Roman"/>
          <w:b/>
          <w:sz w:val="30"/>
          <w:szCs w:val="30"/>
        </w:rPr>
      </w:pPr>
      <w:r>
        <w:rPr>
          <w:rFonts w:hint="eastAsia" w:eastAsia="黑体" w:cs="Times New Roman"/>
          <w:b/>
          <w:sz w:val="30"/>
          <w:szCs w:val="30"/>
        </w:rPr>
        <w:t>结论</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06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2512" w:hRule="atLeast"/>
        </w:trPr>
        <w:tc>
          <w:tcPr>
            <w:tcW w:w="9060" w:type="dxa"/>
            <w:tcBorders>
              <w:tl2br w:val="nil"/>
              <w:tr2bl w:val="nil"/>
            </w:tcBorders>
            <w:vAlign w:val="center"/>
          </w:tcPr>
          <w:p>
            <w:pPr>
              <w:ind w:firstLine="480"/>
            </w:pPr>
            <w:r>
              <w:rPr>
                <w:rFonts w:hint="eastAsia"/>
                <w:color w:val="000000"/>
                <w:lang w:val="en-US" w:eastAsia="zh-CN"/>
              </w:rPr>
              <w:t>河南省佼佼者食品有限公司扶贫车间建设项目</w:t>
            </w:r>
            <w:r>
              <w:rPr>
                <w:bCs/>
              </w:rPr>
              <w:t>符合国家产业政策，项目运营期产生的废气、噪声在采取相应的治理措施后，均能达标排放；</w:t>
            </w:r>
            <w:r>
              <w:rPr>
                <w:rFonts w:hint="eastAsia"/>
                <w:bCs/>
              </w:rPr>
              <w:t>生活污水经</w:t>
            </w:r>
            <w:r>
              <w:rPr>
                <w:rFonts w:hint="eastAsia"/>
                <w:bCs/>
                <w:lang w:val="en-US" w:eastAsia="zh-CN"/>
              </w:rPr>
              <w:t>化粪池处理后，定期清掏肥田</w:t>
            </w:r>
            <w:r>
              <w:rPr>
                <w:bCs/>
              </w:rPr>
              <w:t>；</w:t>
            </w:r>
            <w:r>
              <w:rPr>
                <w:bCs/>
                <w:kern w:val="0"/>
              </w:rPr>
              <w:t>项目各类固体废物</w:t>
            </w:r>
            <w:r>
              <w:rPr>
                <w:bCs/>
              </w:rPr>
              <w:t>可得到安全合理有效的处置，对外环境影响较小。因此，</w:t>
            </w:r>
            <w:r>
              <w:rPr>
                <w:rFonts w:hint="eastAsia"/>
                <w:bCs/>
              </w:rPr>
              <w:t>评价认为</w:t>
            </w:r>
            <w:r>
              <w:rPr>
                <w:bCs/>
              </w:rPr>
              <w:t>在认真执行本次评价提出的各项污染防治措施的基础上，从环保角度分析，项目建设可行。</w:t>
            </w:r>
            <w:bookmarkStart w:id="13" w:name="_GoBack"/>
            <w:bookmarkEnd w:id="13"/>
          </w:p>
        </w:tc>
      </w:tr>
    </w:tbl>
    <w:p>
      <w:pPr>
        <w:ind w:firstLine="480"/>
        <w:sectPr>
          <w:pgSz w:w="11906" w:h="16838"/>
          <w:pgMar w:top="1418" w:right="1418" w:bottom="1418" w:left="1418" w:header="851" w:footer="992" w:gutter="0"/>
          <w:pgNumType w:fmt="decimal"/>
          <w:cols w:space="425" w:num="1"/>
          <w:docGrid w:type="lines" w:linePitch="312" w:charSpace="0"/>
        </w:sectPr>
      </w:pPr>
    </w:p>
    <w:p>
      <w:pPr>
        <w:pStyle w:val="17"/>
        <w:adjustRightInd w:val="0"/>
        <w:snapToGrid w:val="0"/>
        <w:spacing w:before="0" w:beforeAutospacing="0" w:after="0" w:afterAutospacing="0"/>
        <w:ind w:firstLine="640"/>
        <w:outlineLvl w:val="0"/>
        <w:rPr>
          <w:rFonts w:ascii="黑体" w:hAnsi="黑体" w:eastAsia="黑体"/>
          <w:snapToGrid w:val="0"/>
          <w:sz w:val="32"/>
          <w:szCs w:val="32"/>
        </w:rPr>
      </w:pPr>
      <w:r>
        <w:rPr>
          <w:rFonts w:hint="eastAsia" w:ascii="黑体" w:hAnsi="黑体" w:eastAsia="黑体"/>
          <w:snapToGrid w:val="0"/>
          <w:sz w:val="32"/>
          <w:szCs w:val="32"/>
        </w:rPr>
        <w:t>附表</w:t>
      </w:r>
    </w:p>
    <w:p>
      <w:pPr>
        <w:pStyle w:val="17"/>
        <w:adjustRightInd w:val="0"/>
        <w:snapToGrid w:val="0"/>
        <w:spacing w:before="0" w:beforeAutospacing="0" w:after="0" w:afterAutospacing="0"/>
        <w:ind w:firstLine="760"/>
        <w:jc w:val="center"/>
        <w:outlineLvl w:val="0"/>
        <w:rPr>
          <w:rFonts w:ascii="方正小标宋_GBK" w:hAnsi="黑体" w:eastAsia="方正小标宋_GBK"/>
          <w:snapToGrid w:val="0"/>
          <w:sz w:val="38"/>
          <w:szCs w:val="38"/>
        </w:rPr>
      </w:pPr>
      <w:r>
        <w:rPr>
          <w:rFonts w:hint="eastAsia" w:ascii="方正小标宋_GBK" w:hAnsi="黑体" w:eastAsia="方正小标宋_GBK"/>
          <w:snapToGrid w:val="0"/>
          <w:sz w:val="38"/>
          <w:szCs w:val="38"/>
        </w:rPr>
        <w:t>建设项目污染物排放量汇总表</w:t>
      </w:r>
    </w:p>
    <w:tbl>
      <w:tblPr>
        <w:tblStyle w:val="21"/>
        <w:tblW w:w="1378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541"/>
        <w:gridCol w:w="12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tcMar>
              <w:left w:w="28" w:type="dxa"/>
              <w:right w:w="28" w:type="dxa"/>
            </w:tcMar>
            <w:vAlign w:val="center"/>
          </w:tcPr>
          <w:p>
            <w:pPr>
              <w:adjustRightInd w:val="0"/>
              <w:snapToGrid w:val="0"/>
              <w:spacing w:line="240" w:lineRule="auto"/>
              <w:ind w:firstLine="0" w:firstLineChars="0"/>
              <w:jc w:val="right"/>
              <w:rPr>
                <w:rFonts w:eastAsia="黑体" w:cs="Times New Roman"/>
                <w:snapToGrid w:val="0"/>
                <w:spacing w:val="-6"/>
                <w:kern w:val="21"/>
                <w:sz w:val="21"/>
              </w:rPr>
            </w:pPr>
            <w:r>
              <w:rPr>
                <w:rFonts w:eastAsia="黑体" w:cs="Times New Roman"/>
                <w:snapToGrid w:val="0"/>
                <w:spacing w:val="-6"/>
                <w:kern w:val="21"/>
                <w:sz w:val="21"/>
              </w:rPr>
              <w:t>项目</w:t>
            </w:r>
          </w:p>
          <w:p>
            <w:pPr>
              <w:adjustRightInd w:val="0"/>
              <w:snapToGrid w:val="0"/>
              <w:spacing w:line="240" w:lineRule="auto"/>
              <w:ind w:firstLine="0" w:firstLineChars="0"/>
              <w:jc w:val="left"/>
              <w:rPr>
                <w:rFonts w:eastAsia="黑体" w:cs="Times New Roman"/>
                <w:snapToGrid w:val="0"/>
                <w:spacing w:val="-6"/>
                <w:kern w:val="21"/>
                <w:sz w:val="21"/>
              </w:rPr>
            </w:pPr>
            <w:r>
              <w:rPr>
                <w:rFonts w:eastAsia="黑体" w:cs="Times New Roman"/>
                <w:snapToGrid w:val="0"/>
                <w:spacing w:val="-6"/>
                <w:kern w:val="21"/>
                <w:sz w:val="21"/>
              </w:rPr>
              <w:t>分类</w:t>
            </w:r>
          </w:p>
        </w:tc>
        <w:tc>
          <w:tcPr>
            <w:tcW w:w="1417"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污染物名称</w:t>
            </w:r>
          </w:p>
        </w:tc>
        <w:tc>
          <w:tcPr>
            <w:tcW w:w="1701"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现有工程</w:t>
            </w:r>
          </w:p>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排放量（固体废物产生量）</w:t>
            </w: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1 \* GB3 \* MERGEFORMAT </w:instrText>
            </w:r>
            <w:r>
              <w:rPr>
                <w:rFonts w:eastAsia="黑体" w:cs="Times New Roman"/>
                <w:snapToGrid w:val="0"/>
                <w:spacing w:val="-6"/>
                <w:kern w:val="21"/>
                <w:sz w:val="21"/>
              </w:rPr>
              <w:fldChar w:fldCharType="separate"/>
            </w:r>
            <w:r>
              <w:rPr>
                <w:rFonts w:hint="eastAsia" w:ascii="宋体" w:hAnsi="宋体" w:cs="宋体"/>
                <w:sz w:val="21"/>
              </w:rPr>
              <w:t>①</w:t>
            </w:r>
            <w:r>
              <w:rPr>
                <w:rFonts w:eastAsia="黑体" w:cs="Times New Roman"/>
                <w:snapToGrid w:val="0"/>
                <w:spacing w:val="-6"/>
                <w:kern w:val="21"/>
                <w:sz w:val="21"/>
              </w:rPr>
              <w:fldChar w:fldCharType="end"/>
            </w:r>
          </w:p>
        </w:tc>
        <w:tc>
          <w:tcPr>
            <w:tcW w:w="1276"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现有工程</w:t>
            </w:r>
          </w:p>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许可排放量</w:t>
            </w:r>
          </w:p>
          <w:p>
            <w:pPr>
              <w:adjustRightInd w:val="0"/>
              <w:snapToGrid w:val="0"/>
              <w:spacing w:line="259"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2 \* GB3 \* MERGEFORMAT </w:instrText>
            </w:r>
            <w:r>
              <w:rPr>
                <w:rFonts w:eastAsia="黑体" w:cs="Times New Roman"/>
                <w:snapToGrid w:val="0"/>
                <w:spacing w:val="-6"/>
                <w:kern w:val="21"/>
                <w:sz w:val="21"/>
              </w:rPr>
              <w:fldChar w:fldCharType="separate"/>
            </w:r>
            <w:r>
              <w:rPr>
                <w:rFonts w:hint="eastAsia" w:ascii="宋体" w:hAnsi="宋体" w:cs="宋体"/>
                <w:snapToGrid w:val="0"/>
                <w:spacing w:val="-6"/>
                <w:kern w:val="21"/>
                <w:sz w:val="21"/>
              </w:rPr>
              <w:t>②</w:t>
            </w:r>
            <w:r>
              <w:rPr>
                <w:rFonts w:eastAsia="黑体" w:cs="Times New Roman"/>
                <w:snapToGrid w:val="0"/>
                <w:spacing w:val="-6"/>
                <w:kern w:val="21"/>
                <w:sz w:val="21"/>
              </w:rPr>
              <w:fldChar w:fldCharType="end"/>
            </w:r>
          </w:p>
        </w:tc>
        <w:tc>
          <w:tcPr>
            <w:tcW w:w="1701"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在建工程</w:t>
            </w:r>
          </w:p>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排放量（固体废物产生量）</w:t>
            </w: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3 \* GB3 \* MERGEFORMAT </w:instrText>
            </w:r>
            <w:r>
              <w:rPr>
                <w:rFonts w:eastAsia="黑体" w:cs="Times New Roman"/>
                <w:snapToGrid w:val="0"/>
                <w:spacing w:val="-6"/>
                <w:kern w:val="21"/>
                <w:sz w:val="21"/>
              </w:rPr>
              <w:fldChar w:fldCharType="separate"/>
            </w:r>
            <w:r>
              <w:rPr>
                <w:rFonts w:hint="eastAsia" w:ascii="宋体" w:hAnsi="宋体" w:cs="宋体"/>
                <w:sz w:val="21"/>
              </w:rPr>
              <w:t>③</w:t>
            </w:r>
            <w:r>
              <w:rPr>
                <w:rFonts w:eastAsia="黑体" w:cs="Times New Roman"/>
                <w:snapToGrid w:val="0"/>
                <w:spacing w:val="-6"/>
                <w:kern w:val="21"/>
                <w:sz w:val="21"/>
              </w:rPr>
              <w:fldChar w:fldCharType="end"/>
            </w:r>
          </w:p>
        </w:tc>
        <w:tc>
          <w:tcPr>
            <w:tcW w:w="1559"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本项目</w:t>
            </w:r>
          </w:p>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排放量（固体废物产生量）</w:t>
            </w: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4 \* GB3 \* MERGEFORMAT </w:instrText>
            </w:r>
            <w:r>
              <w:rPr>
                <w:rFonts w:eastAsia="黑体" w:cs="Times New Roman"/>
                <w:snapToGrid w:val="0"/>
                <w:spacing w:val="-6"/>
                <w:kern w:val="21"/>
                <w:sz w:val="21"/>
              </w:rPr>
              <w:fldChar w:fldCharType="separate"/>
            </w:r>
            <w:r>
              <w:rPr>
                <w:rFonts w:hint="eastAsia" w:ascii="宋体" w:hAnsi="宋体" w:cs="宋体"/>
                <w:sz w:val="21"/>
              </w:rPr>
              <w:t>④</w:t>
            </w:r>
            <w:r>
              <w:rPr>
                <w:rFonts w:eastAsia="黑体" w:cs="Times New Roman"/>
                <w:snapToGrid w:val="0"/>
                <w:spacing w:val="-6"/>
                <w:kern w:val="21"/>
                <w:sz w:val="21"/>
              </w:rPr>
              <w:fldChar w:fldCharType="end"/>
            </w:r>
          </w:p>
        </w:tc>
        <w:tc>
          <w:tcPr>
            <w:tcW w:w="1761"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16"/>
                <w:kern w:val="21"/>
                <w:sz w:val="21"/>
              </w:rPr>
            </w:pPr>
            <w:r>
              <w:rPr>
                <w:rFonts w:eastAsia="黑体" w:cs="Times New Roman"/>
                <w:snapToGrid w:val="0"/>
                <w:spacing w:val="-16"/>
                <w:kern w:val="21"/>
                <w:sz w:val="21"/>
              </w:rPr>
              <w:t>以新带老削减量</w:t>
            </w:r>
          </w:p>
          <w:p>
            <w:pPr>
              <w:adjustRightInd w:val="0"/>
              <w:snapToGrid w:val="0"/>
              <w:spacing w:line="240" w:lineRule="auto"/>
              <w:ind w:firstLine="0" w:firstLineChars="0"/>
              <w:jc w:val="center"/>
              <w:rPr>
                <w:rFonts w:eastAsia="黑体" w:cs="Times New Roman"/>
                <w:snapToGrid w:val="0"/>
                <w:spacing w:val="-16"/>
                <w:kern w:val="21"/>
                <w:sz w:val="21"/>
              </w:rPr>
            </w:pPr>
            <w:r>
              <w:rPr>
                <w:rFonts w:eastAsia="黑体" w:cs="Times New Roman"/>
                <w:snapToGrid w:val="0"/>
                <w:spacing w:val="-16"/>
                <w:kern w:val="21"/>
                <w:sz w:val="21"/>
              </w:rPr>
              <w:t>（新建项目不填）</w:t>
            </w:r>
            <w:r>
              <w:rPr>
                <w:rFonts w:eastAsia="黑体" w:cs="Times New Roman"/>
                <w:snapToGrid w:val="0"/>
                <w:spacing w:val="-16"/>
                <w:kern w:val="21"/>
                <w:sz w:val="21"/>
              </w:rPr>
              <w:fldChar w:fldCharType="begin"/>
            </w:r>
            <w:r>
              <w:rPr>
                <w:rFonts w:eastAsia="黑体" w:cs="Times New Roman"/>
                <w:snapToGrid w:val="0"/>
                <w:spacing w:val="-16"/>
                <w:kern w:val="21"/>
                <w:sz w:val="21"/>
              </w:rPr>
              <w:instrText xml:space="preserve"> = 5 \* GB3 \* MERGEFORMAT </w:instrText>
            </w:r>
            <w:r>
              <w:rPr>
                <w:rFonts w:eastAsia="黑体" w:cs="Times New Roman"/>
                <w:snapToGrid w:val="0"/>
                <w:spacing w:val="-16"/>
                <w:kern w:val="21"/>
                <w:sz w:val="21"/>
              </w:rPr>
              <w:fldChar w:fldCharType="separate"/>
            </w:r>
            <w:r>
              <w:rPr>
                <w:rFonts w:hint="eastAsia" w:ascii="宋体" w:hAnsi="宋体" w:cs="宋体"/>
                <w:sz w:val="21"/>
              </w:rPr>
              <w:t>⑤</w:t>
            </w:r>
            <w:r>
              <w:rPr>
                <w:rFonts w:eastAsia="黑体" w:cs="Times New Roman"/>
                <w:snapToGrid w:val="0"/>
                <w:spacing w:val="-16"/>
                <w:kern w:val="21"/>
                <w:sz w:val="21"/>
              </w:rPr>
              <w:fldChar w:fldCharType="end"/>
            </w:r>
          </w:p>
        </w:tc>
        <w:tc>
          <w:tcPr>
            <w:tcW w:w="1541"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16"/>
                <w:kern w:val="21"/>
                <w:sz w:val="21"/>
              </w:rPr>
            </w:pPr>
            <w:r>
              <w:rPr>
                <w:rFonts w:eastAsia="黑体" w:cs="Times New Roman"/>
                <w:snapToGrid w:val="0"/>
                <w:spacing w:val="-16"/>
                <w:kern w:val="21"/>
                <w:sz w:val="21"/>
              </w:rPr>
              <w:t>本项目建成后</w:t>
            </w:r>
          </w:p>
          <w:p>
            <w:pPr>
              <w:adjustRightInd w:val="0"/>
              <w:snapToGrid w:val="0"/>
              <w:spacing w:line="240" w:lineRule="auto"/>
              <w:ind w:firstLine="0" w:firstLineChars="0"/>
              <w:jc w:val="center"/>
              <w:rPr>
                <w:rFonts w:eastAsia="黑体" w:cs="Times New Roman"/>
                <w:snapToGrid w:val="0"/>
                <w:spacing w:val="-16"/>
                <w:kern w:val="21"/>
                <w:sz w:val="21"/>
              </w:rPr>
            </w:pPr>
            <w:r>
              <w:rPr>
                <w:rFonts w:eastAsia="黑体" w:cs="Times New Roman"/>
                <w:snapToGrid w:val="0"/>
                <w:spacing w:val="-16"/>
                <w:kern w:val="21"/>
                <w:sz w:val="21"/>
              </w:rPr>
              <w:t>全厂排放量（固体废物产生量）</w:t>
            </w:r>
            <w:r>
              <w:rPr>
                <w:rFonts w:eastAsia="黑体" w:cs="Times New Roman"/>
                <w:snapToGrid w:val="0"/>
                <w:spacing w:val="-16"/>
                <w:kern w:val="21"/>
                <w:sz w:val="21"/>
              </w:rPr>
              <w:fldChar w:fldCharType="begin"/>
            </w:r>
            <w:r>
              <w:rPr>
                <w:rFonts w:eastAsia="黑体" w:cs="Times New Roman"/>
                <w:snapToGrid w:val="0"/>
                <w:spacing w:val="-16"/>
                <w:kern w:val="21"/>
                <w:sz w:val="21"/>
              </w:rPr>
              <w:instrText xml:space="preserve"> = 6 \* GB3 \* MERGEFORMAT </w:instrText>
            </w:r>
            <w:r>
              <w:rPr>
                <w:rFonts w:eastAsia="黑体" w:cs="Times New Roman"/>
                <w:snapToGrid w:val="0"/>
                <w:spacing w:val="-16"/>
                <w:kern w:val="21"/>
                <w:sz w:val="21"/>
              </w:rPr>
              <w:fldChar w:fldCharType="separate"/>
            </w:r>
            <w:r>
              <w:rPr>
                <w:rFonts w:hint="eastAsia" w:ascii="宋体" w:hAnsi="宋体" w:cs="宋体"/>
                <w:sz w:val="21"/>
              </w:rPr>
              <w:t>⑥</w:t>
            </w:r>
            <w:r>
              <w:rPr>
                <w:rFonts w:eastAsia="黑体" w:cs="Times New Roman"/>
                <w:snapToGrid w:val="0"/>
                <w:spacing w:val="-16"/>
                <w:kern w:val="21"/>
                <w:sz w:val="21"/>
              </w:rPr>
              <w:fldChar w:fldCharType="end"/>
            </w:r>
          </w:p>
        </w:tc>
        <w:tc>
          <w:tcPr>
            <w:tcW w:w="1244" w:type="dxa"/>
            <w:tcMar>
              <w:left w:w="28" w:type="dxa"/>
              <w:right w:w="28" w:type="dxa"/>
            </w:tcMar>
            <w:vAlign w:val="center"/>
          </w:tcPr>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t>变化量</w:t>
            </w:r>
          </w:p>
          <w:p>
            <w:pPr>
              <w:adjustRightInd w:val="0"/>
              <w:snapToGrid w:val="0"/>
              <w:spacing w:line="240" w:lineRule="auto"/>
              <w:ind w:firstLine="0" w:firstLineChars="0"/>
              <w:jc w:val="center"/>
              <w:rPr>
                <w:rFonts w:eastAsia="黑体" w:cs="Times New Roman"/>
                <w:snapToGrid w:val="0"/>
                <w:spacing w:val="-6"/>
                <w:kern w:val="21"/>
                <w:sz w:val="21"/>
              </w:rPr>
            </w:pPr>
            <w:r>
              <w:rPr>
                <w:rFonts w:eastAsia="黑体" w:cs="Times New Roman"/>
                <w:snapToGrid w:val="0"/>
                <w:spacing w:val="-6"/>
                <w:kern w:val="21"/>
                <w:sz w:val="21"/>
              </w:rPr>
              <w:fldChar w:fldCharType="begin"/>
            </w:r>
            <w:r>
              <w:rPr>
                <w:rFonts w:eastAsia="黑体" w:cs="Times New Roman"/>
                <w:snapToGrid w:val="0"/>
                <w:spacing w:val="-6"/>
                <w:kern w:val="21"/>
                <w:sz w:val="21"/>
              </w:rPr>
              <w:instrText xml:space="preserve"> = 7 \* GB3 \* MERGEFORMAT </w:instrText>
            </w:r>
            <w:r>
              <w:rPr>
                <w:rFonts w:eastAsia="黑体" w:cs="Times New Roman"/>
                <w:snapToGrid w:val="0"/>
                <w:spacing w:val="-6"/>
                <w:kern w:val="21"/>
                <w:sz w:val="21"/>
              </w:rPr>
              <w:fldChar w:fldCharType="separate"/>
            </w:r>
            <w:r>
              <w:rPr>
                <w:rFonts w:hint="eastAsia" w:ascii="宋体" w:hAnsi="宋体" w:cs="宋体"/>
                <w:sz w:val="21"/>
              </w:rPr>
              <w:t>⑦</w:t>
            </w:r>
            <w:r>
              <w:rPr>
                <w:rFonts w:eastAsia="黑体" w:cs="Times New Roman"/>
                <w:snapToGrid w:val="0"/>
                <w:spacing w:val="-6"/>
                <w:kern w:val="21"/>
                <w:sz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88" w:type="dxa"/>
            <w:vMerge w:val="restart"/>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废气</w:t>
            </w:r>
          </w:p>
        </w:tc>
        <w:tc>
          <w:tcPr>
            <w:tcW w:w="1417" w:type="dxa"/>
            <w:vAlign w:val="center"/>
          </w:tcPr>
          <w:p>
            <w:pPr>
              <w:adjustRightInd w:val="0"/>
              <w:snapToGrid w:val="0"/>
              <w:spacing w:line="240" w:lineRule="auto"/>
              <w:ind w:firstLine="0" w:firstLineChars="0"/>
              <w:jc w:val="center"/>
              <w:rPr>
                <w:rFonts w:hint="eastAsia" w:eastAsia="宋体" w:cs="Times New Roman"/>
                <w:snapToGrid w:val="0"/>
                <w:kern w:val="21"/>
                <w:sz w:val="21"/>
                <w:lang w:eastAsia="zh-CN"/>
              </w:rPr>
            </w:pPr>
            <w:r>
              <w:rPr>
                <w:rFonts w:hint="eastAsia" w:cs="Times New Roman"/>
                <w:snapToGrid w:val="0"/>
                <w:kern w:val="21"/>
                <w:sz w:val="21"/>
                <w:lang w:val="en-US" w:eastAsia="zh-CN"/>
              </w:rPr>
              <w:t>颗粒物</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59" w:type="dxa"/>
            <w:vAlign w:val="center"/>
          </w:tcPr>
          <w:p>
            <w:pPr>
              <w:adjustRightInd w:val="0"/>
              <w:snapToGrid w:val="0"/>
              <w:spacing w:line="240" w:lineRule="auto"/>
              <w:ind w:firstLine="0" w:firstLineChars="0"/>
              <w:jc w:val="center"/>
              <w:rPr>
                <w:rFonts w:hint="default" w:cs="Times New Roman"/>
                <w:snapToGrid w:val="0"/>
                <w:kern w:val="21"/>
                <w:sz w:val="21"/>
                <w:lang w:val="en-US" w:eastAsia="zh-CN"/>
              </w:rPr>
            </w:pPr>
            <w:r>
              <w:rPr>
                <w:rFonts w:hint="eastAsia" w:cs="Times New Roman"/>
                <w:snapToGrid w:val="0"/>
                <w:kern w:val="21"/>
                <w:sz w:val="21"/>
                <w:lang w:val="en-US" w:eastAsia="zh-CN"/>
              </w:rPr>
              <w:t>0.0573t/a</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4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0.0573t/a</w:t>
            </w:r>
          </w:p>
        </w:tc>
        <w:tc>
          <w:tcPr>
            <w:tcW w:w="1244"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+0.0573t/a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88" w:type="dxa"/>
            <w:vMerge w:val="continue"/>
            <w:vAlign w:val="center"/>
          </w:tcPr>
          <w:p>
            <w:pPr>
              <w:adjustRightInd w:val="0"/>
              <w:snapToGrid w:val="0"/>
              <w:spacing w:line="240" w:lineRule="auto"/>
              <w:ind w:firstLine="0" w:firstLineChars="0"/>
              <w:jc w:val="center"/>
              <w:rPr>
                <w:rFonts w:cs="Times New Roman"/>
                <w:snapToGrid w:val="0"/>
                <w:kern w:val="21"/>
                <w:sz w:val="21"/>
              </w:rPr>
            </w:pPr>
          </w:p>
        </w:tc>
        <w:tc>
          <w:tcPr>
            <w:tcW w:w="1417" w:type="dxa"/>
            <w:vAlign w:val="center"/>
          </w:tcPr>
          <w:p>
            <w:pPr>
              <w:adjustRightInd w:val="0"/>
              <w:snapToGrid w:val="0"/>
              <w:spacing w:line="240" w:lineRule="auto"/>
              <w:ind w:firstLine="0" w:firstLineChars="0"/>
              <w:jc w:val="center"/>
              <w:rPr>
                <w:rFonts w:hint="eastAsia" w:eastAsia="宋体" w:cs="Times New Roman"/>
                <w:snapToGrid w:val="0"/>
                <w:kern w:val="21"/>
                <w:sz w:val="21"/>
                <w:lang w:eastAsia="zh-CN"/>
              </w:rPr>
            </w:pPr>
            <w:r>
              <w:rPr>
                <w:rFonts w:hint="eastAsia" w:cs="Times New Roman"/>
                <w:snapToGrid w:val="0"/>
                <w:kern w:val="21"/>
                <w:sz w:val="21"/>
                <w:lang w:val="en-US" w:eastAsia="zh-CN"/>
              </w:rPr>
              <w:t>二氧化硫</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snapToGrid w:val="0"/>
                <w:kern w:val="21"/>
                <w:sz w:val="21"/>
              </w:rPr>
            </w:pPr>
            <w:r>
              <w:rPr>
                <w:rFonts w:hint="eastAsia" w:cs="Times New Roman"/>
                <w:b w:val="0"/>
                <w:bCs/>
                <w:sz w:val="21"/>
                <w:szCs w:val="21"/>
                <w:u w:val="none"/>
                <w:vertAlign w:val="baseline"/>
                <w:lang w:val="en-US" w:eastAsia="zh-CN"/>
              </w:rPr>
              <w:t>0.008</w:t>
            </w:r>
            <w:r>
              <w:rPr>
                <w:rFonts w:hint="eastAsia" w:cs="Times New Roman"/>
                <w:snapToGrid w:val="0"/>
                <w:kern w:val="21"/>
                <w:sz w:val="21"/>
                <w:lang w:val="en-US" w:eastAsia="zh-CN"/>
              </w:rPr>
              <w:t>t/a</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54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snapToGrid w:val="0"/>
                <w:kern w:val="21"/>
                <w:sz w:val="21"/>
              </w:rPr>
            </w:pPr>
            <w:r>
              <w:rPr>
                <w:rFonts w:hint="eastAsia" w:cs="Times New Roman"/>
                <w:b w:val="0"/>
                <w:bCs/>
                <w:sz w:val="21"/>
                <w:szCs w:val="21"/>
                <w:u w:val="none"/>
                <w:vertAlign w:val="baseline"/>
                <w:lang w:val="en-US" w:eastAsia="zh-CN"/>
              </w:rPr>
              <w:t>0.008</w:t>
            </w:r>
            <w:r>
              <w:rPr>
                <w:rFonts w:hint="eastAsia" w:cs="Times New Roman"/>
                <w:snapToGrid w:val="0"/>
                <w:kern w:val="21"/>
                <w:sz w:val="21"/>
                <w:lang w:val="en-US" w:eastAsia="zh-CN"/>
              </w:rPr>
              <w:t>t/a</w:t>
            </w: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snapToGrid w:val="0"/>
                <w:kern w:val="21"/>
                <w:sz w:val="21"/>
              </w:rPr>
            </w:pPr>
            <w:r>
              <w:rPr>
                <w:rFonts w:hint="eastAsia" w:cs="Times New Roman"/>
                <w:b w:val="0"/>
                <w:bCs/>
                <w:sz w:val="21"/>
                <w:szCs w:val="21"/>
                <w:u w:val="none"/>
                <w:vertAlign w:val="baseline"/>
                <w:lang w:val="en-US" w:eastAsia="zh-CN"/>
              </w:rPr>
              <w:t>+0.008</w:t>
            </w:r>
            <w:r>
              <w:rPr>
                <w:rFonts w:hint="eastAsia" w:cs="Times New Roman"/>
                <w:snapToGrid w:val="0"/>
                <w:kern w:val="21"/>
                <w:sz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88" w:type="dxa"/>
            <w:vMerge w:val="continue"/>
            <w:vAlign w:val="center"/>
          </w:tcPr>
          <w:p>
            <w:pPr>
              <w:adjustRightInd w:val="0"/>
              <w:snapToGrid w:val="0"/>
              <w:spacing w:line="240" w:lineRule="auto"/>
              <w:ind w:firstLine="0" w:firstLineChars="0"/>
              <w:jc w:val="center"/>
              <w:rPr>
                <w:rFonts w:cs="Times New Roman"/>
                <w:snapToGrid w:val="0"/>
                <w:kern w:val="21"/>
                <w:sz w:val="21"/>
              </w:rPr>
            </w:pPr>
          </w:p>
        </w:tc>
        <w:tc>
          <w:tcPr>
            <w:tcW w:w="1417" w:type="dxa"/>
            <w:vAlign w:val="center"/>
          </w:tcPr>
          <w:p>
            <w:pPr>
              <w:adjustRightInd w:val="0"/>
              <w:snapToGrid w:val="0"/>
              <w:spacing w:line="240" w:lineRule="auto"/>
              <w:ind w:firstLine="0" w:firstLineChars="0"/>
              <w:jc w:val="center"/>
              <w:rPr>
                <w:rFonts w:hint="eastAsia" w:eastAsia="宋体" w:cs="Times New Roman"/>
                <w:snapToGrid w:val="0"/>
                <w:kern w:val="21"/>
                <w:sz w:val="21"/>
                <w:lang w:val="en-US" w:eastAsia="zh-CN"/>
              </w:rPr>
            </w:pPr>
            <w:r>
              <w:rPr>
                <w:rFonts w:hint="eastAsia" w:cs="Times New Roman"/>
                <w:snapToGrid w:val="0"/>
                <w:kern w:val="21"/>
                <w:sz w:val="21"/>
                <w:lang w:val="en-US" w:eastAsia="zh-CN"/>
              </w:rPr>
              <w:t>氮氧化物</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559"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snapToGrid w:val="0"/>
                <w:kern w:val="21"/>
                <w:sz w:val="21"/>
              </w:rPr>
            </w:pPr>
            <w:r>
              <w:rPr>
                <w:rFonts w:hint="eastAsia" w:cs="Times New Roman"/>
                <w:b w:val="0"/>
                <w:bCs/>
                <w:sz w:val="21"/>
                <w:szCs w:val="21"/>
                <w:u w:val="none"/>
                <w:vertAlign w:val="baseline"/>
                <w:lang w:val="en-US" w:eastAsia="zh-CN"/>
              </w:rPr>
              <w:t>0.0606</w:t>
            </w:r>
            <w:r>
              <w:rPr>
                <w:rFonts w:hint="eastAsia" w:cs="Times New Roman"/>
                <w:snapToGrid w:val="0"/>
                <w:kern w:val="21"/>
                <w:sz w:val="21"/>
                <w:lang w:val="en-US" w:eastAsia="zh-CN"/>
              </w:rPr>
              <w:t>t/a</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541"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snapToGrid w:val="0"/>
                <w:kern w:val="21"/>
                <w:sz w:val="21"/>
              </w:rPr>
            </w:pPr>
            <w:r>
              <w:rPr>
                <w:rFonts w:hint="eastAsia" w:cs="Times New Roman"/>
                <w:b w:val="0"/>
                <w:bCs/>
                <w:sz w:val="21"/>
                <w:szCs w:val="21"/>
                <w:u w:val="none"/>
                <w:vertAlign w:val="baseline"/>
                <w:lang w:val="en-US" w:eastAsia="zh-CN"/>
              </w:rPr>
              <w:t>0.0606</w:t>
            </w:r>
            <w:r>
              <w:rPr>
                <w:rFonts w:hint="eastAsia" w:cs="Times New Roman"/>
                <w:snapToGrid w:val="0"/>
                <w:kern w:val="21"/>
                <w:sz w:val="21"/>
                <w:lang w:val="en-US" w:eastAsia="zh-CN"/>
              </w:rPr>
              <w:t>t/a</w:t>
            </w:r>
          </w:p>
        </w:tc>
        <w:tc>
          <w:tcPr>
            <w:tcW w:w="1244"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cs="Times New Roman"/>
                <w:snapToGrid w:val="0"/>
                <w:kern w:val="21"/>
                <w:sz w:val="21"/>
              </w:rPr>
            </w:pPr>
            <w:r>
              <w:rPr>
                <w:rFonts w:hint="eastAsia" w:cs="Times New Roman"/>
                <w:b w:val="0"/>
                <w:bCs/>
                <w:sz w:val="21"/>
                <w:szCs w:val="21"/>
                <w:u w:val="none"/>
                <w:vertAlign w:val="baseline"/>
                <w:lang w:val="en-US" w:eastAsia="zh-CN"/>
              </w:rPr>
              <w:t>+0.0606</w:t>
            </w:r>
            <w:r>
              <w:rPr>
                <w:rFonts w:hint="eastAsia" w:cs="Times New Roman"/>
                <w:snapToGrid w:val="0"/>
                <w:kern w:val="21"/>
                <w:sz w:val="21"/>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废水</w:t>
            </w:r>
          </w:p>
        </w:tc>
        <w:tc>
          <w:tcPr>
            <w:tcW w:w="1417"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化学需氧量</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59"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54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244"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adjustRightInd w:val="0"/>
              <w:snapToGrid w:val="0"/>
              <w:spacing w:line="240" w:lineRule="auto"/>
              <w:ind w:firstLine="0" w:firstLineChars="0"/>
              <w:jc w:val="center"/>
              <w:rPr>
                <w:rFonts w:cs="Times New Roman"/>
                <w:snapToGrid w:val="0"/>
                <w:kern w:val="21"/>
                <w:sz w:val="21"/>
              </w:rPr>
            </w:pPr>
          </w:p>
        </w:tc>
        <w:tc>
          <w:tcPr>
            <w:tcW w:w="1417"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氨氮</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59"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54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c>
          <w:tcPr>
            <w:tcW w:w="1244"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一般工业</w:t>
            </w:r>
          </w:p>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固体废物</w:t>
            </w:r>
          </w:p>
        </w:tc>
        <w:tc>
          <w:tcPr>
            <w:tcW w:w="1417" w:type="dxa"/>
            <w:vAlign w:val="center"/>
          </w:tcPr>
          <w:p>
            <w:pPr>
              <w:adjustRightInd w:val="0"/>
              <w:snapToGrid w:val="0"/>
              <w:spacing w:line="240" w:lineRule="auto"/>
              <w:ind w:firstLine="0" w:firstLineChars="0"/>
              <w:jc w:val="center"/>
              <w:rPr>
                <w:rFonts w:hint="eastAsia" w:eastAsia="宋体" w:cs="Times New Roman"/>
                <w:snapToGrid w:val="0"/>
                <w:kern w:val="21"/>
                <w:sz w:val="21"/>
                <w:lang w:val="en-US" w:eastAsia="zh-CN"/>
              </w:rPr>
            </w:pPr>
            <w:r>
              <w:rPr>
                <w:rFonts w:hint="eastAsia"/>
                <w:sz w:val="21"/>
              </w:rPr>
              <w:t>废包装</w:t>
            </w:r>
            <w:r>
              <w:rPr>
                <w:rFonts w:hint="eastAsia"/>
                <w:sz w:val="21"/>
                <w:lang w:val="en-US" w:eastAsia="zh-CN"/>
              </w:rPr>
              <w:t>材料</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59"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0.</w:t>
            </w:r>
            <w:r>
              <w:rPr>
                <w:rFonts w:hint="eastAsia" w:cs="Times New Roman"/>
                <w:snapToGrid w:val="0"/>
                <w:kern w:val="21"/>
                <w:sz w:val="21"/>
                <w:lang w:val="en-US" w:eastAsia="zh-CN"/>
              </w:rPr>
              <w:t>3</w:t>
            </w:r>
            <w:r>
              <w:rPr>
                <w:rFonts w:hint="eastAsia" w:cs="Times New Roman"/>
                <w:snapToGrid w:val="0"/>
                <w:kern w:val="21"/>
                <w:sz w:val="21"/>
              </w:rPr>
              <w:t>t/a</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4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0.</w:t>
            </w:r>
            <w:r>
              <w:rPr>
                <w:rFonts w:hint="eastAsia" w:cs="Times New Roman"/>
                <w:snapToGrid w:val="0"/>
                <w:kern w:val="21"/>
                <w:sz w:val="21"/>
                <w:lang w:val="en-US" w:eastAsia="zh-CN"/>
              </w:rPr>
              <w:t>3</w:t>
            </w:r>
            <w:r>
              <w:rPr>
                <w:rFonts w:hint="eastAsia" w:cs="Times New Roman"/>
                <w:snapToGrid w:val="0"/>
                <w:kern w:val="21"/>
                <w:sz w:val="21"/>
              </w:rPr>
              <w:t>t/a</w:t>
            </w:r>
          </w:p>
        </w:tc>
        <w:tc>
          <w:tcPr>
            <w:tcW w:w="1244"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w:t>
            </w:r>
            <w:r>
              <w:rPr>
                <w:rFonts w:hint="eastAsia" w:cs="Times New Roman"/>
                <w:snapToGrid w:val="0"/>
                <w:kern w:val="21"/>
                <w:sz w:val="21"/>
              </w:rPr>
              <w:t>0.</w:t>
            </w:r>
            <w:r>
              <w:rPr>
                <w:rFonts w:hint="eastAsia" w:cs="Times New Roman"/>
                <w:snapToGrid w:val="0"/>
                <w:kern w:val="21"/>
                <w:sz w:val="21"/>
                <w:lang w:val="en-US" w:eastAsia="zh-CN"/>
              </w:rPr>
              <w:t>3</w:t>
            </w:r>
            <w:r>
              <w:rPr>
                <w:rFonts w:hint="eastAsia" w:cs="Times New Roman"/>
                <w:snapToGrid w:val="0"/>
                <w:kern w:val="21"/>
                <w:sz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adjustRightInd w:val="0"/>
              <w:snapToGrid w:val="0"/>
              <w:spacing w:line="240" w:lineRule="auto"/>
              <w:ind w:firstLine="0" w:firstLineChars="0"/>
              <w:jc w:val="center"/>
              <w:rPr>
                <w:rFonts w:cs="Times New Roman"/>
                <w:snapToGrid w:val="0"/>
                <w:kern w:val="21"/>
                <w:sz w:val="21"/>
              </w:rPr>
            </w:pPr>
          </w:p>
        </w:tc>
        <w:tc>
          <w:tcPr>
            <w:tcW w:w="1417" w:type="dxa"/>
            <w:vAlign w:val="center"/>
          </w:tcPr>
          <w:p>
            <w:pPr>
              <w:adjustRightInd w:val="0"/>
              <w:snapToGrid w:val="0"/>
              <w:spacing w:line="240" w:lineRule="auto"/>
              <w:ind w:firstLine="0" w:firstLineChars="0"/>
              <w:jc w:val="center"/>
              <w:rPr>
                <w:rFonts w:hint="default" w:eastAsia="宋体" w:cs="Times New Roman"/>
                <w:snapToGrid w:val="0"/>
                <w:kern w:val="21"/>
                <w:sz w:val="21"/>
                <w:lang w:val="en-US" w:eastAsia="zh-CN"/>
              </w:rPr>
            </w:pPr>
            <w:r>
              <w:rPr>
                <w:rFonts w:hint="eastAsia" w:cs="Times New Roman"/>
                <w:snapToGrid w:val="0"/>
                <w:kern w:val="21"/>
                <w:sz w:val="21"/>
                <w:lang w:val="en-US" w:eastAsia="zh-CN"/>
              </w:rPr>
              <w:t>除尘器收尘</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59"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0.</w:t>
            </w:r>
            <w:r>
              <w:rPr>
                <w:rFonts w:hint="eastAsia" w:cs="Times New Roman"/>
                <w:snapToGrid w:val="0"/>
                <w:kern w:val="21"/>
                <w:sz w:val="21"/>
                <w:lang w:val="en-US" w:eastAsia="zh-CN"/>
              </w:rPr>
              <w:t>0138</w:t>
            </w:r>
            <w:r>
              <w:rPr>
                <w:rFonts w:hint="eastAsia" w:cs="Times New Roman"/>
                <w:snapToGrid w:val="0"/>
                <w:kern w:val="21"/>
                <w:sz w:val="21"/>
              </w:rPr>
              <w:t>t/a</w:t>
            </w:r>
          </w:p>
        </w:tc>
        <w:tc>
          <w:tcPr>
            <w:tcW w:w="176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4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rPr>
              <w:t>0.</w:t>
            </w:r>
            <w:r>
              <w:rPr>
                <w:rFonts w:hint="eastAsia" w:cs="Times New Roman"/>
                <w:snapToGrid w:val="0"/>
                <w:kern w:val="21"/>
                <w:sz w:val="21"/>
                <w:lang w:val="en-US" w:eastAsia="zh-CN"/>
              </w:rPr>
              <w:t>0138</w:t>
            </w:r>
            <w:r>
              <w:rPr>
                <w:rFonts w:hint="eastAsia" w:cs="Times New Roman"/>
                <w:snapToGrid w:val="0"/>
                <w:kern w:val="21"/>
                <w:sz w:val="21"/>
              </w:rPr>
              <w:t>t/a</w:t>
            </w:r>
          </w:p>
        </w:tc>
        <w:tc>
          <w:tcPr>
            <w:tcW w:w="1244"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w:t>
            </w:r>
            <w:r>
              <w:rPr>
                <w:rFonts w:hint="eastAsia" w:cs="Times New Roman"/>
                <w:snapToGrid w:val="0"/>
                <w:kern w:val="21"/>
                <w:sz w:val="21"/>
              </w:rPr>
              <w:t>0.</w:t>
            </w:r>
            <w:r>
              <w:rPr>
                <w:rFonts w:hint="eastAsia" w:cs="Times New Roman"/>
                <w:snapToGrid w:val="0"/>
                <w:kern w:val="21"/>
                <w:sz w:val="21"/>
                <w:lang w:val="en-US" w:eastAsia="zh-CN"/>
              </w:rPr>
              <w:t>0138</w:t>
            </w:r>
            <w:r>
              <w:rPr>
                <w:rFonts w:hint="eastAsia" w:cs="Times New Roman"/>
                <w:snapToGrid w:val="0"/>
                <w:kern w:val="21"/>
                <w:sz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adjustRightInd w:val="0"/>
              <w:snapToGrid w:val="0"/>
              <w:spacing w:line="240" w:lineRule="auto"/>
              <w:ind w:firstLine="0" w:firstLineChars="0"/>
              <w:jc w:val="center"/>
              <w:rPr>
                <w:rFonts w:cs="Times New Roman"/>
                <w:snapToGrid w:val="0"/>
                <w:kern w:val="21"/>
                <w:sz w:val="21"/>
              </w:rPr>
            </w:pPr>
          </w:p>
        </w:tc>
        <w:tc>
          <w:tcPr>
            <w:tcW w:w="1417" w:type="dxa"/>
            <w:vAlign w:val="center"/>
          </w:tcPr>
          <w:p>
            <w:pPr>
              <w:pStyle w:val="26"/>
              <w:spacing w:line="240" w:lineRule="exact"/>
            </w:pPr>
            <w:r>
              <w:rPr>
                <w:rFonts w:hint="eastAsia"/>
              </w:rPr>
              <w:t>生活垃圾</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276"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701" w:type="dxa"/>
            <w:vAlign w:val="center"/>
          </w:tcPr>
          <w:p>
            <w:pPr>
              <w:adjustRightInd w:val="0"/>
              <w:snapToGrid w:val="0"/>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59"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0.9</w:t>
            </w:r>
            <w:r>
              <w:rPr>
                <w:rFonts w:hint="eastAsia" w:cs="Times New Roman"/>
                <w:snapToGrid w:val="0"/>
                <w:kern w:val="21"/>
                <w:sz w:val="21"/>
              </w:rPr>
              <w:t>t/a</w:t>
            </w:r>
          </w:p>
        </w:tc>
        <w:tc>
          <w:tcPr>
            <w:tcW w:w="1761" w:type="dxa"/>
            <w:vAlign w:val="center"/>
          </w:tcPr>
          <w:p>
            <w:pPr>
              <w:spacing w:line="240" w:lineRule="auto"/>
              <w:ind w:firstLine="0" w:firstLineChars="0"/>
              <w:jc w:val="center"/>
              <w:rPr>
                <w:rFonts w:cs="Times New Roman"/>
                <w:snapToGrid w:val="0"/>
                <w:kern w:val="21"/>
                <w:sz w:val="21"/>
              </w:rPr>
            </w:pPr>
            <w:r>
              <w:rPr>
                <w:rFonts w:cs="Times New Roman"/>
                <w:snapToGrid w:val="0"/>
                <w:kern w:val="21"/>
                <w:sz w:val="21"/>
              </w:rPr>
              <w:t>/</w:t>
            </w:r>
          </w:p>
        </w:tc>
        <w:tc>
          <w:tcPr>
            <w:tcW w:w="1541"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0.9</w:t>
            </w:r>
            <w:r>
              <w:rPr>
                <w:rFonts w:hint="eastAsia" w:cs="Times New Roman"/>
                <w:snapToGrid w:val="0"/>
                <w:kern w:val="21"/>
                <w:sz w:val="21"/>
              </w:rPr>
              <w:t>t/a</w:t>
            </w:r>
          </w:p>
        </w:tc>
        <w:tc>
          <w:tcPr>
            <w:tcW w:w="1244" w:type="dxa"/>
            <w:vAlign w:val="center"/>
          </w:tcPr>
          <w:p>
            <w:pPr>
              <w:adjustRightInd w:val="0"/>
              <w:snapToGrid w:val="0"/>
              <w:spacing w:line="240" w:lineRule="auto"/>
              <w:ind w:firstLine="0" w:firstLineChars="0"/>
              <w:jc w:val="center"/>
              <w:rPr>
                <w:rFonts w:cs="Times New Roman"/>
                <w:snapToGrid w:val="0"/>
                <w:kern w:val="21"/>
                <w:sz w:val="21"/>
              </w:rPr>
            </w:pPr>
            <w:r>
              <w:rPr>
                <w:rFonts w:hint="eastAsia" w:cs="Times New Roman"/>
                <w:snapToGrid w:val="0"/>
                <w:kern w:val="21"/>
                <w:sz w:val="21"/>
                <w:lang w:val="en-US" w:eastAsia="zh-CN"/>
              </w:rPr>
              <w:t>+0.9</w:t>
            </w:r>
            <w:r>
              <w:rPr>
                <w:rFonts w:hint="eastAsia" w:cs="Times New Roman"/>
                <w:snapToGrid w:val="0"/>
                <w:kern w:val="21"/>
                <w:sz w:val="21"/>
              </w:rPr>
              <w:t>t/a</w:t>
            </w:r>
          </w:p>
        </w:tc>
      </w:tr>
    </w:tbl>
    <w:p>
      <w:pPr>
        <w:adjustRightInd w:val="0"/>
        <w:snapToGrid w:val="0"/>
        <w:spacing w:before="260" w:beforeLines="80" w:after="32" w:afterLines="10" w:line="259" w:lineRule="auto"/>
        <w:ind w:firstLine="0" w:firstLineChars="0"/>
        <w:jc w:val="left"/>
        <w:rPr>
          <w:rFonts w:ascii="宋体" w:hAnsi="宋体" w:eastAsia="黑体" w:cs="Times New Roman"/>
          <w:kern w:val="0"/>
          <w:sz w:val="21"/>
          <w:szCs w:val="20"/>
        </w:rPr>
      </w:pPr>
      <w:r>
        <w:rPr>
          <w:rFonts w:ascii="宋体" w:hAnsi="宋体" w:cs="Times New Roman"/>
          <w:snapToGrid w:val="0"/>
          <w:kern w:val="21"/>
          <w:sz w:val="21"/>
        </w:rPr>
        <w:t>注：</w:t>
      </w:r>
      <w:r>
        <w:rPr>
          <w:rFonts w:ascii="宋体" w:hAnsi="宋体" w:cs="Times New Roman"/>
          <w:snapToGrid w:val="0"/>
          <w:spacing w:val="-16"/>
          <w:kern w:val="21"/>
          <w:sz w:val="21"/>
        </w:rPr>
        <w:fldChar w:fldCharType="begin"/>
      </w:r>
      <w:r>
        <w:rPr>
          <w:rFonts w:ascii="宋体" w:hAnsi="宋体" w:cs="Times New Roman"/>
          <w:snapToGrid w:val="0"/>
          <w:spacing w:val="-16"/>
          <w:kern w:val="21"/>
          <w:sz w:val="21"/>
        </w:rPr>
        <w:instrText xml:space="preserve"> = 6 \* GB3 \* MERGEFORMAT </w:instrText>
      </w:r>
      <w:r>
        <w:rPr>
          <w:rFonts w:ascii="宋体" w:hAnsi="宋体" w:cs="Times New Roman"/>
          <w:snapToGrid w:val="0"/>
          <w:spacing w:val="-16"/>
          <w:kern w:val="21"/>
          <w:sz w:val="21"/>
        </w:rPr>
        <w:fldChar w:fldCharType="separate"/>
      </w:r>
      <w:r>
        <w:rPr>
          <w:rFonts w:hint="eastAsia" w:ascii="宋体" w:hAnsi="宋体" w:cs="Times New Roman"/>
          <w:kern w:val="0"/>
          <w:sz w:val="21"/>
        </w:rPr>
        <w:t>⑥</w:t>
      </w:r>
      <w:r>
        <w:rPr>
          <w:rFonts w:ascii="宋体" w:hAnsi="宋体" w:cs="Times New Roman"/>
          <w:snapToGrid w:val="0"/>
          <w:spacing w:val="-16"/>
          <w:kern w:val="21"/>
          <w:sz w:val="21"/>
        </w:rPr>
        <w:fldChar w:fldCharType="end"/>
      </w:r>
      <w:r>
        <w:rPr>
          <w:rFonts w:ascii="宋体" w:hAnsi="宋体" w:cs="Times New Roman"/>
          <w:snapToGrid w:val="0"/>
          <w:spacing w:val="-1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1 \* GB3 \* MERGEFORMAT </w:instrText>
      </w:r>
      <w:r>
        <w:rPr>
          <w:rFonts w:ascii="宋体" w:hAnsi="宋体" w:cs="Times New Roman"/>
          <w:snapToGrid w:val="0"/>
          <w:spacing w:val="-6"/>
          <w:kern w:val="21"/>
          <w:sz w:val="21"/>
        </w:rPr>
        <w:fldChar w:fldCharType="separate"/>
      </w:r>
      <w:r>
        <w:rPr>
          <w:rFonts w:hint="eastAsia" w:ascii="宋体" w:hAnsi="宋体" w:cs="Times New Roman"/>
          <w:kern w:val="0"/>
          <w:sz w:val="21"/>
        </w:rPr>
        <w:t>①</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3 \* GB3 \* MERGEFORMAT </w:instrText>
      </w:r>
      <w:r>
        <w:rPr>
          <w:rFonts w:ascii="宋体" w:hAnsi="宋体" w:cs="Times New Roman"/>
          <w:snapToGrid w:val="0"/>
          <w:spacing w:val="-6"/>
          <w:kern w:val="21"/>
          <w:sz w:val="21"/>
        </w:rPr>
        <w:fldChar w:fldCharType="separate"/>
      </w:r>
      <w:r>
        <w:rPr>
          <w:rFonts w:hint="eastAsia" w:ascii="宋体" w:hAnsi="宋体" w:cs="Times New Roman"/>
          <w:kern w:val="0"/>
          <w:sz w:val="21"/>
        </w:rPr>
        <w:t>③</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4 \* GB3 \* MERGEFORMAT </w:instrText>
      </w:r>
      <w:r>
        <w:rPr>
          <w:rFonts w:ascii="宋体" w:hAnsi="宋体" w:cs="Times New Roman"/>
          <w:snapToGrid w:val="0"/>
          <w:spacing w:val="-6"/>
          <w:kern w:val="21"/>
          <w:sz w:val="21"/>
        </w:rPr>
        <w:fldChar w:fldCharType="separate"/>
      </w:r>
      <w:r>
        <w:rPr>
          <w:rFonts w:hint="eastAsia" w:ascii="宋体" w:hAnsi="宋体" w:cs="Times New Roman"/>
          <w:kern w:val="0"/>
          <w:sz w:val="21"/>
        </w:rPr>
        <w:t>④</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16"/>
          <w:kern w:val="21"/>
          <w:sz w:val="21"/>
        </w:rPr>
        <w:fldChar w:fldCharType="begin"/>
      </w:r>
      <w:r>
        <w:rPr>
          <w:rFonts w:ascii="宋体" w:hAnsi="宋体" w:cs="Times New Roman"/>
          <w:snapToGrid w:val="0"/>
          <w:spacing w:val="-16"/>
          <w:kern w:val="21"/>
          <w:sz w:val="21"/>
        </w:rPr>
        <w:instrText xml:space="preserve"> = 5 \* GB3 \* MERGEFORMAT </w:instrText>
      </w:r>
      <w:r>
        <w:rPr>
          <w:rFonts w:ascii="宋体" w:hAnsi="宋体" w:cs="Times New Roman"/>
          <w:snapToGrid w:val="0"/>
          <w:spacing w:val="-16"/>
          <w:kern w:val="21"/>
          <w:sz w:val="21"/>
        </w:rPr>
        <w:fldChar w:fldCharType="separate"/>
      </w:r>
      <w:r>
        <w:rPr>
          <w:rFonts w:hint="eastAsia" w:ascii="宋体" w:hAnsi="宋体" w:cs="Times New Roman"/>
          <w:kern w:val="0"/>
          <w:sz w:val="21"/>
        </w:rPr>
        <w:t>⑤</w:t>
      </w:r>
      <w:r>
        <w:rPr>
          <w:rFonts w:ascii="宋体" w:hAnsi="宋体" w:cs="Times New Roman"/>
          <w:snapToGrid w:val="0"/>
          <w:spacing w:val="-16"/>
          <w:kern w:val="21"/>
          <w:sz w:val="21"/>
        </w:rPr>
        <w:fldChar w:fldCharType="end"/>
      </w:r>
      <w:r>
        <w:rPr>
          <w:rFonts w:ascii="宋体" w:hAnsi="宋体" w:cs="Times New Roman"/>
          <w:snapToGrid w:val="0"/>
          <w:spacing w:val="-1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7 \* GB3 \* MERGEFORMAT </w:instrText>
      </w:r>
      <w:r>
        <w:rPr>
          <w:rFonts w:ascii="宋体" w:hAnsi="宋体" w:cs="Times New Roman"/>
          <w:snapToGrid w:val="0"/>
          <w:spacing w:val="-6"/>
          <w:kern w:val="21"/>
          <w:sz w:val="21"/>
        </w:rPr>
        <w:fldChar w:fldCharType="separate"/>
      </w:r>
      <w:r>
        <w:rPr>
          <w:rFonts w:hint="eastAsia" w:ascii="宋体" w:hAnsi="宋体" w:cs="Times New Roman"/>
          <w:kern w:val="0"/>
          <w:sz w:val="21"/>
        </w:rPr>
        <w:t>⑦</w:t>
      </w:r>
      <w:r>
        <w:rPr>
          <w:rFonts w:ascii="宋体" w:hAnsi="宋体" w:cs="Times New Roman"/>
          <w:snapToGrid w:val="0"/>
          <w:spacing w:val="-6"/>
          <w:kern w:val="21"/>
          <w:sz w:val="21"/>
        </w:rPr>
        <w:fldChar w:fldCharType="end"/>
      </w:r>
      <w:r>
        <w:rPr>
          <w:rFonts w:ascii="宋体" w:hAnsi="宋体" w:cs="Times New Roman"/>
          <w:snapToGrid w:val="0"/>
          <w:spacing w:val="-6"/>
          <w:kern w:val="21"/>
          <w:sz w:val="21"/>
        </w:rPr>
        <w:t>=</w:t>
      </w:r>
      <w:r>
        <w:rPr>
          <w:rFonts w:ascii="宋体" w:hAnsi="宋体" w:cs="Times New Roman"/>
          <w:snapToGrid w:val="0"/>
          <w:spacing w:val="-16"/>
          <w:kern w:val="21"/>
          <w:sz w:val="21"/>
        </w:rPr>
        <w:fldChar w:fldCharType="begin"/>
      </w:r>
      <w:r>
        <w:rPr>
          <w:rFonts w:ascii="宋体" w:hAnsi="宋体" w:cs="Times New Roman"/>
          <w:snapToGrid w:val="0"/>
          <w:spacing w:val="-16"/>
          <w:kern w:val="21"/>
          <w:sz w:val="21"/>
        </w:rPr>
        <w:instrText xml:space="preserve"> = 6 \* GB3 \* MERGEFORMAT </w:instrText>
      </w:r>
      <w:r>
        <w:rPr>
          <w:rFonts w:ascii="宋体" w:hAnsi="宋体" w:cs="Times New Roman"/>
          <w:snapToGrid w:val="0"/>
          <w:spacing w:val="-16"/>
          <w:kern w:val="21"/>
          <w:sz w:val="21"/>
        </w:rPr>
        <w:fldChar w:fldCharType="separate"/>
      </w:r>
      <w:r>
        <w:rPr>
          <w:rFonts w:hint="eastAsia" w:ascii="宋体" w:hAnsi="宋体" w:cs="Times New Roman"/>
          <w:kern w:val="0"/>
          <w:sz w:val="21"/>
        </w:rPr>
        <w:t>⑥</w:t>
      </w:r>
      <w:r>
        <w:rPr>
          <w:rFonts w:ascii="宋体" w:hAnsi="宋体" w:cs="Times New Roman"/>
          <w:snapToGrid w:val="0"/>
          <w:spacing w:val="-16"/>
          <w:kern w:val="21"/>
          <w:sz w:val="21"/>
        </w:rPr>
        <w:fldChar w:fldCharType="end"/>
      </w:r>
      <w:r>
        <w:rPr>
          <w:rFonts w:ascii="宋体" w:hAnsi="宋体" w:cs="Times New Roman"/>
          <w:snapToGrid w:val="0"/>
          <w:spacing w:val="-16"/>
          <w:kern w:val="21"/>
          <w:sz w:val="21"/>
        </w:rPr>
        <w:t>-</w:t>
      </w:r>
      <w:r>
        <w:rPr>
          <w:rFonts w:ascii="宋体" w:hAnsi="宋体" w:cs="Times New Roman"/>
          <w:snapToGrid w:val="0"/>
          <w:spacing w:val="-6"/>
          <w:kern w:val="21"/>
          <w:sz w:val="21"/>
        </w:rPr>
        <w:fldChar w:fldCharType="begin"/>
      </w:r>
      <w:r>
        <w:rPr>
          <w:rFonts w:ascii="宋体" w:hAnsi="宋体" w:cs="Times New Roman"/>
          <w:snapToGrid w:val="0"/>
          <w:spacing w:val="-6"/>
          <w:kern w:val="21"/>
          <w:sz w:val="21"/>
        </w:rPr>
        <w:instrText xml:space="preserve"> = 1 \* GB3 \* MERGEFORMAT </w:instrText>
      </w:r>
      <w:r>
        <w:rPr>
          <w:rFonts w:ascii="宋体" w:hAnsi="宋体" w:cs="Times New Roman"/>
          <w:snapToGrid w:val="0"/>
          <w:spacing w:val="-6"/>
          <w:kern w:val="21"/>
          <w:sz w:val="21"/>
        </w:rPr>
        <w:fldChar w:fldCharType="separate"/>
      </w:r>
      <w:r>
        <w:rPr>
          <w:rFonts w:hint="eastAsia" w:ascii="宋体" w:hAnsi="宋体" w:cs="Times New Roman"/>
          <w:kern w:val="0"/>
          <w:sz w:val="21"/>
        </w:rPr>
        <w:t>①</w:t>
      </w:r>
      <w:r>
        <w:rPr>
          <w:rFonts w:ascii="宋体" w:hAnsi="宋体" w:cs="Times New Roman"/>
          <w:snapToGrid w:val="0"/>
          <w:spacing w:val="-6"/>
          <w:kern w:val="21"/>
          <w:sz w:val="21"/>
        </w:rPr>
        <w:fldChar w:fldCharType="end"/>
      </w:r>
    </w:p>
    <w:p>
      <w:pPr>
        <w:widowControl/>
        <w:spacing w:line="240" w:lineRule="auto"/>
        <w:ind w:firstLine="0" w:firstLineChars="0"/>
        <w:jc w:val="left"/>
      </w:pPr>
    </w:p>
    <w:sectPr>
      <w:footerReference r:id="rId13" w:type="default"/>
      <w:pgSz w:w="16838" w:h="11906" w:orient="landscape"/>
      <w:pgMar w:top="1418" w:right="1418" w:bottom="1418" w:left="1418"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TimesNewRomanPSMT">
    <w:altName w:val="Times New Roman"/>
    <w:panose1 w:val="00000000000000000000"/>
    <w:charset w:val="80"/>
    <w:family w:val="auto"/>
    <w:pitch w:val="default"/>
    <w:sig w:usb0="00000000" w:usb1="00000000" w:usb2="00000010" w:usb3="00000000" w:csb0="00060000" w:csb1="00000000"/>
  </w:font>
  <w:font w:name="Wingdings 2">
    <w:panose1 w:val="05020102010507070707"/>
    <w:charset w:val="02"/>
    <w:family w:val="roman"/>
    <w:pitch w:val="default"/>
    <w:sig w:usb0="00000000" w:usb1="00000000" w:usb2="00000000" w:usb3="00000000" w:csb0="80000000" w:csb1="00000000"/>
  </w:font>
  <w:font w:name="FZKai-Z03">
    <w:altName w:val="Segoe Print"/>
    <w:panose1 w:val="00000000000000000000"/>
    <w:charset w:val="00"/>
    <w:family w:val="auto"/>
    <w:pitch w:val="default"/>
    <w:sig w:usb0="00000000" w:usb1="00000000" w:usb2="00000000" w:usb3="00000000" w:csb0="00040001" w:csb1="00000000"/>
  </w:font>
  <w:font w:name="FZFangSong-Z02">
    <w:altName w:val="Segoe Print"/>
    <w:panose1 w:val="00000000000000000000"/>
    <w:charset w:val="00"/>
    <w:family w:val="auto"/>
    <w:pitch w:val="default"/>
    <w:sig w:usb0="00000000" w:usb1="00000000" w:usb2="00000000"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80"/>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45 -</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80"/>
      <w:jc w:val="center"/>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480"/>
                            <w:jc w:val="center"/>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3"/>
                      <w:ind w:firstLine="480"/>
                      <w:jc w:val="center"/>
                      <w:rPr>
                        <w:rFonts w:hint="default" w:eastAsia="宋体"/>
                        <w:lang w:val="en-US" w:eastAsia="zh-CN"/>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80"/>
      <w:jc w:val="center"/>
      <w:rPr>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80"/>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10982"/>
    <w:multiLevelType w:val="singleLevel"/>
    <w:tmpl w:val="8361098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1MmNmMDc2YTllNjVmZGU5NmM3YjM4YWFkNzE5OTMifQ=="/>
  </w:docVars>
  <w:rsids>
    <w:rsidRoot w:val="00172A27"/>
    <w:rsid w:val="00001B0D"/>
    <w:rsid w:val="000030CC"/>
    <w:rsid w:val="00003FFF"/>
    <w:rsid w:val="0000665B"/>
    <w:rsid w:val="0000681C"/>
    <w:rsid w:val="0000721D"/>
    <w:rsid w:val="00007656"/>
    <w:rsid w:val="00007F55"/>
    <w:rsid w:val="00011428"/>
    <w:rsid w:val="00011742"/>
    <w:rsid w:val="00011C04"/>
    <w:rsid w:val="00012080"/>
    <w:rsid w:val="00012C1C"/>
    <w:rsid w:val="000135F0"/>
    <w:rsid w:val="000135FE"/>
    <w:rsid w:val="000147A4"/>
    <w:rsid w:val="0001490E"/>
    <w:rsid w:val="000160B9"/>
    <w:rsid w:val="00016CEB"/>
    <w:rsid w:val="00017A2B"/>
    <w:rsid w:val="00017F41"/>
    <w:rsid w:val="000200B0"/>
    <w:rsid w:val="000219F9"/>
    <w:rsid w:val="00022135"/>
    <w:rsid w:val="00023111"/>
    <w:rsid w:val="00023827"/>
    <w:rsid w:val="00023AB0"/>
    <w:rsid w:val="00024170"/>
    <w:rsid w:val="0002529C"/>
    <w:rsid w:val="0002538D"/>
    <w:rsid w:val="0002678F"/>
    <w:rsid w:val="00026A4C"/>
    <w:rsid w:val="000270D7"/>
    <w:rsid w:val="00030E13"/>
    <w:rsid w:val="0003208F"/>
    <w:rsid w:val="000325DE"/>
    <w:rsid w:val="00033315"/>
    <w:rsid w:val="00033FB3"/>
    <w:rsid w:val="00034519"/>
    <w:rsid w:val="00035AF2"/>
    <w:rsid w:val="00035CE3"/>
    <w:rsid w:val="00036DA8"/>
    <w:rsid w:val="00042DE4"/>
    <w:rsid w:val="00045270"/>
    <w:rsid w:val="00045A22"/>
    <w:rsid w:val="00046098"/>
    <w:rsid w:val="0005154B"/>
    <w:rsid w:val="00052303"/>
    <w:rsid w:val="000544EE"/>
    <w:rsid w:val="00054B1C"/>
    <w:rsid w:val="000570F5"/>
    <w:rsid w:val="00057254"/>
    <w:rsid w:val="00057E77"/>
    <w:rsid w:val="000602E2"/>
    <w:rsid w:val="00064B84"/>
    <w:rsid w:val="00065C9C"/>
    <w:rsid w:val="000669C7"/>
    <w:rsid w:val="00070487"/>
    <w:rsid w:val="000705FF"/>
    <w:rsid w:val="00070658"/>
    <w:rsid w:val="0007073F"/>
    <w:rsid w:val="00071EA5"/>
    <w:rsid w:val="00073859"/>
    <w:rsid w:val="00080832"/>
    <w:rsid w:val="0008581E"/>
    <w:rsid w:val="000864EB"/>
    <w:rsid w:val="00086572"/>
    <w:rsid w:val="00087AEB"/>
    <w:rsid w:val="00092526"/>
    <w:rsid w:val="000938D3"/>
    <w:rsid w:val="00094D28"/>
    <w:rsid w:val="0009554A"/>
    <w:rsid w:val="00096662"/>
    <w:rsid w:val="00097AD9"/>
    <w:rsid w:val="00097F0E"/>
    <w:rsid w:val="000A0D05"/>
    <w:rsid w:val="000A2FD7"/>
    <w:rsid w:val="000A521C"/>
    <w:rsid w:val="000A6440"/>
    <w:rsid w:val="000A7414"/>
    <w:rsid w:val="000A79EF"/>
    <w:rsid w:val="000A7D49"/>
    <w:rsid w:val="000A7D87"/>
    <w:rsid w:val="000B063D"/>
    <w:rsid w:val="000B0AE2"/>
    <w:rsid w:val="000B1477"/>
    <w:rsid w:val="000B189D"/>
    <w:rsid w:val="000B1C7D"/>
    <w:rsid w:val="000B31F8"/>
    <w:rsid w:val="000B4954"/>
    <w:rsid w:val="000B5AC7"/>
    <w:rsid w:val="000B7D59"/>
    <w:rsid w:val="000C1886"/>
    <w:rsid w:val="000C38A8"/>
    <w:rsid w:val="000D13C5"/>
    <w:rsid w:val="000D66C3"/>
    <w:rsid w:val="000D78BE"/>
    <w:rsid w:val="000E01D6"/>
    <w:rsid w:val="000E2882"/>
    <w:rsid w:val="000E2DF2"/>
    <w:rsid w:val="000E338D"/>
    <w:rsid w:val="000E5D32"/>
    <w:rsid w:val="000E65BB"/>
    <w:rsid w:val="000E6A4C"/>
    <w:rsid w:val="000E7D54"/>
    <w:rsid w:val="000F0262"/>
    <w:rsid w:val="000F41A5"/>
    <w:rsid w:val="0010091E"/>
    <w:rsid w:val="001035BB"/>
    <w:rsid w:val="00104BD8"/>
    <w:rsid w:val="00106D6A"/>
    <w:rsid w:val="00106DD7"/>
    <w:rsid w:val="001073DF"/>
    <w:rsid w:val="00107E3D"/>
    <w:rsid w:val="00111039"/>
    <w:rsid w:val="001115D7"/>
    <w:rsid w:val="0011177B"/>
    <w:rsid w:val="00112950"/>
    <w:rsid w:val="00114DBA"/>
    <w:rsid w:val="001168CD"/>
    <w:rsid w:val="00120802"/>
    <w:rsid w:val="00120A93"/>
    <w:rsid w:val="0012119B"/>
    <w:rsid w:val="0012202D"/>
    <w:rsid w:val="00122AA2"/>
    <w:rsid w:val="00122E69"/>
    <w:rsid w:val="00123019"/>
    <w:rsid w:val="001237B6"/>
    <w:rsid w:val="001243FD"/>
    <w:rsid w:val="00124A95"/>
    <w:rsid w:val="00125675"/>
    <w:rsid w:val="001274AD"/>
    <w:rsid w:val="00127C93"/>
    <w:rsid w:val="00127CD1"/>
    <w:rsid w:val="00130EF4"/>
    <w:rsid w:val="00132DA7"/>
    <w:rsid w:val="0013378D"/>
    <w:rsid w:val="001350E9"/>
    <w:rsid w:val="0013660C"/>
    <w:rsid w:val="00137405"/>
    <w:rsid w:val="001378B4"/>
    <w:rsid w:val="00137B95"/>
    <w:rsid w:val="00137E52"/>
    <w:rsid w:val="00140DA0"/>
    <w:rsid w:val="00142058"/>
    <w:rsid w:val="00142E1C"/>
    <w:rsid w:val="00143AA5"/>
    <w:rsid w:val="00143AB9"/>
    <w:rsid w:val="001446EA"/>
    <w:rsid w:val="00144F1E"/>
    <w:rsid w:val="00144FFF"/>
    <w:rsid w:val="00146946"/>
    <w:rsid w:val="00147BF5"/>
    <w:rsid w:val="0015278A"/>
    <w:rsid w:val="00153196"/>
    <w:rsid w:val="001531E2"/>
    <w:rsid w:val="001535AD"/>
    <w:rsid w:val="001547EB"/>
    <w:rsid w:val="00156D26"/>
    <w:rsid w:val="00160EF8"/>
    <w:rsid w:val="00162C0F"/>
    <w:rsid w:val="001659BA"/>
    <w:rsid w:val="00165A1A"/>
    <w:rsid w:val="00166A61"/>
    <w:rsid w:val="001705A7"/>
    <w:rsid w:val="00170C6B"/>
    <w:rsid w:val="001713CC"/>
    <w:rsid w:val="001733D8"/>
    <w:rsid w:val="00173E1E"/>
    <w:rsid w:val="00177838"/>
    <w:rsid w:val="001823DB"/>
    <w:rsid w:val="00182D03"/>
    <w:rsid w:val="00183A7A"/>
    <w:rsid w:val="00183AC5"/>
    <w:rsid w:val="00185717"/>
    <w:rsid w:val="001858CE"/>
    <w:rsid w:val="001858E2"/>
    <w:rsid w:val="00187A7E"/>
    <w:rsid w:val="001917E9"/>
    <w:rsid w:val="00192D7F"/>
    <w:rsid w:val="00192FEC"/>
    <w:rsid w:val="00194621"/>
    <w:rsid w:val="0019586F"/>
    <w:rsid w:val="00195DA6"/>
    <w:rsid w:val="001961F9"/>
    <w:rsid w:val="001A184A"/>
    <w:rsid w:val="001A2132"/>
    <w:rsid w:val="001A606E"/>
    <w:rsid w:val="001A6108"/>
    <w:rsid w:val="001A6229"/>
    <w:rsid w:val="001B45F3"/>
    <w:rsid w:val="001B49B5"/>
    <w:rsid w:val="001B57BF"/>
    <w:rsid w:val="001B5AA5"/>
    <w:rsid w:val="001B7632"/>
    <w:rsid w:val="001C0833"/>
    <w:rsid w:val="001C0CDB"/>
    <w:rsid w:val="001C14B2"/>
    <w:rsid w:val="001C2046"/>
    <w:rsid w:val="001C20EE"/>
    <w:rsid w:val="001C2DBA"/>
    <w:rsid w:val="001C40C2"/>
    <w:rsid w:val="001C7351"/>
    <w:rsid w:val="001C74A2"/>
    <w:rsid w:val="001D0927"/>
    <w:rsid w:val="001D1D90"/>
    <w:rsid w:val="001D409C"/>
    <w:rsid w:val="001D4B0E"/>
    <w:rsid w:val="001D6D2C"/>
    <w:rsid w:val="001D7111"/>
    <w:rsid w:val="001E1EB6"/>
    <w:rsid w:val="001E24D8"/>
    <w:rsid w:val="001E278C"/>
    <w:rsid w:val="001E42B1"/>
    <w:rsid w:val="001E694C"/>
    <w:rsid w:val="001F1250"/>
    <w:rsid w:val="001F2280"/>
    <w:rsid w:val="001F279A"/>
    <w:rsid w:val="001F2DC5"/>
    <w:rsid w:val="001F3D27"/>
    <w:rsid w:val="001F488E"/>
    <w:rsid w:val="001F4C29"/>
    <w:rsid w:val="001F51F1"/>
    <w:rsid w:val="00200BC1"/>
    <w:rsid w:val="0020195B"/>
    <w:rsid w:val="00202477"/>
    <w:rsid w:val="00203071"/>
    <w:rsid w:val="00204AE0"/>
    <w:rsid w:val="002077E4"/>
    <w:rsid w:val="00211965"/>
    <w:rsid w:val="00212168"/>
    <w:rsid w:val="00212F48"/>
    <w:rsid w:val="00213824"/>
    <w:rsid w:val="00213C9E"/>
    <w:rsid w:val="002142AA"/>
    <w:rsid w:val="00214EA6"/>
    <w:rsid w:val="002155B2"/>
    <w:rsid w:val="00215858"/>
    <w:rsid w:val="00215D84"/>
    <w:rsid w:val="002175C9"/>
    <w:rsid w:val="00217FB3"/>
    <w:rsid w:val="0022013D"/>
    <w:rsid w:val="0022065B"/>
    <w:rsid w:val="00223251"/>
    <w:rsid w:val="00223452"/>
    <w:rsid w:val="002239C5"/>
    <w:rsid w:val="002250FE"/>
    <w:rsid w:val="002253E0"/>
    <w:rsid w:val="00225CEA"/>
    <w:rsid w:val="002266AA"/>
    <w:rsid w:val="00226806"/>
    <w:rsid w:val="002271B9"/>
    <w:rsid w:val="00227561"/>
    <w:rsid w:val="00227B2B"/>
    <w:rsid w:val="00230FC8"/>
    <w:rsid w:val="00232608"/>
    <w:rsid w:val="00235211"/>
    <w:rsid w:val="00235717"/>
    <w:rsid w:val="002368BE"/>
    <w:rsid w:val="00236915"/>
    <w:rsid w:val="00236999"/>
    <w:rsid w:val="00237445"/>
    <w:rsid w:val="00242BE4"/>
    <w:rsid w:val="002441CA"/>
    <w:rsid w:val="002468F0"/>
    <w:rsid w:val="00247265"/>
    <w:rsid w:val="00247569"/>
    <w:rsid w:val="00247714"/>
    <w:rsid w:val="00247763"/>
    <w:rsid w:val="002502FD"/>
    <w:rsid w:val="00250320"/>
    <w:rsid w:val="00250B7C"/>
    <w:rsid w:val="002523BB"/>
    <w:rsid w:val="00252456"/>
    <w:rsid w:val="00252E54"/>
    <w:rsid w:val="002553BA"/>
    <w:rsid w:val="00255509"/>
    <w:rsid w:val="00261EE1"/>
    <w:rsid w:val="00262A22"/>
    <w:rsid w:val="00266115"/>
    <w:rsid w:val="00270054"/>
    <w:rsid w:val="00270444"/>
    <w:rsid w:val="00270640"/>
    <w:rsid w:val="00275766"/>
    <w:rsid w:val="00276A63"/>
    <w:rsid w:val="00276BC4"/>
    <w:rsid w:val="0027726C"/>
    <w:rsid w:val="00281DCA"/>
    <w:rsid w:val="00282A21"/>
    <w:rsid w:val="00283474"/>
    <w:rsid w:val="00283B92"/>
    <w:rsid w:val="002854C7"/>
    <w:rsid w:val="00285748"/>
    <w:rsid w:val="002857B0"/>
    <w:rsid w:val="00286436"/>
    <w:rsid w:val="00286AE1"/>
    <w:rsid w:val="00287E3B"/>
    <w:rsid w:val="00292E10"/>
    <w:rsid w:val="0029558C"/>
    <w:rsid w:val="00295830"/>
    <w:rsid w:val="002A0A29"/>
    <w:rsid w:val="002A186D"/>
    <w:rsid w:val="002A1A4E"/>
    <w:rsid w:val="002A3091"/>
    <w:rsid w:val="002A6786"/>
    <w:rsid w:val="002A7EED"/>
    <w:rsid w:val="002B00FA"/>
    <w:rsid w:val="002B024E"/>
    <w:rsid w:val="002B139B"/>
    <w:rsid w:val="002B188B"/>
    <w:rsid w:val="002B19B8"/>
    <w:rsid w:val="002B3EF1"/>
    <w:rsid w:val="002B489E"/>
    <w:rsid w:val="002B4D1A"/>
    <w:rsid w:val="002B61A0"/>
    <w:rsid w:val="002B6652"/>
    <w:rsid w:val="002C04F7"/>
    <w:rsid w:val="002C0756"/>
    <w:rsid w:val="002C09D7"/>
    <w:rsid w:val="002C2D94"/>
    <w:rsid w:val="002C4337"/>
    <w:rsid w:val="002C474E"/>
    <w:rsid w:val="002C4ED5"/>
    <w:rsid w:val="002C596D"/>
    <w:rsid w:val="002C779A"/>
    <w:rsid w:val="002D12DE"/>
    <w:rsid w:val="002D1954"/>
    <w:rsid w:val="002D3E32"/>
    <w:rsid w:val="002D40C7"/>
    <w:rsid w:val="002D47B9"/>
    <w:rsid w:val="002D4AF9"/>
    <w:rsid w:val="002D5285"/>
    <w:rsid w:val="002E08FE"/>
    <w:rsid w:val="002E1EEB"/>
    <w:rsid w:val="002E3975"/>
    <w:rsid w:val="002E480F"/>
    <w:rsid w:val="002E7E32"/>
    <w:rsid w:val="002F0376"/>
    <w:rsid w:val="002F0827"/>
    <w:rsid w:val="002F2043"/>
    <w:rsid w:val="002F3FB4"/>
    <w:rsid w:val="002F44D1"/>
    <w:rsid w:val="002F485A"/>
    <w:rsid w:val="002F4F19"/>
    <w:rsid w:val="002F64D7"/>
    <w:rsid w:val="0030080A"/>
    <w:rsid w:val="00301F33"/>
    <w:rsid w:val="00302047"/>
    <w:rsid w:val="003029DC"/>
    <w:rsid w:val="00303D2F"/>
    <w:rsid w:val="00304006"/>
    <w:rsid w:val="0030412C"/>
    <w:rsid w:val="003046BE"/>
    <w:rsid w:val="00304D10"/>
    <w:rsid w:val="003062D2"/>
    <w:rsid w:val="00306A9D"/>
    <w:rsid w:val="0031170A"/>
    <w:rsid w:val="00312712"/>
    <w:rsid w:val="00312F85"/>
    <w:rsid w:val="003138DD"/>
    <w:rsid w:val="003145D7"/>
    <w:rsid w:val="00314F66"/>
    <w:rsid w:val="00315715"/>
    <w:rsid w:val="003166E2"/>
    <w:rsid w:val="00316AB0"/>
    <w:rsid w:val="00316C83"/>
    <w:rsid w:val="00317642"/>
    <w:rsid w:val="003200C3"/>
    <w:rsid w:val="0032064A"/>
    <w:rsid w:val="0032245D"/>
    <w:rsid w:val="00325187"/>
    <w:rsid w:val="00325BB2"/>
    <w:rsid w:val="00326478"/>
    <w:rsid w:val="003264A3"/>
    <w:rsid w:val="00326730"/>
    <w:rsid w:val="00327861"/>
    <w:rsid w:val="0032790A"/>
    <w:rsid w:val="00327A92"/>
    <w:rsid w:val="00327C3B"/>
    <w:rsid w:val="00327D37"/>
    <w:rsid w:val="0033017F"/>
    <w:rsid w:val="003301EC"/>
    <w:rsid w:val="003310D5"/>
    <w:rsid w:val="00331C30"/>
    <w:rsid w:val="00331CC3"/>
    <w:rsid w:val="00332001"/>
    <w:rsid w:val="00333632"/>
    <w:rsid w:val="00334982"/>
    <w:rsid w:val="00335C7F"/>
    <w:rsid w:val="003364CD"/>
    <w:rsid w:val="0033794A"/>
    <w:rsid w:val="00341165"/>
    <w:rsid w:val="003428CE"/>
    <w:rsid w:val="00342A3C"/>
    <w:rsid w:val="003440A5"/>
    <w:rsid w:val="003454C4"/>
    <w:rsid w:val="00345F2D"/>
    <w:rsid w:val="003476A5"/>
    <w:rsid w:val="00347E80"/>
    <w:rsid w:val="0035058E"/>
    <w:rsid w:val="00352E26"/>
    <w:rsid w:val="003536F2"/>
    <w:rsid w:val="00353C58"/>
    <w:rsid w:val="00355F01"/>
    <w:rsid w:val="00356099"/>
    <w:rsid w:val="00360155"/>
    <w:rsid w:val="00361202"/>
    <w:rsid w:val="003612E4"/>
    <w:rsid w:val="00362BAA"/>
    <w:rsid w:val="00362FF3"/>
    <w:rsid w:val="0036426E"/>
    <w:rsid w:val="00364A75"/>
    <w:rsid w:val="003656BE"/>
    <w:rsid w:val="0036632C"/>
    <w:rsid w:val="003707C9"/>
    <w:rsid w:val="003707E8"/>
    <w:rsid w:val="00371E24"/>
    <w:rsid w:val="00372A2F"/>
    <w:rsid w:val="00372C4A"/>
    <w:rsid w:val="00372DE2"/>
    <w:rsid w:val="003748E5"/>
    <w:rsid w:val="00374B79"/>
    <w:rsid w:val="00375AEA"/>
    <w:rsid w:val="0037786A"/>
    <w:rsid w:val="00377D17"/>
    <w:rsid w:val="00380B5A"/>
    <w:rsid w:val="003813A4"/>
    <w:rsid w:val="0038151B"/>
    <w:rsid w:val="00383E67"/>
    <w:rsid w:val="00384E70"/>
    <w:rsid w:val="00385150"/>
    <w:rsid w:val="00385857"/>
    <w:rsid w:val="00386E4B"/>
    <w:rsid w:val="00386F05"/>
    <w:rsid w:val="00387065"/>
    <w:rsid w:val="0039141E"/>
    <w:rsid w:val="00391D56"/>
    <w:rsid w:val="00395023"/>
    <w:rsid w:val="0039532B"/>
    <w:rsid w:val="0039683C"/>
    <w:rsid w:val="003974D3"/>
    <w:rsid w:val="00397AFD"/>
    <w:rsid w:val="003A7471"/>
    <w:rsid w:val="003B01C7"/>
    <w:rsid w:val="003B01C8"/>
    <w:rsid w:val="003B061E"/>
    <w:rsid w:val="003B0FB9"/>
    <w:rsid w:val="003B23F7"/>
    <w:rsid w:val="003B2774"/>
    <w:rsid w:val="003B2D0A"/>
    <w:rsid w:val="003B4D4B"/>
    <w:rsid w:val="003C2350"/>
    <w:rsid w:val="003C3BD2"/>
    <w:rsid w:val="003C44E9"/>
    <w:rsid w:val="003C5D0E"/>
    <w:rsid w:val="003C5F16"/>
    <w:rsid w:val="003C62FF"/>
    <w:rsid w:val="003D0378"/>
    <w:rsid w:val="003D1AB3"/>
    <w:rsid w:val="003D1D04"/>
    <w:rsid w:val="003D3CE4"/>
    <w:rsid w:val="003D3DFD"/>
    <w:rsid w:val="003D5737"/>
    <w:rsid w:val="003D79F3"/>
    <w:rsid w:val="003E0BF8"/>
    <w:rsid w:val="003E0D62"/>
    <w:rsid w:val="003E15F5"/>
    <w:rsid w:val="003E163E"/>
    <w:rsid w:val="003E179B"/>
    <w:rsid w:val="003E2160"/>
    <w:rsid w:val="003E3C09"/>
    <w:rsid w:val="003E3E02"/>
    <w:rsid w:val="003E3E27"/>
    <w:rsid w:val="003E4096"/>
    <w:rsid w:val="003E4D59"/>
    <w:rsid w:val="003E4E8C"/>
    <w:rsid w:val="003E5222"/>
    <w:rsid w:val="003F06A6"/>
    <w:rsid w:val="003F14B7"/>
    <w:rsid w:val="003F16B6"/>
    <w:rsid w:val="003F1F82"/>
    <w:rsid w:val="003F2F7A"/>
    <w:rsid w:val="003F65A1"/>
    <w:rsid w:val="00400056"/>
    <w:rsid w:val="0040089A"/>
    <w:rsid w:val="00402273"/>
    <w:rsid w:val="00402365"/>
    <w:rsid w:val="0040336A"/>
    <w:rsid w:val="00403BE0"/>
    <w:rsid w:val="004049E3"/>
    <w:rsid w:val="00405126"/>
    <w:rsid w:val="00405C4F"/>
    <w:rsid w:val="00407CF9"/>
    <w:rsid w:val="00411283"/>
    <w:rsid w:val="00412111"/>
    <w:rsid w:val="0041285E"/>
    <w:rsid w:val="00413D40"/>
    <w:rsid w:val="004141E6"/>
    <w:rsid w:val="00414CDA"/>
    <w:rsid w:val="004169E0"/>
    <w:rsid w:val="00417806"/>
    <w:rsid w:val="00423AE1"/>
    <w:rsid w:val="00423CCA"/>
    <w:rsid w:val="00425394"/>
    <w:rsid w:val="0042566E"/>
    <w:rsid w:val="00425A3D"/>
    <w:rsid w:val="00425C0E"/>
    <w:rsid w:val="0042732C"/>
    <w:rsid w:val="00436BD8"/>
    <w:rsid w:val="00436E6F"/>
    <w:rsid w:val="00436E92"/>
    <w:rsid w:val="004419B3"/>
    <w:rsid w:val="00442EC2"/>
    <w:rsid w:val="00444106"/>
    <w:rsid w:val="004443ED"/>
    <w:rsid w:val="00446A7A"/>
    <w:rsid w:val="00447C85"/>
    <w:rsid w:val="00451953"/>
    <w:rsid w:val="00453A38"/>
    <w:rsid w:val="00454493"/>
    <w:rsid w:val="0045491B"/>
    <w:rsid w:val="00454E30"/>
    <w:rsid w:val="0045594A"/>
    <w:rsid w:val="00456472"/>
    <w:rsid w:val="00456672"/>
    <w:rsid w:val="0045674E"/>
    <w:rsid w:val="00456C23"/>
    <w:rsid w:val="00462040"/>
    <w:rsid w:val="0046285C"/>
    <w:rsid w:val="00462AE6"/>
    <w:rsid w:val="004707FB"/>
    <w:rsid w:val="00470E58"/>
    <w:rsid w:val="0047109C"/>
    <w:rsid w:val="00471C50"/>
    <w:rsid w:val="00471C8E"/>
    <w:rsid w:val="00472475"/>
    <w:rsid w:val="004729C3"/>
    <w:rsid w:val="00473484"/>
    <w:rsid w:val="00475A38"/>
    <w:rsid w:val="00475FE3"/>
    <w:rsid w:val="00480BF2"/>
    <w:rsid w:val="00482073"/>
    <w:rsid w:val="00482455"/>
    <w:rsid w:val="00482C02"/>
    <w:rsid w:val="00482E3A"/>
    <w:rsid w:val="00483688"/>
    <w:rsid w:val="00484B87"/>
    <w:rsid w:val="0048774D"/>
    <w:rsid w:val="00492510"/>
    <w:rsid w:val="0049304C"/>
    <w:rsid w:val="004958F2"/>
    <w:rsid w:val="0049675B"/>
    <w:rsid w:val="00496F5D"/>
    <w:rsid w:val="004A0BE6"/>
    <w:rsid w:val="004A2BDA"/>
    <w:rsid w:val="004A2D7E"/>
    <w:rsid w:val="004A3332"/>
    <w:rsid w:val="004A3365"/>
    <w:rsid w:val="004A4B36"/>
    <w:rsid w:val="004A4D50"/>
    <w:rsid w:val="004A4EA1"/>
    <w:rsid w:val="004B07D5"/>
    <w:rsid w:val="004B22D2"/>
    <w:rsid w:val="004B30CF"/>
    <w:rsid w:val="004B35E2"/>
    <w:rsid w:val="004B41A0"/>
    <w:rsid w:val="004B4523"/>
    <w:rsid w:val="004B4788"/>
    <w:rsid w:val="004B51A1"/>
    <w:rsid w:val="004B7625"/>
    <w:rsid w:val="004C2638"/>
    <w:rsid w:val="004C330F"/>
    <w:rsid w:val="004C5863"/>
    <w:rsid w:val="004C666C"/>
    <w:rsid w:val="004C6F6B"/>
    <w:rsid w:val="004C7FEF"/>
    <w:rsid w:val="004D00D6"/>
    <w:rsid w:val="004D11EB"/>
    <w:rsid w:val="004D3175"/>
    <w:rsid w:val="004D3194"/>
    <w:rsid w:val="004D58A7"/>
    <w:rsid w:val="004D6147"/>
    <w:rsid w:val="004D6982"/>
    <w:rsid w:val="004D703C"/>
    <w:rsid w:val="004E12B3"/>
    <w:rsid w:val="004E1967"/>
    <w:rsid w:val="004E49FD"/>
    <w:rsid w:val="004E4F6C"/>
    <w:rsid w:val="004E6240"/>
    <w:rsid w:val="004E69BA"/>
    <w:rsid w:val="004F13B3"/>
    <w:rsid w:val="004F15BB"/>
    <w:rsid w:val="004F1C9A"/>
    <w:rsid w:val="004F2B8F"/>
    <w:rsid w:val="004F2CF3"/>
    <w:rsid w:val="004F60DE"/>
    <w:rsid w:val="004F6CF3"/>
    <w:rsid w:val="004F6DDB"/>
    <w:rsid w:val="004F7850"/>
    <w:rsid w:val="005000FB"/>
    <w:rsid w:val="00502EDC"/>
    <w:rsid w:val="00503196"/>
    <w:rsid w:val="00503276"/>
    <w:rsid w:val="005046D9"/>
    <w:rsid w:val="00504F4D"/>
    <w:rsid w:val="00504F50"/>
    <w:rsid w:val="0050552A"/>
    <w:rsid w:val="00505AC2"/>
    <w:rsid w:val="00511EDB"/>
    <w:rsid w:val="0051372A"/>
    <w:rsid w:val="00514B15"/>
    <w:rsid w:val="00516029"/>
    <w:rsid w:val="005164B7"/>
    <w:rsid w:val="005174A5"/>
    <w:rsid w:val="00517890"/>
    <w:rsid w:val="00520CF0"/>
    <w:rsid w:val="00522FC5"/>
    <w:rsid w:val="0052405E"/>
    <w:rsid w:val="00525523"/>
    <w:rsid w:val="00526D20"/>
    <w:rsid w:val="00527667"/>
    <w:rsid w:val="00527AB0"/>
    <w:rsid w:val="005300F5"/>
    <w:rsid w:val="005313A7"/>
    <w:rsid w:val="00531CA4"/>
    <w:rsid w:val="005327C5"/>
    <w:rsid w:val="0053323A"/>
    <w:rsid w:val="0053485C"/>
    <w:rsid w:val="00534DAC"/>
    <w:rsid w:val="005361B6"/>
    <w:rsid w:val="005362D7"/>
    <w:rsid w:val="005363FE"/>
    <w:rsid w:val="00536A84"/>
    <w:rsid w:val="005413C7"/>
    <w:rsid w:val="00541B1E"/>
    <w:rsid w:val="005429C1"/>
    <w:rsid w:val="0054436C"/>
    <w:rsid w:val="00544900"/>
    <w:rsid w:val="00544A10"/>
    <w:rsid w:val="00545DE2"/>
    <w:rsid w:val="00545E88"/>
    <w:rsid w:val="00547B2E"/>
    <w:rsid w:val="00555515"/>
    <w:rsid w:val="00560A8C"/>
    <w:rsid w:val="00560C51"/>
    <w:rsid w:val="00560EF9"/>
    <w:rsid w:val="005612AE"/>
    <w:rsid w:val="00562DA7"/>
    <w:rsid w:val="0056405A"/>
    <w:rsid w:val="0056489A"/>
    <w:rsid w:val="00564B5D"/>
    <w:rsid w:val="005650AB"/>
    <w:rsid w:val="0056591B"/>
    <w:rsid w:val="00567010"/>
    <w:rsid w:val="00567140"/>
    <w:rsid w:val="00570268"/>
    <w:rsid w:val="005705F4"/>
    <w:rsid w:val="005710FF"/>
    <w:rsid w:val="0057280C"/>
    <w:rsid w:val="0057375E"/>
    <w:rsid w:val="00573B7D"/>
    <w:rsid w:val="005746B2"/>
    <w:rsid w:val="0057480C"/>
    <w:rsid w:val="00575698"/>
    <w:rsid w:val="00575DBE"/>
    <w:rsid w:val="00575FA2"/>
    <w:rsid w:val="0057647E"/>
    <w:rsid w:val="00576EEE"/>
    <w:rsid w:val="00577EB2"/>
    <w:rsid w:val="005804C8"/>
    <w:rsid w:val="00582DB4"/>
    <w:rsid w:val="005837A9"/>
    <w:rsid w:val="00584FB3"/>
    <w:rsid w:val="00585581"/>
    <w:rsid w:val="005867DB"/>
    <w:rsid w:val="00587730"/>
    <w:rsid w:val="00587830"/>
    <w:rsid w:val="00592707"/>
    <w:rsid w:val="0059297A"/>
    <w:rsid w:val="00592E90"/>
    <w:rsid w:val="0059446F"/>
    <w:rsid w:val="00594EAE"/>
    <w:rsid w:val="00596608"/>
    <w:rsid w:val="005A1849"/>
    <w:rsid w:val="005A1EF6"/>
    <w:rsid w:val="005A407C"/>
    <w:rsid w:val="005A50E7"/>
    <w:rsid w:val="005A5B59"/>
    <w:rsid w:val="005B0A03"/>
    <w:rsid w:val="005B13DC"/>
    <w:rsid w:val="005B2101"/>
    <w:rsid w:val="005B22EB"/>
    <w:rsid w:val="005B4A8D"/>
    <w:rsid w:val="005B60AA"/>
    <w:rsid w:val="005B6A69"/>
    <w:rsid w:val="005B6E0C"/>
    <w:rsid w:val="005B7633"/>
    <w:rsid w:val="005B7918"/>
    <w:rsid w:val="005C05D9"/>
    <w:rsid w:val="005C24BD"/>
    <w:rsid w:val="005C275F"/>
    <w:rsid w:val="005C349E"/>
    <w:rsid w:val="005C378E"/>
    <w:rsid w:val="005C4DF4"/>
    <w:rsid w:val="005C5562"/>
    <w:rsid w:val="005C63B9"/>
    <w:rsid w:val="005C790B"/>
    <w:rsid w:val="005C7C1E"/>
    <w:rsid w:val="005C7F09"/>
    <w:rsid w:val="005D113B"/>
    <w:rsid w:val="005D28CE"/>
    <w:rsid w:val="005D3AAF"/>
    <w:rsid w:val="005D5273"/>
    <w:rsid w:val="005D5815"/>
    <w:rsid w:val="005D6780"/>
    <w:rsid w:val="005E02C9"/>
    <w:rsid w:val="005E03C4"/>
    <w:rsid w:val="005E120B"/>
    <w:rsid w:val="005E19D1"/>
    <w:rsid w:val="005E207D"/>
    <w:rsid w:val="005E2B07"/>
    <w:rsid w:val="005E37F6"/>
    <w:rsid w:val="005E385D"/>
    <w:rsid w:val="005E38F5"/>
    <w:rsid w:val="005E420C"/>
    <w:rsid w:val="005E42DE"/>
    <w:rsid w:val="005E5269"/>
    <w:rsid w:val="005E6A90"/>
    <w:rsid w:val="005E793B"/>
    <w:rsid w:val="005F0CE4"/>
    <w:rsid w:val="005F13AE"/>
    <w:rsid w:val="005F14BE"/>
    <w:rsid w:val="005F1633"/>
    <w:rsid w:val="005F25C6"/>
    <w:rsid w:val="005F296E"/>
    <w:rsid w:val="005F305D"/>
    <w:rsid w:val="005F42DA"/>
    <w:rsid w:val="005F435A"/>
    <w:rsid w:val="005F52EF"/>
    <w:rsid w:val="005F5ACB"/>
    <w:rsid w:val="005F691E"/>
    <w:rsid w:val="005F6B89"/>
    <w:rsid w:val="005F7AE0"/>
    <w:rsid w:val="00600F54"/>
    <w:rsid w:val="00602022"/>
    <w:rsid w:val="00603592"/>
    <w:rsid w:val="00604B22"/>
    <w:rsid w:val="00605FC6"/>
    <w:rsid w:val="00606C71"/>
    <w:rsid w:val="00610F60"/>
    <w:rsid w:val="00611161"/>
    <w:rsid w:val="006113BF"/>
    <w:rsid w:val="0061189E"/>
    <w:rsid w:val="00611FF5"/>
    <w:rsid w:val="0061230C"/>
    <w:rsid w:val="00613E9B"/>
    <w:rsid w:val="00615C68"/>
    <w:rsid w:val="006160FA"/>
    <w:rsid w:val="00616C2C"/>
    <w:rsid w:val="0062027A"/>
    <w:rsid w:val="006217AE"/>
    <w:rsid w:val="006230AD"/>
    <w:rsid w:val="00623F5F"/>
    <w:rsid w:val="00624901"/>
    <w:rsid w:val="0062638E"/>
    <w:rsid w:val="00626C19"/>
    <w:rsid w:val="00627005"/>
    <w:rsid w:val="00627306"/>
    <w:rsid w:val="006320D9"/>
    <w:rsid w:val="006365DA"/>
    <w:rsid w:val="00636FCB"/>
    <w:rsid w:val="00637DD7"/>
    <w:rsid w:val="006409BE"/>
    <w:rsid w:val="006416D9"/>
    <w:rsid w:val="006418C0"/>
    <w:rsid w:val="00642C1A"/>
    <w:rsid w:val="00652420"/>
    <w:rsid w:val="00652B0E"/>
    <w:rsid w:val="0065333E"/>
    <w:rsid w:val="006545F7"/>
    <w:rsid w:val="00654945"/>
    <w:rsid w:val="006559C9"/>
    <w:rsid w:val="0065708B"/>
    <w:rsid w:val="00657854"/>
    <w:rsid w:val="0066066D"/>
    <w:rsid w:val="00661130"/>
    <w:rsid w:val="0066167A"/>
    <w:rsid w:val="00662278"/>
    <w:rsid w:val="0066276B"/>
    <w:rsid w:val="00665D11"/>
    <w:rsid w:val="00666371"/>
    <w:rsid w:val="00667D44"/>
    <w:rsid w:val="00670339"/>
    <w:rsid w:val="00672A41"/>
    <w:rsid w:val="00672BA6"/>
    <w:rsid w:val="00672D3D"/>
    <w:rsid w:val="00673257"/>
    <w:rsid w:val="00674C43"/>
    <w:rsid w:val="0067756C"/>
    <w:rsid w:val="00680316"/>
    <w:rsid w:val="0068034F"/>
    <w:rsid w:val="00680C84"/>
    <w:rsid w:val="00680CEA"/>
    <w:rsid w:val="006811B7"/>
    <w:rsid w:val="00681ED6"/>
    <w:rsid w:val="006820BE"/>
    <w:rsid w:val="00682B53"/>
    <w:rsid w:val="00683F6D"/>
    <w:rsid w:val="00685379"/>
    <w:rsid w:val="00686C8D"/>
    <w:rsid w:val="006870B6"/>
    <w:rsid w:val="00687BBB"/>
    <w:rsid w:val="00690F23"/>
    <w:rsid w:val="006915D5"/>
    <w:rsid w:val="00691B63"/>
    <w:rsid w:val="00692576"/>
    <w:rsid w:val="00693267"/>
    <w:rsid w:val="006945F3"/>
    <w:rsid w:val="00695092"/>
    <w:rsid w:val="00695DCD"/>
    <w:rsid w:val="00697C7D"/>
    <w:rsid w:val="006A02B0"/>
    <w:rsid w:val="006A06B8"/>
    <w:rsid w:val="006A211C"/>
    <w:rsid w:val="006A21C5"/>
    <w:rsid w:val="006A2CFB"/>
    <w:rsid w:val="006A3698"/>
    <w:rsid w:val="006A4DAD"/>
    <w:rsid w:val="006A5555"/>
    <w:rsid w:val="006A5558"/>
    <w:rsid w:val="006A63FA"/>
    <w:rsid w:val="006A6615"/>
    <w:rsid w:val="006A66F4"/>
    <w:rsid w:val="006B0E74"/>
    <w:rsid w:val="006B29C5"/>
    <w:rsid w:val="006B2DB2"/>
    <w:rsid w:val="006B30A2"/>
    <w:rsid w:val="006B31B7"/>
    <w:rsid w:val="006B4322"/>
    <w:rsid w:val="006B46F6"/>
    <w:rsid w:val="006C0933"/>
    <w:rsid w:val="006C246F"/>
    <w:rsid w:val="006C29A8"/>
    <w:rsid w:val="006C3E12"/>
    <w:rsid w:val="006C412A"/>
    <w:rsid w:val="006C679C"/>
    <w:rsid w:val="006C7FB6"/>
    <w:rsid w:val="006D0946"/>
    <w:rsid w:val="006D1085"/>
    <w:rsid w:val="006D15DC"/>
    <w:rsid w:val="006D17C3"/>
    <w:rsid w:val="006D1F09"/>
    <w:rsid w:val="006D2C0F"/>
    <w:rsid w:val="006D2C24"/>
    <w:rsid w:val="006D32FB"/>
    <w:rsid w:val="006D33C5"/>
    <w:rsid w:val="006D579A"/>
    <w:rsid w:val="006D65BD"/>
    <w:rsid w:val="006D755D"/>
    <w:rsid w:val="006D7586"/>
    <w:rsid w:val="006E0337"/>
    <w:rsid w:val="006E4118"/>
    <w:rsid w:val="006E42A6"/>
    <w:rsid w:val="006F04E0"/>
    <w:rsid w:val="006F1137"/>
    <w:rsid w:val="006F11E3"/>
    <w:rsid w:val="006F1685"/>
    <w:rsid w:val="006F4350"/>
    <w:rsid w:val="006F529D"/>
    <w:rsid w:val="006F6E3C"/>
    <w:rsid w:val="006F7A42"/>
    <w:rsid w:val="006F7B5A"/>
    <w:rsid w:val="00700C49"/>
    <w:rsid w:val="00701CED"/>
    <w:rsid w:val="00701DA1"/>
    <w:rsid w:val="007074FF"/>
    <w:rsid w:val="00707A92"/>
    <w:rsid w:val="0071056E"/>
    <w:rsid w:val="00710E80"/>
    <w:rsid w:val="00712E2C"/>
    <w:rsid w:val="00715275"/>
    <w:rsid w:val="00716056"/>
    <w:rsid w:val="0071748A"/>
    <w:rsid w:val="00721B86"/>
    <w:rsid w:val="00723A93"/>
    <w:rsid w:val="00724066"/>
    <w:rsid w:val="00724B37"/>
    <w:rsid w:val="0072674C"/>
    <w:rsid w:val="007307BE"/>
    <w:rsid w:val="007337E8"/>
    <w:rsid w:val="00734F5E"/>
    <w:rsid w:val="007352BD"/>
    <w:rsid w:val="00735F80"/>
    <w:rsid w:val="007364BC"/>
    <w:rsid w:val="00737AF3"/>
    <w:rsid w:val="0074209F"/>
    <w:rsid w:val="00742CF4"/>
    <w:rsid w:val="007435E5"/>
    <w:rsid w:val="00744BFA"/>
    <w:rsid w:val="0074566C"/>
    <w:rsid w:val="00746B6E"/>
    <w:rsid w:val="007475D5"/>
    <w:rsid w:val="00747F16"/>
    <w:rsid w:val="007511B6"/>
    <w:rsid w:val="007524D1"/>
    <w:rsid w:val="007528BE"/>
    <w:rsid w:val="00752BAF"/>
    <w:rsid w:val="00752DDB"/>
    <w:rsid w:val="00753190"/>
    <w:rsid w:val="007539D4"/>
    <w:rsid w:val="00753C5A"/>
    <w:rsid w:val="00753C8D"/>
    <w:rsid w:val="0075419B"/>
    <w:rsid w:val="007571C6"/>
    <w:rsid w:val="007575B8"/>
    <w:rsid w:val="00757B54"/>
    <w:rsid w:val="00757EEF"/>
    <w:rsid w:val="0076088E"/>
    <w:rsid w:val="007617AA"/>
    <w:rsid w:val="00764253"/>
    <w:rsid w:val="00765B3E"/>
    <w:rsid w:val="00765C22"/>
    <w:rsid w:val="00765CD7"/>
    <w:rsid w:val="00767C3B"/>
    <w:rsid w:val="00770120"/>
    <w:rsid w:val="007718BD"/>
    <w:rsid w:val="00771E4E"/>
    <w:rsid w:val="00774227"/>
    <w:rsid w:val="007755F2"/>
    <w:rsid w:val="007757AF"/>
    <w:rsid w:val="00775C67"/>
    <w:rsid w:val="00777D5D"/>
    <w:rsid w:val="0078094D"/>
    <w:rsid w:val="00781E33"/>
    <w:rsid w:val="007845C5"/>
    <w:rsid w:val="00786553"/>
    <w:rsid w:val="00786643"/>
    <w:rsid w:val="00786C87"/>
    <w:rsid w:val="00787AC4"/>
    <w:rsid w:val="00792E62"/>
    <w:rsid w:val="0079304D"/>
    <w:rsid w:val="007943E6"/>
    <w:rsid w:val="00795300"/>
    <w:rsid w:val="007978B4"/>
    <w:rsid w:val="007A1454"/>
    <w:rsid w:val="007A164C"/>
    <w:rsid w:val="007A1D16"/>
    <w:rsid w:val="007A424F"/>
    <w:rsid w:val="007A5256"/>
    <w:rsid w:val="007A53BD"/>
    <w:rsid w:val="007A5D3A"/>
    <w:rsid w:val="007A6150"/>
    <w:rsid w:val="007A697D"/>
    <w:rsid w:val="007B13A5"/>
    <w:rsid w:val="007B2AD0"/>
    <w:rsid w:val="007B2D31"/>
    <w:rsid w:val="007B33D8"/>
    <w:rsid w:val="007B3DE4"/>
    <w:rsid w:val="007B4072"/>
    <w:rsid w:val="007B7138"/>
    <w:rsid w:val="007C02FC"/>
    <w:rsid w:val="007C034F"/>
    <w:rsid w:val="007C533A"/>
    <w:rsid w:val="007C5634"/>
    <w:rsid w:val="007C5854"/>
    <w:rsid w:val="007C61A5"/>
    <w:rsid w:val="007C6C35"/>
    <w:rsid w:val="007D20EB"/>
    <w:rsid w:val="007D2605"/>
    <w:rsid w:val="007D3A28"/>
    <w:rsid w:val="007D3FA1"/>
    <w:rsid w:val="007D4BFB"/>
    <w:rsid w:val="007D4D14"/>
    <w:rsid w:val="007D4F90"/>
    <w:rsid w:val="007D5636"/>
    <w:rsid w:val="007D5DDA"/>
    <w:rsid w:val="007D7B56"/>
    <w:rsid w:val="007D7E8A"/>
    <w:rsid w:val="007E0AEA"/>
    <w:rsid w:val="007E1470"/>
    <w:rsid w:val="007E205C"/>
    <w:rsid w:val="007E2684"/>
    <w:rsid w:val="007E2AFD"/>
    <w:rsid w:val="007E2EF2"/>
    <w:rsid w:val="007E3711"/>
    <w:rsid w:val="007E4B27"/>
    <w:rsid w:val="007E59AE"/>
    <w:rsid w:val="007E5A4B"/>
    <w:rsid w:val="007E606C"/>
    <w:rsid w:val="007E629A"/>
    <w:rsid w:val="007F07DB"/>
    <w:rsid w:val="007F0BF8"/>
    <w:rsid w:val="007F3271"/>
    <w:rsid w:val="007F5360"/>
    <w:rsid w:val="007F5D45"/>
    <w:rsid w:val="008004AF"/>
    <w:rsid w:val="0080056C"/>
    <w:rsid w:val="0080086C"/>
    <w:rsid w:val="00800DBC"/>
    <w:rsid w:val="00800DF7"/>
    <w:rsid w:val="008012CD"/>
    <w:rsid w:val="008015FA"/>
    <w:rsid w:val="00803F89"/>
    <w:rsid w:val="0080418E"/>
    <w:rsid w:val="00804FAB"/>
    <w:rsid w:val="00806C99"/>
    <w:rsid w:val="00806CC3"/>
    <w:rsid w:val="00807A01"/>
    <w:rsid w:val="008150C0"/>
    <w:rsid w:val="00815A9A"/>
    <w:rsid w:val="00816F24"/>
    <w:rsid w:val="008179D5"/>
    <w:rsid w:val="00820D9A"/>
    <w:rsid w:val="00822A0E"/>
    <w:rsid w:val="00822ADB"/>
    <w:rsid w:val="00822E72"/>
    <w:rsid w:val="00822F7E"/>
    <w:rsid w:val="00823D17"/>
    <w:rsid w:val="00825204"/>
    <w:rsid w:val="00825215"/>
    <w:rsid w:val="00827132"/>
    <w:rsid w:val="0083044F"/>
    <w:rsid w:val="00832F94"/>
    <w:rsid w:val="00833651"/>
    <w:rsid w:val="008357E7"/>
    <w:rsid w:val="00835968"/>
    <w:rsid w:val="00835ABE"/>
    <w:rsid w:val="00836C1E"/>
    <w:rsid w:val="00837176"/>
    <w:rsid w:val="00841DDC"/>
    <w:rsid w:val="00842950"/>
    <w:rsid w:val="00845393"/>
    <w:rsid w:val="00850597"/>
    <w:rsid w:val="00850FF5"/>
    <w:rsid w:val="00851A72"/>
    <w:rsid w:val="0085338B"/>
    <w:rsid w:val="00853476"/>
    <w:rsid w:val="0085356A"/>
    <w:rsid w:val="008543D6"/>
    <w:rsid w:val="008557F4"/>
    <w:rsid w:val="0085692F"/>
    <w:rsid w:val="00856C52"/>
    <w:rsid w:val="008617FB"/>
    <w:rsid w:val="00861BF7"/>
    <w:rsid w:val="00863693"/>
    <w:rsid w:val="008663A7"/>
    <w:rsid w:val="008664BD"/>
    <w:rsid w:val="00872367"/>
    <w:rsid w:val="008778D9"/>
    <w:rsid w:val="0088168A"/>
    <w:rsid w:val="008822AC"/>
    <w:rsid w:val="008824A7"/>
    <w:rsid w:val="0088281F"/>
    <w:rsid w:val="00883AAC"/>
    <w:rsid w:val="00884BD7"/>
    <w:rsid w:val="0088528A"/>
    <w:rsid w:val="008869D6"/>
    <w:rsid w:val="00887417"/>
    <w:rsid w:val="008876D0"/>
    <w:rsid w:val="00887B48"/>
    <w:rsid w:val="008908D1"/>
    <w:rsid w:val="00890BFE"/>
    <w:rsid w:val="0089143F"/>
    <w:rsid w:val="00893EE8"/>
    <w:rsid w:val="0089448E"/>
    <w:rsid w:val="0089476A"/>
    <w:rsid w:val="00895A4A"/>
    <w:rsid w:val="00897DF0"/>
    <w:rsid w:val="008A1C9D"/>
    <w:rsid w:val="008A22AA"/>
    <w:rsid w:val="008A371C"/>
    <w:rsid w:val="008A3B34"/>
    <w:rsid w:val="008A4620"/>
    <w:rsid w:val="008A494C"/>
    <w:rsid w:val="008A4D0D"/>
    <w:rsid w:val="008A5C57"/>
    <w:rsid w:val="008A6B19"/>
    <w:rsid w:val="008A6FC4"/>
    <w:rsid w:val="008A79EE"/>
    <w:rsid w:val="008B0889"/>
    <w:rsid w:val="008B1440"/>
    <w:rsid w:val="008B2E1D"/>
    <w:rsid w:val="008B40AA"/>
    <w:rsid w:val="008B44ED"/>
    <w:rsid w:val="008B5353"/>
    <w:rsid w:val="008B5A5E"/>
    <w:rsid w:val="008B5CF7"/>
    <w:rsid w:val="008B6E4D"/>
    <w:rsid w:val="008C01C9"/>
    <w:rsid w:val="008C05D6"/>
    <w:rsid w:val="008C0632"/>
    <w:rsid w:val="008C1649"/>
    <w:rsid w:val="008C2C55"/>
    <w:rsid w:val="008C2E68"/>
    <w:rsid w:val="008C2FB9"/>
    <w:rsid w:val="008C3019"/>
    <w:rsid w:val="008C51FF"/>
    <w:rsid w:val="008C5E3F"/>
    <w:rsid w:val="008C655B"/>
    <w:rsid w:val="008C6682"/>
    <w:rsid w:val="008C6A91"/>
    <w:rsid w:val="008D11DC"/>
    <w:rsid w:val="008D477B"/>
    <w:rsid w:val="008D7F16"/>
    <w:rsid w:val="008E231E"/>
    <w:rsid w:val="008E2592"/>
    <w:rsid w:val="008E405B"/>
    <w:rsid w:val="008E4967"/>
    <w:rsid w:val="008E5AC1"/>
    <w:rsid w:val="008E5FEE"/>
    <w:rsid w:val="008E794E"/>
    <w:rsid w:val="008F1B1E"/>
    <w:rsid w:val="008F2BC5"/>
    <w:rsid w:val="008F42D3"/>
    <w:rsid w:val="008F5C4F"/>
    <w:rsid w:val="008F6959"/>
    <w:rsid w:val="008F6AB8"/>
    <w:rsid w:val="008F6FF3"/>
    <w:rsid w:val="008F7097"/>
    <w:rsid w:val="00900008"/>
    <w:rsid w:val="0090334F"/>
    <w:rsid w:val="00904C3D"/>
    <w:rsid w:val="00905BF6"/>
    <w:rsid w:val="009060E6"/>
    <w:rsid w:val="0090633D"/>
    <w:rsid w:val="0090637F"/>
    <w:rsid w:val="00906486"/>
    <w:rsid w:val="00906ACA"/>
    <w:rsid w:val="00910A17"/>
    <w:rsid w:val="00911AA4"/>
    <w:rsid w:val="00912AC1"/>
    <w:rsid w:val="00913EE1"/>
    <w:rsid w:val="00915F86"/>
    <w:rsid w:val="00917473"/>
    <w:rsid w:val="009175CF"/>
    <w:rsid w:val="009212E8"/>
    <w:rsid w:val="00922621"/>
    <w:rsid w:val="00922B29"/>
    <w:rsid w:val="00923173"/>
    <w:rsid w:val="0092351A"/>
    <w:rsid w:val="009251FA"/>
    <w:rsid w:val="009259C1"/>
    <w:rsid w:val="00925E09"/>
    <w:rsid w:val="009261C4"/>
    <w:rsid w:val="0092699B"/>
    <w:rsid w:val="00926BCF"/>
    <w:rsid w:val="00926D88"/>
    <w:rsid w:val="0092762D"/>
    <w:rsid w:val="00927D4F"/>
    <w:rsid w:val="00931D0E"/>
    <w:rsid w:val="00931F46"/>
    <w:rsid w:val="00932949"/>
    <w:rsid w:val="00934A8F"/>
    <w:rsid w:val="00935793"/>
    <w:rsid w:val="00935A77"/>
    <w:rsid w:val="0093713A"/>
    <w:rsid w:val="00940365"/>
    <w:rsid w:val="00940888"/>
    <w:rsid w:val="00940D40"/>
    <w:rsid w:val="009439F6"/>
    <w:rsid w:val="00945CC5"/>
    <w:rsid w:val="00946A7B"/>
    <w:rsid w:val="00946BC1"/>
    <w:rsid w:val="00947007"/>
    <w:rsid w:val="009478B5"/>
    <w:rsid w:val="0095343C"/>
    <w:rsid w:val="00954C53"/>
    <w:rsid w:val="00955C96"/>
    <w:rsid w:val="00956490"/>
    <w:rsid w:val="009572D4"/>
    <w:rsid w:val="00960079"/>
    <w:rsid w:val="00960195"/>
    <w:rsid w:val="00960280"/>
    <w:rsid w:val="00964A18"/>
    <w:rsid w:val="009658CD"/>
    <w:rsid w:val="00966AA4"/>
    <w:rsid w:val="00966F3A"/>
    <w:rsid w:val="009670A8"/>
    <w:rsid w:val="00970A15"/>
    <w:rsid w:val="00971B3F"/>
    <w:rsid w:val="00973BA7"/>
    <w:rsid w:val="00973DD9"/>
    <w:rsid w:val="00975CE5"/>
    <w:rsid w:val="00976461"/>
    <w:rsid w:val="00976548"/>
    <w:rsid w:val="00976784"/>
    <w:rsid w:val="00977205"/>
    <w:rsid w:val="009813F2"/>
    <w:rsid w:val="00982A82"/>
    <w:rsid w:val="00983447"/>
    <w:rsid w:val="009844A3"/>
    <w:rsid w:val="00984681"/>
    <w:rsid w:val="00984983"/>
    <w:rsid w:val="00984F51"/>
    <w:rsid w:val="009869FD"/>
    <w:rsid w:val="009875A5"/>
    <w:rsid w:val="00987F8D"/>
    <w:rsid w:val="009906DF"/>
    <w:rsid w:val="0099235C"/>
    <w:rsid w:val="00992529"/>
    <w:rsid w:val="00992C05"/>
    <w:rsid w:val="00993847"/>
    <w:rsid w:val="00993937"/>
    <w:rsid w:val="00993E0E"/>
    <w:rsid w:val="00993FB4"/>
    <w:rsid w:val="0099406D"/>
    <w:rsid w:val="00994497"/>
    <w:rsid w:val="00994FEE"/>
    <w:rsid w:val="009957D9"/>
    <w:rsid w:val="009967EB"/>
    <w:rsid w:val="009973C3"/>
    <w:rsid w:val="009978A4"/>
    <w:rsid w:val="009A0BEC"/>
    <w:rsid w:val="009A541C"/>
    <w:rsid w:val="009A54BF"/>
    <w:rsid w:val="009A61BE"/>
    <w:rsid w:val="009A6E16"/>
    <w:rsid w:val="009A7CAE"/>
    <w:rsid w:val="009B1697"/>
    <w:rsid w:val="009B4A81"/>
    <w:rsid w:val="009B5746"/>
    <w:rsid w:val="009B67D5"/>
    <w:rsid w:val="009B7AE7"/>
    <w:rsid w:val="009C08A5"/>
    <w:rsid w:val="009C0D6A"/>
    <w:rsid w:val="009C0D9F"/>
    <w:rsid w:val="009C1CB9"/>
    <w:rsid w:val="009C307D"/>
    <w:rsid w:val="009C6739"/>
    <w:rsid w:val="009C7207"/>
    <w:rsid w:val="009C7E5A"/>
    <w:rsid w:val="009D08D6"/>
    <w:rsid w:val="009D0A7B"/>
    <w:rsid w:val="009D0ACD"/>
    <w:rsid w:val="009D121A"/>
    <w:rsid w:val="009D4121"/>
    <w:rsid w:val="009D4FE3"/>
    <w:rsid w:val="009D7796"/>
    <w:rsid w:val="009E158B"/>
    <w:rsid w:val="009E482E"/>
    <w:rsid w:val="009E5184"/>
    <w:rsid w:val="009E576C"/>
    <w:rsid w:val="009E7169"/>
    <w:rsid w:val="009F0254"/>
    <w:rsid w:val="009F1DDE"/>
    <w:rsid w:val="009F2EE0"/>
    <w:rsid w:val="009F3FCC"/>
    <w:rsid w:val="009F417A"/>
    <w:rsid w:val="009F5671"/>
    <w:rsid w:val="009F7D7B"/>
    <w:rsid w:val="00A00526"/>
    <w:rsid w:val="00A01A90"/>
    <w:rsid w:val="00A021ED"/>
    <w:rsid w:val="00A046AD"/>
    <w:rsid w:val="00A049E8"/>
    <w:rsid w:val="00A05DB1"/>
    <w:rsid w:val="00A06543"/>
    <w:rsid w:val="00A0764F"/>
    <w:rsid w:val="00A07BAE"/>
    <w:rsid w:val="00A07BFF"/>
    <w:rsid w:val="00A1022A"/>
    <w:rsid w:val="00A10B81"/>
    <w:rsid w:val="00A112A3"/>
    <w:rsid w:val="00A11D16"/>
    <w:rsid w:val="00A14691"/>
    <w:rsid w:val="00A15399"/>
    <w:rsid w:val="00A15F41"/>
    <w:rsid w:val="00A20831"/>
    <w:rsid w:val="00A2241A"/>
    <w:rsid w:val="00A22F85"/>
    <w:rsid w:val="00A2310A"/>
    <w:rsid w:val="00A24236"/>
    <w:rsid w:val="00A252DE"/>
    <w:rsid w:val="00A256AE"/>
    <w:rsid w:val="00A307EF"/>
    <w:rsid w:val="00A316D7"/>
    <w:rsid w:val="00A31A04"/>
    <w:rsid w:val="00A31B33"/>
    <w:rsid w:val="00A336B8"/>
    <w:rsid w:val="00A337CA"/>
    <w:rsid w:val="00A373B6"/>
    <w:rsid w:val="00A37D30"/>
    <w:rsid w:val="00A4113E"/>
    <w:rsid w:val="00A42F61"/>
    <w:rsid w:val="00A43CB4"/>
    <w:rsid w:val="00A443C0"/>
    <w:rsid w:val="00A479DC"/>
    <w:rsid w:val="00A50909"/>
    <w:rsid w:val="00A50C00"/>
    <w:rsid w:val="00A513D4"/>
    <w:rsid w:val="00A52031"/>
    <w:rsid w:val="00A52341"/>
    <w:rsid w:val="00A52694"/>
    <w:rsid w:val="00A53FCA"/>
    <w:rsid w:val="00A5420E"/>
    <w:rsid w:val="00A54DBF"/>
    <w:rsid w:val="00A54F97"/>
    <w:rsid w:val="00A550FC"/>
    <w:rsid w:val="00A55755"/>
    <w:rsid w:val="00A560BC"/>
    <w:rsid w:val="00A56F15"/>
    <w:rsid w:val="00A57FA0"/>
    <w:rsid w:val="00A604B6"/>
    <w:rsid w:val="00A61672"/>
    <w:rsid w:val="00A64D28"/>
    <w:rsid w:val="00A6562B"/>
    <w:rsid w:val="00A658B1"/>
    <w:rsid w:val="00A676D2"/>
    <w:rsid w:val="00A70A08"/>
    <w:rsid w:val="00A7306E"/>
    <w:rsid w:val="00A7385C"/>
    <w:rsid w:val="00A7468E"/>
    <w:rsid w:val="00A75307"/>
    <w:rsid w:val="00A75DEC"/>
    <w:rsid w:val="00A76556"/>
    <w:rsid w:val="00A81A94"/>
    <w:rsid w:val="00A81C2F"/>
    <w:rsid w:val="00A83898"/>
    <w:rsid w:val="00A843B7"/>
    <w:rsid w:val="00A8483C"/>
    <w:rsid w:val="00A84D55"/>
    <w:rsid w:val="00A86C56"/>
    <w:rsid w:val="00A87AC0"/>
    <w:rsid w:val="00A87E1B"/>
    <w:rsid w:val="00A94585"/>
    <w:rsid w:val="00A95B09"/>
    <w:rsid w:val="00A96E8F"/>
    <w:rsid w:val="00A97391"/>
    <w:rsid w:val="00A97F8E"/>
    <w:rsid w:val="00AA1952"/>
    <w:rsid w:val="00AA2BE3"/>
    <w:rsid w:val="00AA387B"/>
    <w:rsid w:val="00AA4065"/>
    <w:rsid w:val="00AA4B4F"/>
    <w:rsid w:val="00AA6146"/>
    <w:rsid w:val="00AA6451"/>
    <w:rsid w:val="00AA6FD3"/>
    <w:rsid w:val="00AB302E"/>
    <w:rsid w:val="00AB506F"/>
    <w:rsid w:val="00AB5ECA"/>
    <w:rsid w:val="00AB7AE8"/>
    <w:rsid w:val="00AC0761"/>
    <w:rsid w:val="00AC2AD5"/>
    <w:rsid w:val="00AC3244"/>
    <w:rsid w:val="00AC4A09"/>
    <w:rsid w:val="00AC4B7B"/>
    <w:rsid w:val="00AC556A"/>
    <w:rsid w:val="00AC5658"/>
    <w:rsid w:val="00AC5EA0"/>
    <w:rsid w:val="00AC637D"/>
    <w:rsid w:val="00AD030C"/>
    <w:rsid w:val="00AD199D"/>
    <w:rsid w:val="00AD1DDB"/>
    <w:rsid w:val="00AD22F2"/>
    <w:rsid w:val="00AD2C7A"/>
    <w:rsid w:val="00AD36CC"/>
    <w:rsid w:val="00AD3AB5"/>
    <w:rsid w:val="00AD5A1B"/>
    <w:rsid w:val="00AD6279"/>
    <w:rsid w:val="00AD7304"/>
    <w:rsid w:val="00AE100B"/>
    <w:rsid w:val="00AE1446"/>
    <w:rsid w:val="00AE1EEC"/>
    <w:rsid w:val="00AE22E1"/>
    <w:rsid w:val="00AE3378"/>
    <w:rsid w:val="00AE3492"/>
    <w:rsid w:val="00AE3BBE"/>
    <w:rsid w:val="00AE4630"/>
    <w:rsid w:val="00AE5103"/>
    <w:rsid w:val="00AE58FF"/>
    <w:rsid w:val="00AE70D6"/>
    <w:rsid w:val="00AF0D3F"/>
    <w:rsid w:val="00AF184C"/>
    <w:rsid w:val="00AF29F5"/>
    <w:rsid w:val="00AF5CF7"/>
    <w:rsid w:val="00AF7330"/>
    <w:rsid w:val="00AF77C3"/>
    <w:rsid w:val="00B00710"/>
    <w:rsid w:val="00B00DAF"/>
    <w:rsid w:val="00B018B8"/>
    <w:rsid w:val="00B02503"/>
    <w:rsid w:val="00B02A45"/>
    <w:rsid w:val="00B03755"/>
    <w:rsid w:val="00B03AF2"/>
    <w:rsid w:val="00B03C2B"/>
    <w:rsid w:val="00B03F68"/>
    <w:rsid w:val="00B05444"/>
    <w:rsid w:val="00B055D2"/>
    <w:rsid w:val="00B05936"/>
    <w:rsid w:val="00B068FA"/>
    <w:rsid w:val="00B07A90"/>
    <w:rsid w:val="00B1108C"/>
    <w:rsid w:val="00B11D94"/>
    <w:rsid w:val="00B12640"/>
    <w:rsid w:val="00B12DC7"/>
    <w:rsid w:val="00B13801"/>
    <w:rsid w:val="00B173C4"/>
    <w:rsid w:val="00B17ACF"/>
    <w:rsid w:val="00B2150D"/>
    <w:rsid w:val="00B22942"/>
    <w:rsid w:val="00B23442"/>
    <w:rsid w:val="00B25484"/>
    <w:rsid w:val="00B25997"/>
    <w:rsid w:val="00B2761A"/>
    <w:rsid w:val="00B279D0"/>
    <w:rsid w:val="00B3053E"/>
    <w:rsid w:val="00B30984"/>
    <w:rsid w:val="00B30A61"/>
    <w:rsid w:val="00B3222B"/>
    <w:rsid w:val="00B32F7C"/>
    <w:rsid w:val="00B34310"/>
    <w:rsid w:val="00B34BCF"/>
    <w:rsid w:val="00B35DDF"/>
    <w:rsid w:val="00B360E5"/>
    <w:rsid w:val="00B363C1"/>
    <w:rsid w:val="00B364B2"/>
    <w:rsid w:val="00B3724F"/>
    <w:rsid w:val="00B4113F"/>
    <w:rsid w:val="00B4191A"/>
    <w:rsid w:val="00B42147"/>
    <w:rsid w:val="00B42405"/>
    <w:rsid w:val="00B427CE"/>
    <w:rsid w:val="00B4304E"/>
    <w:rsid w:val="00B439F3"/>
    <w:rsid w:val="00B44268"/>
    <w:rsid w:val="00B443CC"/>
    <w:rsid w:val="00B44545"/>
    <w:rsid w:val="00B46B18"/>
    <w:rsid w:val="00B46EE2"/>
    <w:rsid w:val="00B4769A"/>
    <w:rsid w:val="00B47E5B"/>
    <w:rsid w:val="00B52C69"/>
    <w:rsid w:val="00B52CD0"/>
    <w:rsid w:val="00B5503D"/>
    <w:rsid w:val="00B562B3"/>
    <w:rsid w:val="00B57384"/>
    <w:rsid w:val="00B57F21"/>
    <w:rsid w:val="00B62688"/>
    <w:rsid w:val="00B63CAD"/>
    <w:rsid w:val="00B642FD"/>
    <w:rsid w:val="00B645F7"/>
    <w:rsid w:val="00B66293"/>
    <w:rsid w:val="00B66312"/>
    <w:rsid w:val="00B66AD8"/>
    <w:rsid w:val="00B674BB"/>
    <w:rsid w:val="00B70592"/>
    <w:rsid w:val="00B706A0"/>
    <w:rsid w:val="00B71AC4"/>
    <w:rsid w:val="00B721C9"/>
    <w:rsid w:val="00B72CBE"/>
    <w:rsid w:val="00B73F07"/>
    <w:rsid w:val="00B74B2B"/>
    <w:rsid w:val="00B74CC8"/>
    <w:rsid w:val="00B75E3F"/>
    <w:rsid w:val="00B761A0"/>
    <w:rsid w:val="00B76954"/>
    <w:rsid w:val="00B76D96"/>
    <w:rsid w:val="00B771D6"/>
    <w:rsid w:val="00B77533"/>
    <w:rsid w:val="00B77B33"/>
    <w:rsid w:val="00B809E5"/>
    <w:rsid w:val="00B80A0A"/>
    <w:rsid w:val="00B81039"/>
    <w:rsid w:val="00B817A2"/>
    <w:rsid w:val="00B82EEE"/>
    <w:rsid w:val="00B83163"/>
    <w:rsid w:val="00B83A64"/>
    <w:rsid w:val="00B84ACA"/>
    <w:rsid w:val="00B86400"/>
    <w:rsid w:val="00B92AC7"/>
    <w:rsid w:val="00B94E76"/>
    <w:rsid w:val="00B958FE"/>
    <w:rsid w:val="00B9627B"/>
    <w:rsid w:val="00B970AC"/>
    <w:rsid w:val="00BA1454"/>
    <w:rsid w:val="00BA2896"/>
    <w:rsid w:val="00BA35EC"/>
    <w:rsid w:val="00BA44C3"/>
    <w:rsid w:val="00BA4A96"/>
    <w:rsid w:val="00BA50A0"/>
    <w:rsid w:val="00BA51D3"/>
    <w:rsid w:val="00BA5843"/>
    <w:rsid w:val="00BA6EE0"/>
    <w:rsid w:val="00BB1799"/>
    <w:rsid w:val="00BB1876"/>
    <w:rsid w:val="00BB22FC"/>
    <w:rsid w:val="00BB2EB9"/>
    <w:rsid w:val="00BB35F0"/>
    <w:rsid w:val="00BB377E"/>
    <w:rsid w:val="00BB4330"/>
    <w:rsid w:val="00BB4B38"/>
    <w:rsid w:val="00BB63E2"/>
    <w:rsid w:val="00BB6917"/>
    <w:rsid w:val="00BC035B"/>
    <w:rsid w:val="00BC0630"/>
    <w:rsid w:val="00BC3DBC"/>
    <w:rsid w:val="00BC3F6D"/>
    <w:rsid w:val="00BC410F"/>
    <w:rsid w:val="00BC4980"/>
    <w:rsid w:val="00BC5DC3"/>
    <w:rsid w:val="00BC62F2"/>
    <w:rsid w:val="00BC6F93"/>
    <w:rsid w:val="00BC7095"/>
    <w:rsid w:val="00BD0282"/>
    <w:rsid w:val="00BD46B3"/>
    <w:rsid w:val="00BD76F2"/>
    <w:rsid w:val="00BD772A"/>
    <w:rsid w:val="00BE05E8"/>
    <w:rsid w:val="00BE12F0"/>
    <w:rsid w:val="00BE1E69"/>
    <w:rsid w:val="00BE23BE"/>
    <w:rsid w:val="00BE2F0B"/>
    <w:rsid w:val="00BE5AF7"/>
    <w:rsid w:val="00BE6CC4"/>
    <w:rsid w:val="00BE7647"/>
    <w:rsid w:val="00BF01CD"/>
    <w:rsid w:val="00BF0E88"/>
    <w:rsid w:val="00BF3008"/>
    <w:rsid w:val="00BF3154"/>
    <w:rsid w:val="00BF35B0"/>
    <w:rsid w:val="00BF39E8"/>
    <w:rsid w:val="00BF427C"/>
    <w:rsid w:val="00BF7559"/>
    <w:rsid w:val="00BF7900"/>
    <w:rsid w:val="00C039A3"/>
    <w:rsid w:val="00C03AB6"/>
    <w:rsid w:val="00C03EC4"/>
    <w:rsid w:val="00C06D06"/>
    <w:rsid w:val="00C07129"/>
    <w:rsid w:val="00C07C2A"/>
    <w:rsid w:val="00C07D26"/>
    <w:rsid w:val="00C07E4A"/>
    <w:rsid w:val="00C07E6E"/>
    <w:rsid w:val="00C07EFA"/>
    <w:rsid w:val="00C106B1"/>
    <w:rsid w:val="00C10D98"/>
    <w:rsid w:val="00C10FF2"/>
    <w:rsid w:val="00C11E83"/>
    <w:rsid w:val="00C13807"/>
    <w:rsid w:val="00C15A65"/>
    <w:rsid w:val="00C17921"/>
    <w:rsid w:val="00C201CE"/>
    <w:rsid w:val="00C21066"/>
    <w:rsid w:val="00C2188E"/>
    <w:rsid w:val="00C2360E"/>
    <w:rsid w:val="00C2385C"/>
    <w:rsid w:val="00C251A0"/>
    <w:rsid w:val="00C2560E"/>
    <w:rsid w:val="00C26D0D"/>
    <w:rsid w:val="00C278F6"/>
    <w:rsid w:val="00C27D41"/>
    <w:rsid w:val="00C301C1"/>
    <w:rsid w:val="00C313F0"/>
    <w:rsid w:val="00C32199"/>
    <w:rsid w:val="00C322A2"/>
    <w:rsid w:val="00C32B64"/>
    <w:rsid w:val="00C345C9"/>
    <w:rsid w:val="00C3493D"/>
    <w:rsid w:val="00C359EF"/>
    <w:rsid w:val="00C35AE3"/>
    <w:rsid w:val="00C365A5"/>
    <w:rsid w:val="00C37613"/>
    <w:rsid w:val="00C37AB0"/>
    <w:rsid w:val="00C412EC"/>
    <w:rsid w:val="00C41A98"/>
    <w:rsid w:val="00C41FFA"/>
    <w:rsid w:val="00C42281"/>
    <w:rsid w:val="00C43ABA"/>
    <w:rsid w:val="00C43EC0"/>
    <w:rsid w:val="00C46BFE"/>
    <w:rsid w:val="00C478A6"/>
    <w:rsid w:val="00C511E9"/>
    <w:rsid w:val="00C515C3"/>
    <w:rsid w:val="00C516BC"/>
    <w:rsid w:val="00C51953"/>
    <w:rsid w:val="00C520D0"/>
    <w:rsid w:val="00C52903"/>
    <w:rsid w:val="00C52F41"/>
    <w:rsid w:val="00C531C3"/>
    <w:rsid w:val="00C5443E"/>
    <w:rsid w:val="00C54815"/>
    <w:rsid w:val="00C55413"/>
    <w:rsid w:val="00C563C5"/>
    <w:rsid w:val="00C5712A"/>
    <w:rsid w:val="00C60401"/>
    <w:rsid w:val="00C617E5"/>
    <w:rsid w:val="00C6237F"/>
    <w:rsid w:val="00C626A2"/>
    <w:rsid w:val="00C63130"/>
    <w:rsid w:val="00C6451A"/>
    <w:rsid w:val="00C6785A"/>
    <w:rsid w:val="00C7365C"/>
    <w:rsid w:val="00C73B2E"/>
    <w:rsid w:val="00C73E14"/>
    <w:rsid w:val="00C740FA"/>
    <w:rsid w:val="00C74271"/>
    <w:rsid w:val="00C75BF0"/>
    <w:rsid w:val="00C80566"/>
    <w:rsid w:val="00C805A4"/>
    <w:rsid w:val="00C81561"/>
    <w:rsid w:val="00C81B5E"/>
    <w:rsid w:val="00C842B5"/>
    <w:rsid w:val="00C842ED"/>
    <w:rsid w:val="00C8639E"/>
    <w:rsid w:val="00C9008C"/>
    <w:rsid w:val="00C9027C"/>
    <w:rsid w:val="00C9051E"/>
    <w:rsid w:val="00C90A21"/>
    <w:rsid w:val="00C918AA"/>
    <w:rsid w:val="00C9409C"/>
    <w:rsid w:val="00C9418A"/>
    <w:rsid w:val="00C95224"/>
    <w:rsid w:val="00C96A66"/>
    <w:rsid w:val="00CA0DF9"/>
    <w:rsid w:val="00CA1A87"/>
    <w:rsid w:val="00CA265D"/>
    <w:rsid w:val="00CA2F2C"/>
    <w:rsid w:val="00CA365E"/>
    <w:rsid w:val="00CA5A79"/>
    <w:rsid w:val="00CA751D"/>
    <w:rsid w:val="00CB0753"/>
    <w:rsid w:val="00CB0DA8"/>
    <w:rsid w:val="00CB1757"/>
    <w:rsid w:val="00CB1778"/>
    <w:rsid w:val="00CB195C"/>
    <w:rsid w:val="00CB295B"/>
    <w:rsid w:val="00CB3230"/>
    <w:rsid w:val="00CB6AA5"/>
    <w:rsid w:val="00CB722D"/>
    <w:rsid w:val="00CC08E3"/>
    <w:rsid w:val="00CC0A14"/>
    <w:rsid w:val="00CC50B2"/>
    <w:rsid w:val="00CC75EF"/>
    <w:rsid w:val="00CD0895"/>
    <w:rsid w:val="00CD157C"/>
    <w:rsid w:val="00CD1AE1"/>
    <w:rsid w:val="00CD2EEE"/>
    <w:rsid w:val="00CD38D2"/>
    <w:rsid w:val="00CD48E4"/>
    <w:rsid w:val="00CD4E90"/>
    <w:rsid w:val="00CD7B67"/>
    <w:rsid w:val="00CE1B8C"/>
    <w:rsid w:val="00CE2AD7"/>
    <w:rsid w:val="00CE3759"/>
    <w:rsid w:val="00CE5766"/>
    <w:rsid w:val="00CE580F"/>
    <w:rsid w:val="00CE691F"/>
    <w:rsid w:val="00CE71E2"/>
    <w:rsid w:val="00CF17AB"/>
    <w:rsid w:val="00CF4171"/>
    <w:rsid w:val="00CF51AA"/>
    <w:rsid w:val="00CF6096"/>
    <w:rsid w:val="00CF656F"/>
    <w:rsid w:val="00D018AA"/>
    <w:rsid w:val="00D04A08"/>
    <w:rsid w:val="00D075DF"/>
    <w:rsid w:val="00D11B6C"/>
    <w:rsid w:val="00D15FE5"/>
    <w:rsid w:val="00D16A0D"/>
    <w:rsid w:val="00D171EF"/>
    <w:rsid w:val="00D17E7B"/>
    <w:rsid w:val="00D21AF5"/>
    <w:rsid w:val="00D2217B"/>
    <w:rsid w:val="00D22B11"/>
    <w:rsid w:val="00D23484"/>
    <w:rsid w:val="00D260AB"/>
    <w:rsid w:val="00D33F84"/>
    <w:rsid w:val="00D34B01"/>
    <w:rsid w:val="00D362FC"/>
    <w:rsid w:val="00D371FB"/>
    <w:rsid w:val="00D37654"/>
    <w:rsid w:val="00D419F9"/>
    <w:rsid w:val="00D420D5"/>
    <w:rsid w:val="00D42458"/>
    <w:rsid w:val="00D424E0"/>
    <w:rsid w:val="00D42B20"/>
    <w:rsid w:val="00D4331A"/>
    <w:rsid w:val="00D44226"/>
    <w:rsid w:val="00D45003"/>
    <w:rsid w:val="00D45B90"/>
    <w:rsid w:val="00D46176"/>
    <w:rsid w:val="00D46705"/>
    <w:rsid w:val="00D478C0"/>
    <w:rsid w:val="00D47F13"/>
    <w:rsid w:val="00D50DBB"/>
    <w:rsid w:val="00D51485"/>
    <w:rsid w:val="00D542B8"/>
    <w:rsid w:val="00D55559"/>
    <w:rsid w:val="00D555F4"/>
    <w:rsid w:val="00D55A60"/>
    <w:rsid w:val="00D55EAC"/>
    <w:rsid w:val="00D57B87"/>
    <w:rsid w:val="00D61589"/>
    <w:rsid w:val="00D61CDC"/>
    <w:rsid w:val="00D624AA"/>
    <w:rsid w:val="00D650F1"/>
    <w:rsid w:val="00D65999"/>
    <w:rsid w:val="00D6624D"/>
    <w:rsid w:val="00D67A19"/>
    <w:rsid w:val="00D7032C"/>
    <w:rsid w:val="00D70A4E"/>
    <w:rsid w:val="00D71279"/>
    <w:rsid w:val="00D72C88"/>
    <w:rsid w:val="00D7323E"/>
    <w:rsid w:val="00D73339"/>
    <w:rsid w:val="00D73D17"/>
    <w:rsid w:val="00D74B18"/>
    <w:rsid w:val="00D752E0"/>
    <w:rsid w:val="00D775F0"/>
    <w:rsid w:val="00D80C13"/>
    <w:rsid w:val="00D847AF"/>
    <w:rsid w:val="00D859A9"/>
    <w:rsid w:val="00D8633D"/>
    <w:rsid w:val="00D86A7A"/>
    <w:rsid w:val="00D870DB"/>
    <w:rsid w:val="00D90979"/>
    <w:rsid w:val="00D91707"/>
    <w:rsid w:val="00D91A98"/>
    <w:rsid w:val="00D93288"/>
    <w:rsid w:val="00D9388C"/>
    <w:rsid w:val="00D94249"/>
    <w:rsid w:val="00D94E9D"/>
    <w:rsid w:val="00D97289"/>
    <w:rsid w:val="00DA08BB"/>
    <w:rsid w:val="00DA1F43"/>
    <w:rsid w:val="00DA24C5"/>
    <w:rsid w:val="00DA27A5"/>
    <w:rsid w:val="00DA4C0C"/>
    <w:rsid w:val="00DA58C4"/>
    <w:rsid w:val="00DA7D69"/>
    <w:rsid w:val="00DB03FC"/>
    <w:rsid w:val="00DB0CFE"/>
    <w:rsid w:val="00DB1B3E"/>
    <w:rsid w:val="00DB4591"/>
    <w:rsid w:val="00DB592E"/>
    <w:rsid w:val="00DB5F45"/>
    <w:rsid w:val="00DB61DD"/>
    <w:rsid w:val="00DB6DEF"/>
    <w:rsid w:val="00DB7007"/>
    <w:rsid w:val="00DB7D87"/>
    <w:rsid w:val="00DC0083"/>
    <w:rsid w:val="00DC0D40"/>
    <w:rsid w:val="00DC2A24"/>
    <w:rsid w:val="00DC322C"/>
    <w:rsid w:val="00DC3313"/>
    <w:rsid w:val="00DC36A5"/>
    <w:rsid w:val="00DC42E7"/>
    <w:rsid w:val="00DC550C"/>
    <w:rsid w:val="00DC59B6"/>
    <w:rsid w:val="00DC623C"/>
    <w:rsid w:val="00DC6A91"/>
    <w:rsid w:val="00DD0066"/>
    <w:rsid w:val="00DD0213"/>
    <w:rsid w:val="00DD06B2"/>
    <w:rsid w:val="00DD3ACB"/>
    <w:rsid w:val="00DD4603"/>
    <w:rsid w:val="00DD5180"/>
    <w:rsid w:val="00DD6C35"/>
    <w:rsid w:val="00DD71ED"/>
    <w:rsid w:val="00DD72BB"/>
    <w:rsid w:val="00DE3258"/>
    <w:rsid w:val="00DE51EB"/>
    <w:rsid w:val="00DE5F4F"/>
    <w:rsid w:val="00DE762D"/>
    <w:rsid w:val="00DF002F"/>
    <w:rsid w:val="00DF1F44"/>
    <w:rsid w:val="00DF4DE0"/>
    <w:rsid w:val="00DF5068"/>
    <w:rsid w:val="00DF5FFD"/>
    <w:rsid w:val="00DF60DC"/>
    <w:rsid w:val="00DF6FCB"/>
    <w:rsid w:val="00DF7663"/>
    <w:rsid w:val="00DF7ABD"/>
    <w:rsid w:val="00DF7BD8"/>
    <w:rsid w:val="00DF7D2D"/>
    <w:rsid w:val="00E00D41"/>
    <w:rsid w:val="00E02500"/>
    <w:rsid w:val="00E028C8"/>
    <w:rsid w:val="00E06F17"/>
    <w:rsid w:val="00E06F3E"/>
    <w:rsid w:val="00E072DC"/>
    <w:rsid w:val="00E07982"/>
    <w:rsid w:val="00E10FD3"/>
    <w:rsid w:val="00E13582"/>
    <w:rsid w:val="00E136A6"/>
    <w:rsid w:val="00E13F81"/>
    <w:rsid w:val="00E14D1E"/>
    <w:rsid w:val="00E166BE"/>
    <w:rsid w:val="00E16AE3"/>
    <w:rsid w:val="00E171E4"/>
    <w:rsid w:val="00E21B58"/>
    <w:rsid w:val="00E21DD8"/>
    <w:rsid w:val="00E21E69"/>
    <w:rsid w:val="00E23857"/>
    <w:rsid w:val="00E241F9"/>
    <w:rsid w:val="00E24AF4"/>
    <w:rsid w:val="00E25C7A"/>
    <w:rsid w:val="00E31BDC"/>
    <w:rsid w:val="00E3428F"/>
    <w:rsid w:val="00E34DF1"/>
    <w:rsid w:val="00E35965"/>
    <w:rsid w:val="00E35B7F"/>
    <w:rsid w:val="00E37AE0"/>
    <w:rsid w:val="00E40E18"/>
    <w:rsid w:val="00E41293"/>
    <w:rsid w:val="00E4148C"/>
    <w:rsid w:val="00E42B3F"/>
    <w:rsid w:val="00E43331"/>
    <w:rsid w:val="00E4401C"/>
    <w:rsid w:val="00E44478"/>
    <w:rsid w:val="00E44918"/>
    <w:rsid w:val="00E45027"/>
    <w:rsid w:val="00E456CA"/>
    <w:rsid w:val="00E457E9"/>
    <w:rsid w:val="00E45B5F"/>
    <w:rsid w:val="00E4678C"/>
    <w:rsid w:val="00E514E8"/>
    <w:rsid w:val="00E52017"/>
    <w:rsid w:val="00E5399D"/>
    <w:rsid w:val="00E5493D"/>
    <w:rsid w:val="00E5600F"/>
    <w:rsid w:val="00E572C9"/>
    <w:rsid w:val="00E57C32"/>
    <w:rsid w:val="00E60B6B"/>
    <w:rsid w:val="00E62A93"/>
    <w:rsid w:val="00E70B73"/>
    <w:rsid w:val="00E70C32"/>
    <w:rsid w:val="00E70C57"/>
    <w:rsid w:val="00E7263E"/>
    <w:rsid w:val="00E74437"/>
    <w:rsid w:val="00E755E5"/>
    <w:rsid w:val="00E757E3"/>
    <w:rsid w:val="00E7678C"/>
    <w:rsid w:val="00E81165"/>
    <w:rsid w:val="00E82D1B"/>
    <w:rsid w:val="00E83116"/>
    <w:rsid w:val="00E831AE"/>
    <w:rsid w:val="00E86242"/>
    <w:rsid w:val="00E874CA"/>
    <w:rsid w:val="00E87676"/>
    <w:rsid w:val="00E87FB2"/>
    <w:rsid w:val="00E907D2"/>
    <w:rsid w:val="00E91180"/>
    <w:rsid w:val="00E916C8"/>
    <w:rsid w:val="00E938DF"/>
    <w:rsid w:val="00E951B8"/>
    <w:rsid w:val="00E966FB"/>
    <w:rsid w:val="00E96EBF"/>
    <w:rsid w:val="00E97773"/>
    <w:rsid w:val="00EA07FF"/>
    <w:rsid w:val="00EA0B02"/>
    <w:rsid w:val="00EA1464"/>
    <w:rsid w:val="00EA14CD"/>
    <w:rsid w:val="00EA1542"/>
    <w:rsid w:val="00EA277C"/>
    <w:rsid w:val="00EA4E00"/>
    <w:rsid w:val="00EA58EF"/>
    <w:rsid w:val="00EA701F"/>
    <w:rsid w:val="00EA7DFC"/>
    <w:rsid w:val="00EA7FD6"/>
    <w:rsid w:val="00EB0BDC"/>
    <w:rsid w:val="00EB13F8"/>
    <w:rsid w:val="00EB1B2D"/>
    <w:rsid w:val="00EB4CCD"/>
    <w:rsid w:val="00EB6B3F"/>
    <w:rsid w:val="00EC1134"/>
    <w:rsid w:val="00EC36D2"/>
    <w:rsid w:val="00EC407A"/>
    <w:rsid w:val="00EC48AB"/>
    <w:rsid w:val="00EC4C80"/>
    <w:rsid w:val="00EC5F3D"/>
    <w:rsid w:val="00EC677D"/>
    <w:rsid w:val="00EC6CCF"/>
    <w:rsid w:val="00EC6D1A"/>
    <w:rsid w:val="00ED209F"/>
    <w:rsid w:val="00ED25C9"/>
    <w:rsid w:val="00ED2E6A"/>
    <w:rsid w:val="00ED2EEB"/>
    <w:rsid w:val="00ED7E70"/>
    <w:rsid w:val="00EE1C5A"/>
    <w:rsid w:val="00EE3529"/>
    <w:rsid w:val="00EE688C"/>
    <w:rsid w:val="00EF08CD"/>
    <w:rsid w:val="00EF1204"/>
    <w:rsid w:val="00EF1C47"/>
    <w:rsid w:val="00EF428F"/>
    <w:rsid w:val="00EF571A"/>
    <w:rsid w:val="00EF6CC5"/>
    <w:rsid w:val="00F01017"/>
    <w:rsid w:val="00F016C2"/>
    <w:rsid w:val="00F02D3A"/>
    <w:rsid w:val="00F0311E"/>
    <w:rsid w:val="00F05089"/>
    <w:rsid w:val="00F06598"/>
    <w:rsid w:val="00F0760D"/>
    <w:rsid w:val="00F10544"/>
    <w:rsid w:val="00F10E3C"/>
    <w:rsid w:val="00F12F38"/>
    <w:rsid w:val="00F140E9"/>
    <w:rsid w:val="00F14C99"/>
    <w:rsid w:val="00F15154"/>
    <w:rsid w:val="00F20AFE"/>
    <w:rsid w:val="00F20E73"/>
    <w:rsid w:val="00F20FEC"/>
    <w:rsid w:val="00F2138C"/>
    <w:rsid w:val="00F220CC"/>
    <w:rsid w:val="00F23FDC"/>
    <w:rsid w:val="00F25957"/>
    <w:rsid w:val="00F25AAD"/>
    <w:rsid w:val="00F2764B"/>
    <w:rsid w:val="00F31189"/>
    <w:rsid w:val="00F31E44"/>
    <w:rsid w:val="00F32A15"/>
    <w:rsid w:val="00F32AC5"/>
    <w:rsid w:val="00F32EAC"/>
    <w:rsid w:val="00F35BCA"/>
    <w:rsid w:val="00F40383"/>
    <w:rsid w:val="00F41519"/>
    <w:rsid w:val="00F4168A"/>
    <w:rsid w:val="00F421F4"/>
    <w:rsid w:val="00F44DEE"/>
    <w:rsid w:val="00F47945"/>
    <w:rsid w:val="00F47A57"/>
    <w:rsid w:val="00F50DD8"/>
    <w:rsid w:val="00F524EC"/>
    <w:rsid w:val="00F533AE"/>
    <w:rsid w:val="00F53761"/>
    <w:rsid w:val="00F546DF"/>
    <w:rsid w:val="00F5580D"/>
    <w:rsid w:val="00F571D6"/>
    <w:rsid w:val="00F57D63"/>
    <w:rsid w:val="00F62D6F"/>
    <w:rsid w:val="00F63116"/>
    <w:rsid w:val="00F63AA1"/>
    <w:rsid w:val="00F657CF"/>
    <w:rsid w:val="00F661E4"/>
    <w:rsid w:val="00F66B17"/>
    <w:rsid w:val="00F705D2"/>
    <w:rsid w:val="00F71D34"/>
    <w:rsid w:val="00F722DD"/>
    <w:rsid w:val="00F73878"/>
    <w:rsid w:val="00F745AB"/>
    <w:rsid w:val="00F74C60"/>
    <w:rsid w:val="00F74F39"/>
    <w:rsid w:val="00F755E6"/>
    <w:rsid w:val="00F77C21"/>
    <w:rsid w:val="00F80BDE"/>
    <w:rsid w:val="00F8136C"/>
    <w:rsid w:val="00F81826"/>
    <w:rsid w:val="00F832FD"/>
    <w:rsid w:val="00F84323"/>
    <w:rsid w:val="00F84CF3"/>
    <w:rsid w:val="00F85A2F"/>
    <w:rsid w:val="00F86115"/>
    <w:rsid w:val="00F9086E"/>
    <w:rsid w:val="00F90C4D"/>
    <w:rsid w:val="00F92B46"/>
    <w:rsid w:val="00F933A0"/>
    <w:rsid w:val="00F940D5"/>
    <w:rsid w:val="00F9481F"/>
    <w:rsid w:val="00F94E24"/>
    <w:rsid w:val="00F96275"/>
    <w:rsid w:val="00F96CD1"/>
    <w:rsid w:val="00F96D98"/>
    <w:rsid w:val="00FA2989"/>
    <w:rsid w:val="00FA2A76"/>
    <w:rsid w:val="00FA2D4B"/>
    <w:rsid w:val="00FA355F"/>
    <w:rsid w:val="00FA5D63"/>
    <w:rsid w:val="00FA6307"/>
    <w:rsid w:val="00FB123E"/>
    <w:rsid w:val="00FB6547"/>
    <w:rsid w:val="00FB6BBF"/>
    <w:rsid w:val="00FB6BED"/>
    <w:rsid w:val="00FB7651"/>
    <w:rsid w:val="00FC0B63"/>
    <w:rsid w:val="00FC0D93"/>
    <w:rsid w:val="00FC0E18"/>
    <w:rsid w:val="00FC23AF"/>
    <w:rsid w:val="00FC5A99"/>
    <w:rsid w:val="00FC5AE4"/>
    <w:rsid w:val="00FC6056"/>
    <w:rsid w:val="00FC7BBA"/>
    <w:rsid w:val="00FD0C3B"/>
    <w:rsid w:val="00FD0E6A"/>
    <w:rsid w:val="00FD123C"/>
    <w:rsid w:val="00FD1C07"/>
    <w:rsid w:val="00FD1D74"/>
    <w:rsid w:val="00FD1E19"/>
    <w:rsid w:val="00FD25E4"/>
    <w:rsid w:val="00FD2A9C"/>
    <w:rsid w:val="00FD37EB"/>
    <w:rsid w:val="00FD5FB3"/>
    <w:rsid w:val="00FD73DA"/>
    <w:rsid w:val="00FD744E"/>
    <w:rsid w:val="00FD7D95"/>
    <w:rsid w:val="00FE03C4"/>
    <w:rsid w:val="00FE092B"/>
    <w:rsid w:val="00FE2027"/>
    <w:rsid w:val="00FE38AB"/>
    <w:rsid w:val="00FE3B57"/>
    <w:rsid w:val="00FE58C9"/>
    <w:rsid w:val="00FE5D3B"/>
    <w:rsid w:val="00FE5F9F"/>
    <w:rsid w:val="00FE62DE"/>
    <w:rsid w:val="00FE7AD6"/>
    <w:rsid w:val="00FF03B4"/>
    <w:rsid w:val="00FF0D3A"/>
    <w:rsid w:val="00FF201F"/>
    <w:rsid w:val="00FF21BB"/>
    <w:rsid w:val="00FF2779"/>
    <w:rsid w:val="00FF47A0"/>
    <w:rsid w:val="00FF5A37"/>
    <w:rsid w:val="00FF5C63"/>
    <w:rsid w:val="00FF5DBF"/>
    <w:rsid w:val="00FF6084"/>
    <w:rsid w:val="0374413D"/>
    <w:rsid w:val="03A4631E"/>
    <w:rsid w:val="04CE2BC1"/>
    <w:rsid w:val="058C7E64"/>
    <w:rsid w:val="059D70B1"/>
    <w:rsid w:val="06581AF4"/>
    <w:rsid w:val="06F239FE"/>
    <w:rsid w:val="07013F3A"/>
    <w:rsid w:val="07091040"/>
    <w:rsid w:val="07133C6D"/>
    <w:rsid w:val="071C0D73"/>
    <w:rsid w:val="08366101"/>
    <w:rsid w:val="083D71F3"/>
    <w:rsid w:val="089E6B40"/>
    <w:rsid w:val="08CA442D"/>
    <w:rsid w:val="0AFC1508"/>
    <w:rsid w:val="0B710F5A"/>
    <w:rsid w:val="0B734D4E"/>
    <w:rsid w:val="0B764C07"/>
    <w:rsid w:val="0C434FF4"/>
    <w:rsid w:val="0E3015A8"/>
    <w:rsid w:val="0E326ABD"/>
    <w:rsid w:val="0E4648B4"/>
    <w:rsid w:val="0F721C14"/>
    <w:rsid w:val="0F937B47"/>
    <w:rsid w:val="1111492F"/>
    <w:rsid w:val="120D4D6D"/>
    <w:rsid w:val="133B0DB6"/>
    <w:rsid w:val="13857CA0"/>
    <w:rsid w:val="1495483A"/>
    <w:rsid w:val="16664165"/>
    <w:rsid w:val="16B04812"/>
    <w:rsid w:val="18491BE4"/>
    <w:rsid w:val="18D86AC4"/>
    <w:rsid w:val="18E92A80"/>
    <w:rsid w:val="18EC4490"/>
    <w:rsid w:val="19045B0B"/>
    <w:rsid w:val="198C4BD5"/>
    <w:rsid w:val="19C57049"/>
    <w:rsid w:val="1B965141"/>
    <w:rsid w:val="1BDF56EC"/>
    <w:rsid w:val="1C226562"/>
    <w:rsid w:val="1C8D15BB"/>
    <w:rsid w:val="1D2741A8"/>
    <w:rsid w:val="1F2472DD"/>
    <w:rsid w:val="1F45587E"/>
    <w:rsid w:val="20684F6C"/>
    <w:rsid w:val="20711CD8"/>
    <w:rsid w:val="20F546B7"/>
    <w:rsid w:val="21787119"/>
    <w:rsid w:val="23F41459"/>
    <w:rsid w:val="25880DBC"/>
    <w:rsid w:val="26596465"/>
    <w:rsid w:val="26EF11EF"/>
    <w:rsid w:val="27436813"/>
    <w:rsid w:val="27AB4995"/>
    <w:rsid w:val="289500FE"/>
    <w:rsid w:val="2B663B9E"/>
    <w:rsid w:val="2B8D61BD"/>
    <w:rsid w:val="2C3376F3"/>
    <w:rsid w:val="2E0B29F7"/>
    <w:rsid w:val="2F570EAC"/>
    <w:rsid w:val="2FCD1720"/>
    <w:rsid w:val="2FF344B8"/>
    <w:rsid w:val="30071D11"/>
    <w:rsid w:val="30803872"/>
    <w:rsid w:val="3152742F"/>
    <w:rsid w:val="32026C34"/>
    <w:rsid w:val="334E4E39"/>
    <w:rsid w:val="338C0D9C"/>
    <w:rsid w:val="33961894"/>
    <w:rsid w:val="35613C72"/>
    <w:rsid w:val="35A818A1"/>
    <w:rsid w:val="360F3DB3"/>
    <w:rsid w:val="389E6F8B"/>
    <w:rsid w:val="38E250CA"/>
    <w:rsid w:val="39A64349"/>
    <w:rsid w:val="3D6F2D9A"/>
    <w:rsid w:val="40BD77D5"/>
    <w:rsid w:val="40DD3116"/>
    <w:rsid w:val="412F153F"/>
    <w:rsid w:val="418D4040"/>
    <w:rsid w:val="418F1B67"/>
    <w:rsid w:val="43307CB5"/>
    <w:rsid w:val="43C6114E"/>
    <w:rsid w:val="44FC5CC1"/>
    <w:rsid w:val="450A37A0"/>
    <w:rsid w:val="454665D3"/>
    <w:rsid w:val="45813EBC"/>
    <w:rsid w:val="463F5816"/>
    <w:rsid w:val="46E82445"/>
    <w:rsid w:val="46F32B98"/>
    <w:rsid w:val="487D3B49"/>
    <w:rsid w:val="4B1A5605"/>
    <w:rsid w:val="4B862771"/>
    <w:rsid w:val="4BEE392E"/>
    <w:rsid w:val="4CCE0D72"/>
    <w:rsid w:val="4D871B5E"/>
    <w:rsid w:val="4DC86B2C"/>
    <w:rsid w:val="4E5206EC"/>
    <w:rsid w:val="4F4F6674"/>
    <w:rsid w:val="5051787C"/>
    <w:rsid w:val="52746F2C"/>
    <w:rsid w:val="53982C76"/>
    <w:rsid w:val="53A31BE6"/>
    <w:rsid w:val="546403BE"/>
    <w:rsid w:val="56891156"/>
    <w:rsid w:val="56DF341C"/>
    <w:rsid w:val="57FF6FF5"/>
    <w:rsid w:val="5A0746B7"/>
    <w:rsid w:val="5A3E6378"/>
    <w:rsid w:val="5ACB3D85"/>
    <w:rsid w:val="5B7177C6"/>
    <w:rsid w:val="5BFE1CA4"/>
    <w:rsid w:val="5C0C052C"/>
    <w:rsid w:val="5DAD189A"/>
    <w:rsid w:val="5E5B12F6"/>
    <w:rsid w:val="5E664040"/>
    <w:rsid w:val="5F015C7E"/>
    <w:rsid w:val="5F08021D"/>
    <w:rsid w:val="5F4E788B"/>
    <w:rsid w:val="5F685A79"/>
    <w:rsid w:val="5FC05963"/>
    <w:rsid w:val="609E371C"/>
    <w:rsid w:val="638E1826"/>
    <w:rsid w:val="647D0A51"/>
    <w:rsid w:val="64A81C3C"/>
    <w:rsid w:val="65363F24"/>
    <w:rsid w:val="65876E75"/>
    <w:rsid w:val="659E6E11"/>
    <w:rsid w:val="66A6332B"/>
    <w:rsid w:val="68416F3C"/>
    <w:rsid w:val="690A2179"/>
    <w:rsid w:val="69995F31"/>
    <w:rsid w:val="6A5F3DCC"/>
    <w:rsid w:val="6BC57EE0"/>
    <w:rsid w:val="6BD12BF8"/>
    <w:rsid w:val="6D0D30AE"/>
    <w:rsid w:val="6D2B4ECB"/>
    <w:rsid w:val="6E1A48EF"/>
    <w:rsid w:val="71E371E1"/>
    <w:rsid w:val="731107FB"/>
    <w:rsid w:val="736903D2"/>
    <w:rsid w:val="74D93705"/>
    <w:rsid w:val="760F67F7"/>
    <w:rsid w:val="776A1B5C"/>
    <w:rsid w:val="77BA4A28"/>
    <w:rsid w:val="79102A36"/>
    <w:rsid w:val="7B7455E7"/>
    <w:rsid w:val="7BFB7361"/>
    <w:rsid w:val="7C215C8C"/>
    <w:rsid w:val="7C43369E"/>
    <w:rsid w:val="7C6B0968"/>
    <w:rsid w:val="7CE66493"/>
    <w:rsid w:val="7DAE7DD6"/>
    <w:rsid w:val="7DF6029C"/>
    <w:rsid w:val="7EF60660"/>
    <w:rsid w:val="7F7071CE"/>
    <w:rsid w:val="7FA549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00" w:lineRule="exact"/>
      <w:ind w:firstLine="200" w:firstLineChars="200"/>
      <w:jc w:val="both"/>
    </w:pPr>
    <w:rPr>
      <w:rFonts w:ascii="Times New Roman" w:hAnsi="Times New Roman" w:eastAsia="宋体" w:cstheme="minorBidi"/>
      <w:kern w:val="2"/>
      <w:sz w:val="24"/>
      <w:szCs w:val="21"/>
      <w:lang w:val="en-US" w:eastAsia="zh-CN" w:bidi="ar-SA"/>
    </w:rPr>
  </w:style>
  <w:style w:type="paragraph" w:styleId="2">
    <w:name w:val="heading 1"/>
    <w:basedOn w:val="1"/>
    <w:next w:val="1"/>
    <w:link w:val="30"/>
    <w:autoRedefine/>
    <w:qFormat/>
    <w:uiPriority w:val="99"/>
    <w:pPr>
      <w:keepNext/>
      <w:keepLines/>
      <w:pageBreakBefore/>
      <w:spacing w:beforeLines="100" w:afterLines="100"/>
      <w:ind w:firstLine="0" w:firstLineChars="0"/>
      <w:jc w:val="center"/>
      <w:outlineLvl w:val="0"/>
    </w:pPr>
    <w:rPr>
      <w:rFonts w:eastAsia="黑体"/>
      <w:b/>
      <w:bCs/>
      <w:kern w:val="44"/>
      <w:sz w:val="30"/>
      <w:szCs w:val="44"/>
    </w:rPr>
  </w:style>
  <w:style w:type="paragraph" w:styleId="3">
    <w:name w:val="heading 2"/>
    <w:basedOn w:val="1"/>
    <w:next w:val="1"/>
    <w:link w:val="31"/>
    <w:autoRedefine/>
    <w:unhideWhenUsed/>
    <w:qFormat/>
    <w:uiPriority w:val="99"/>
    <w:pPr>
      <w:keepNext/>
      <w:keepLines/>
      <w:ind w:firstLine="0" w:firstLineChars="0"/>
      <w:outlineLvl w:val="1"/>
    </w:pPr>
    <w:rPr>
      <w:rFonts w:cstheme="majorBidi"/>
      <w:b/>
      <w:sz w:val="30"/>
      <w:szCs w:val="32"/>
    </w:rPr>
  </w:style>
  <w:style w:type="paragraph" w:styleId="4">
    <w:name w:val="heading 3"/>
    <w:basedOn w:val="1"/>
    <w:next w:val="1"/>
    <w:link w:val="32"/>
    <w:autoRedefine/>
    <w:unhideWhenUsed/>
    <w:qFormat/>
    <w:uiPriority w:val="99"/>
    <w:pPr>
      <w:keepNext/>
      <w:keepLines/>
      <w:ind w:firstLine="0" w:firstLineChars="0"/>
      <w:outlineLvl w:val="2"/>
    </w:pPr>
    <w:rPr>
      <w:b/>
      <w:bCs/>
      <w:sz w:val="28"/>
      <w:szCs w:val="32"/>
    </w:rPr>
  </w:style>
  <w:style w:type="paragraph" w:styleId="5">
    <w:name w:val="heading 4"/>
    <w:basedOn w:val="1"/>
    <w:next w:val="1"/>
    <w:link w:val="34"/>
    <w:autoRedefine/>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annotation text"/>
    <w:basedOn w:val="1"/>
    <w:link w:val="44"/>
    <w:autoRedefine/>
    <w:semiHidden/>
    <w:unhideWhenUsed/>
    <w:qFormat/>
    <w:uiPriority w:val="99"/>
    <w:pPr>
      <w:jc w:val="left"/>
    </w:pPr>
  </w:style>
  <w:style w:type="paragraph" w:styleId="8">
    <w:name w:val="Body Text"/>
    <w:basedOn w:val="1"/>
    <w:next w:val="1"/>
    <w:autoRedefine/>
    <w:qFormat/>
    <w:uiPriority w:val="0"/>
    <w:pPr>
      <w:widowControl/>
      <w:snapToGrid w:val="0"/>
      <w:spacing w:before="60" w:after="160" w:line="259" w:lineRule="auto"/>
      <w:ind w:right="113"/>
    </w:pPr>
    <w:rPr>
      <w:kern w:val="0"/>
      <w:sz w:val="18"/>
      <w:szCs w:val="20"/>
    </w:rPr>
  </w:style>
  <w:style w:type="paragraph" w:styleId="9">
    <w:name w:val="Body Text Indent"/>
    <w:basedOn w:val="1"/>
    <w:next w:val="8"/>
    <w:link w:val="38"/>
    <w:qFormat/>
    <w:uiPriority w:val="0"/>
    <w:pPr>
      <w:spacing w:after="120" w:line="240" w:lineRule="auto"/>
      <w:ind w:left="420" w:leftChars="200" w:firstLine="0" w:firstLineChars="0"/>
    </w:pPr>
  </w:style>
  <w:style w:type="paragraph" w:styleId="10">
    <w:name w:val="Block Text"/>
    <w:basedOn w:val="1"/>
    <w:autoRedefine/>
    <w:qFormat/>
    <w:uiPriority w:val="0"/>
    <w:pPr>
      <w:autoSpaceDE w:val="0"/>
      <w:autoSpaceDN w:val="0"/>
      <w:adjustRightInd w:val="0"/>
      <w:spacing w:before="1" w:line="537" w:lineRule="exact"/>
      <w:ind w:left="88" w:right="6"/>
    </w:pPr>
    <w:rPr>
      <w:kern w:val="0"/>
      <w:sz w:val="28"/>
      <w:szCs w:val="20"/>
    </w:rPr>
  </w:style>
  <w:style w:type="paragraph" w:styleId="11">
    <w:name w:val="Body Text Indent 2"/>
    <w:basedOn w:val="1"/>
    <w:link w:val="40"/>
    <w:autoRedefine/>
    <w:semiHidden/>
    <w:unhideWhenUsed/>
    <w:qFormat/>
    <w:uiPriority w:val="99"/>
    <w:pPr>
      <w:spacing w:after="120" w:line="480" w:lineRule="auto"/>
      <w:ind w:left="420" w:leftChars="200"/>
    </w:pPr>
  </w:style>
  <w:style w:type="paragraph" w:styleId="12">
    <w:name w:val="Balloon Text"/>
    <w:basedOn w:val="1"/>
    <w:link w:val="49"/>
    <w:autoRedefine/>
    <w:semiHidden/>
    <w:unhideWhenUsed/>
    <w:qFormat/>
    <w:uiPriority w:val="99"/>
    <w:pPr>
      <w:spacing w:line="240" w:lineRule="auto"/>
    </w:pPr>
    <w:rPr>
      <w:sz w:val="18"/>
      <w:szCs w:val="18"/>
    </w:rPr>
  </w:style>
  <w:style w:type="paragraph" w:styleId="13">
    <w:name w:val="footer"/>
    <w:basedOn w:val="1"/>
    <w:link w:val="36"/>
    <w:autoRedefine/>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link w:val="35"/>
    <w:autoRedefine/>
    <w:qFormat/>
    <w:uiPriority w:val="0"/>
    <w:pPr>
      <w:tabs>
        <w:tab w:val="center" w:pos="4153"/>
        <w:tab w:val="right" w:pos="8306"/>
      </w:tabs>
      <w:snapToGrid w:val="0"/>
      <w:spacing w:line="240" w:lineRule="atLeast"/>
      <w:ind w:firstLine="420"/>
      <w:jc w:val="center"/>
    </w:pPr>
    <w:rPr>
      <w:sz w:val="18"/>
      <w:szCs w:val="18"/>
    </w:rPr>
  </w:style>
  <w:style w:type="paragraph" w:styleId="15">
    <w:name w:val="Subtitle"/>
    <w:basedOn w:val="1"/>
    <w:next w:val="1"/>
    <w:autoRedefine/>
    <w:qFormat/>
    <w:uiPriority w:val="11"/>
    <w:pPr>
      <w:spacing w:line="240" w:lineRule="auto"/>
      <w:jc w:val="center"/>
    </w:pPr>
    <w:rPr>
      <w:rFonts w:ascii="Cambria" w:hAnsi="Cambria" w:eastAsia="黑体"/>
      <w:bCs/>
      <w:kern w:val="28"/>
      <w:sz w:val="22"/>
      <w:szCs w:val="32"/>
    </w:rPr>
  </w:style>
  <w:style w:type="paragraph" w:styleId="16">
    <w:name w:val="toc 2"/>
    <w:basedOn w:val="1"/>
    <w:next w:val="1"/>
    <w:autoRedefine/>
    <w:semiHidden/>
    <w:unhideWhenUsed/>
    <w:qFormat/>
    <w:uiPriority w:val="39"/>
    <w:pPr>
      <w:spacing w:line="400" w:lineRule="exact"/>
      <w:ind w:left="200" w:leftChars="200"/>
    </w:pPr>
    <w:rPr>
      <w:b/>
    </w:rPr>
  </w:style>
  <w:style w:type="paragraph" w:styleId="17">
    <w:name w:val="Normal (Web)"/>
    <w:basedOn w:val="1"/>
    <w:link w:val="42"/>
    <w:autoRedefine/>
    <w:qFormat/>
    <w:uiPriority w:val="0"/>
    <w:pPr>
      <w:widowControl/>
      <w:spacing w:before="100" w:beforeAutospacing="1" w:after="100" w:afterAutospacing="1" w:line="240" w:lineRule="auto"/>
      <w:ind w:firstLine="0" w:firstLineChars="0"/>
      <w:jc w:val="left"/>
    </w:pPr>
    <w:rPr>
      <w:rFonts w:ascii="宋体" w:hAnsi="宋体" w:eastAsiaTheme="minorEastAsia"/>
    </w:rPr>
  </w:style>
  <w:style w:type="paragraph" w:styleId="18">
    <w:name w:val="annotation subject"/>
    <w:basedOn w:val="7"/>
    <w:next w:val="7"/>
    <w:link w:val="45"/>
    <w:autoRedefine/>
    <w:semiHidden/>
    <w:unhideWhenUsed/>
    <w:qFormat/>
    <w:uiPriority w:val="99"/>
    <w:rPr>
      <w:b/>
      <w:bCs/>
    </w:rPr>
  </w:style>
  <w:style w:type="paragraph" w:styleId="19">
    <w:name w:val="Body Text First Indent"/>
    <w:basedOn w:val="8"/>
    <w:autoRedefine/>
    <w:qFormat/>
    <w:uiPriority w:val="0"/>
    <w:pPr>
      <w:ind w:firstLine="420" w:firstLineChars="100"/>
    </w:pPr>
  </w:style>
  <w:style w:type="paragraph" w:styleId="20">
    <w:name w:val="Body Text First Indent 2"/>
    <w:basedOn w:val="9"/>
    <w:link w:val="41"/>
    <w:autoRedefine/>
    <w:semiHidden/>
    <w:unhideWhenUsed/>
    <w:qFormat/>
    <w:uiPriority w:val="99"/>
    <w:pPr>
      <w:spacing w:line="500" w:lineRule="exact"/>
      <w:ind w:firstLine="420" w:firstLineChars="200"/>
    </w:pPr>
  </w:style>
  <w:style w:type="table" w:styleId="22">
    <w:name w:val="Table Grid"/>
    <w:basedOn w:val="2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autoRedefine/>
    <w:semiHidden/>
    <w:unhideWhenUsed/>
    <w:qFormat/>
    <w:uiPriority w:val="99"/>
    <w:rPr>
      <w:color w:val="0563C1" w:themeColor="hyperlink"/>
      <w:u w:val="single"/>
      <w14:textFill>
        <w14:solidFill>
          <w14:schemeClr w14:val="hlink"/>
        </w14:solidFill>
      </w14:textFill>
    </w:rPr>
  </w:style>
  <w:style w:type="character" w:styleId="25">
    <w:name w:val="annotation reference"/>
    <w:basedOn w:val="23"/>
    <w:autoRedefine/>
    <w:semiHidden/>
    <w:unhideWhenUsed/>
    <w:qFormat/>
    <w:uiPriority w:val="99"/>
    <w:rPr>
      <w:sz w:val="21"/>
      <w:szCs w:val="21"/>
    </w:rPr>
  </w:style>
  <w:style w:type="paragraph" w:customStyle="1" w:styleId="26">
    <w:name w:val="表格"/>
    <w:next w:val="1"/>
    <w:link w:val="27"/>
    <w:autoRedefine/>
    <w:qFormat/>
    <w:uiPriority w:val="0"/>
    <w:pPr>
      <w:spacing w:line="320" w:lineRule="exact"/>
      <w:jc w:val="center"/>
    </w:pPr>
    <w:rPr>
      <w:rFonts w:ascii="Times New Roman" w:hAnsi="Times New Roman" w:eastAsia="宋体" w:cs="Times New Roman"/>
      <w:kern w:val="2"/>
      <w:sz w:val="21"/>
      <w:szCs w:val="21"/>
      <w:lang w:val="en-US" w:eastAsia="zh-CN" w:bidi="ar-SA"/>
    </w:rPr>
  </w:style>
  <w:style w:type="character" w:customStyle="1" w:styleId="27">
    <w:name w:val="表格 字符"/>
    <w:basedOn w:val="23"/>
    <w:link w:val="26"/>
    <w:autoRedefine/>
    <w:qFormat/>
    <w:uiPriority w:val="0"/>
    <w:rPr>
      <w:rFonts w:ascii="Times New Roman" w:hAnsi="Times New Roman" w:eastAsia="宋体" w:cs="Times New Roman"/>
    </w:rPr>
  </w:style>
  <w:style w:type="paragraph" w:customStyle="1" w:styleId="28">
    <w:name w:val="表头"/>
    <w:basedOn w:val="1"/>
    <w:link w:val="29"/>
    <w:autoRedefine/>
    <w:qFormat/>
    <w:uiPriority w:val="0"/>
    <w:pPr>
      <w:spacing w:line="320" w:lineRule="exact"/>
      <w:ind w:firstLine="0" w:firstLineChars="0"/>
    </w:pPr>
    <w:rPr>
      <w:b/>
      <w:bCs/>
      <w:kern w:val="0"/>
      <w:sz w:val="21"/>
    </w:rPr>
  </w:style>
  <w:style w:type="character" w:customStyle="1" w:styleId="29">
    <w:name w:val="表头 字符"/>
    <w:basedOn w:val="23"/>
    <w:link w:val="28"/>
    <w:autoRedefine/>
    <w:qFormat/>
    <w:uiPriority w:val="0"/>
    <w:rPr>
      <w:rFonts w:ascii="Times New Roman" w:hAnsi="Times New Roman" w:eastAsia="宋体"/>
      <w:b/>
      <w:bCs/>
      <w:kern w:val="0"/>
    </w:rPr>
  </w:style>
  <w:style w:type="character" w:customStyle="1" w:styleId="30">
    <w:name w:val="标题 1 字符"/>
    <w:basedOn w:val="23"/>
    <w:link w:val="2"/>
    <w:autoRedefine/>
    <w:qFormat/>
    <w:uiPriority w:val="99"/>
    <w:rPr>
      <w:rFonts w:ascii="Times New Roman" w:hAnsi="Times New Roman" w:eastAsia="黑体"/>
      <w:b/>
      <w:bCs/>
      <w:kern w:val="44"/>
      <w:sz w:val="30"/>
      <w:szCs w:val="44"/>
    </w:rPr>
  </w:style>
  <w:style w:type="character" w:customStyle="1" w:styleId="31">
    <w:name w:val="标题 2 字符"/>
    <w:basedOn w:val="23"/>
    <w:link w:val="3"/>
    <w:autoRedefine/>
    <w:qFormat/>
    <w:uiPriority w:val="99"/>
    <w:rPr>
      <w:rFonts w:ascii="Times New Roman" w:hAnsi="Times New Roman" w:eastAsia="宋体" w:cstheme="majorBidi"/>
      <w:b/>
      <w:sz w:val="30"/>
      <w:szCs w:val="32"/>
    </w:rPr>
  </w:style>
  <w:style w:type="character" w:customStyle="1" w:styleId="32">
    <w:name w:val="标题 3 字符"/>
    <w:basedOn w:val="23"/>
    <w:link w:val="4"/>
    <w:autoRedefine/>
    <w:qFormat/>
    <w:uiPriority w:val="99"/>
    <w:rPr>
      <w:rFonts w:ascii="Times New Roman" w:hAnsi="Times New Roman" w:eastAsia="宋体"/>
      <w:b/>
      <w:bCs/>
      <w:sz w:val="28"/>
      <w:szCs w:val="32"/>
    </w:rPr>
  </w:style>
  <w:style w:type="table" w:customStyle="1" w:styleId="33">
    <w:name w:val="表格123"/>
    <w:basedOn w:val="21"/>
    <w:autoRedefine/>
    <w:qFormat/>
    <w:uiPriority w:val="99"/>
    <w:rPr>
      <w:rFonts w:eastAsia="Times New Roman"/>
    </w:rPr>
    <w:tblPr>
      <w:jc w:val="center"/>
      <w:tblBorders>
        <w:top w:val="single" w:color="auto" w:sz="12" w:space="0"/>
        <w:bottom w:val="single" w:color="auto" w:sz="12" w:space="0"/>
        <w:insideH w:val="single" w:color="auto" w:sz="4" w:space="0"/>
        <w:insideV w:val="single" w:color="auto" w:sz="4" w:space="0"/>
      </w:tblBorders>
      <w:tblCellMar>
        <w:left w:w="28" w:type="dxa"/>
        <w:right w:w="28" w:type="dxa"/>
      </w:tblCellMar>
    </w:tblPr>
    <w:trPr>
      <w:jc w:val="center"/>
    </w:trPr>
    <w:tcPr>
      <w:vAlign w:val="center"/>
    </w:tcPr>
  </w:style>
  <w:style w:type="character" w:customStyle="1" w:styleId="34">
    <w:name w:val="标题 4 字符"/>
    <w:basedOn w:val="23"/>
    <w:link w:val="5"/>
    <w:autoRedefine/>
    <w:semiHidden/>
    <w:qFormat/>
    <w:uiPriority w:val="9"/>
    <w:rPr>
      <w:rFonts w:asciiTheme="majorHAnsi" w:hAnsiTheme="majorHAnsi" w:eastAsiaTheme="majorEastAsia" w:cstheme="majorBidi"/>
      <w:b/>
      <w:bCs/>
      <w:sz w:val="28"/>
      <w:szCs w:val="28"/>
    </w:rPr>
  </w:style>
  <w:style w:type="character" w:customStyle="1" w:styleId="35">
    <w:name w:val="页眉 字符"/>
    <w:basedOn w:val="23"/>
    <w:link w:val="14"/>
    <w:autoRedefine/>
    <w:qFormat/>
    <w:uiPriority w:val="0"/>
    <w:rPr>
      <w:rFonts w:eastAsia="宋体"/>
      <w:sz w:val="18"/>
      <w:szCs w:val="18"/>
    </w:rPr>
  </w:style>
  <w:style w:type="character" w:customStyle="1" w:styleId="36">
    <w:name w:val="页脚 字符"/>
    <w:basedOn w:val="23"/>
    <w:link w:val="13"/>
    <w:autoRedefine/>
    <w:qFormat/>
    <w:uiPriority w:val="99"/>
    <w:rPr>
      <w:rFonts w:ascii="Times New Roman" w:hAnsi="Times New Roman" w:eastAsia="宋体"/>
      <w:sz w:val="18"/>
      <w:szCs w:val="18"/>
    </w:rPr>
  </w:style>
  <w:style w:type="paragraph" w:styleId="37">
    <w:name w:val="List Paragraph"/>
    <w:basedOn w:val="1"/>
    <w:autoRedefine/>
    <w:qFormat/>
    <w:uiPriority w:val="34"/>
    <w:pPr>
      <w:ind w:firstLine="420"/>
    </w:pPr>
  </w:style>
  <w:style w:type="character" w:customStyle="1" w:styleId="38">
    <w:name w:val="正文文本缩进 字符"/>
    <w:link w:val="9"/>
    <w:autoRedefine/>
    <w:qFormat/>
    <w:locked/>
    <w:uiPriority w:val="0"/>
    <w:rPr>
      <w:rFonts w:ascii="Times New Roman" w:hAnsi="Times New Roman" w:eastAsia="宋体"/>
      <w:sz w:val="24"/>
    </w:rPr>
  </w:style>
  <w:style w:type="character" w:customStyle="1" w:styleId="39">
    <w:name w:val="正文文本缩进 字符1"/>
    <w:basedOn w:val="23"/>
    <w:autoRedefine/>
    <w:semiHidden/>
    <w:qFormat/>
    <w:uiPriority w:val="99"/>
    <w:rPr>
      <w:rFonts w:ascii="Times New Roman" w:hAnsi="Times New Roman" w:eastAsia="宋体"/>
      <w:sz w:val="24"/>
    </w:rPr>
  </w:style>
  <w:style w:type="character" w:customStyle="1" w:styleId="40">
    <w:name w:val="正文文本缩进 2 字符"/>
    <w:basedOn w:val="23"/>
    <w:link w:val="11"/>
    <w:autoRedefine/>
    <w:semiHidden/>
    <w:qFormat/>
    <w:uiPriority w:val="99"/>
    <w:rPr>
      <w:rFonts w:ascii="Times New Roman" w:hAnsi="Times New Roman" w:eastAsia="宋体"/>
      <w:sz w:val="24"/>
    </w:rPr>
  </w:style>
  <w:style w:type="character" w:customStyle="1" w:styleId="41">
    <w:name w:val="正文文本首行缩进 2 字符"/>
    <w:basedOn w:val="38"/>
    <w:link w:val="20"/>
    <w:autoRedefine/>
    <w:semiHidden/>
    <w:qFormat/>
    <w:uiPriority w:val="99"/>
    <w:rPr>
      <w:rFonts w:ascii="Times New Roman" w:hAnsi="Times New Roman" w:eastAsia="宋体"/>
      <w:sz w:val="24"/>
    </w:rPr>
  </w:style>
  <w:style w:type="character" w:customStyle="1" w:styleId="42">
    <w:name w:val="普通(网站) 字符"/>
    <w:link w:val="17"/>
    <w:autoRedefine/>
    <w:qFormat/>
    <w:locked/>
    <w:uiPriority w:val="0"/>
    <w:rPr>
      <w:rFonts w:ascii="宋体" w:hAnsi="宋体"/>
      <w:sz w:val="24"/>
    </w:rPr>
  </w:style>
  <w:style w:type="paragraph" w:customStyle="1" w:styleId="43">
    <w:name w:val="Char Char1 Char"/>
    <w:basedOn w:val="1"/>
    <w:autoRedefine/>
    <w:qFormat/>
    <w:uiPriority w:val="0"/>
    <w:pPr>
      <w:widowControl/>
      <w:spacing w:line="360" w:lineRule="auto"/>
      <w:jc w:val="left"/>
    </w:pPr>
    <w:rPr>
      <w:rFonts w:ascii="宋体" w:hAnsi="宋体" w:cs="宋体"/>
      <w:color w:val="000000"/>
      <w:kern w:val="0"/>
      <w:sz w:val="20"/>
      <w:szCs w:val="24"/>
    </w:rPr>
  </w:style>
  <w:style w:type="character" w:customStyle="1" w:styleId="44">
    <w:name w:val="批注文字 字符"/>
    <w:basedOn w:val="23"/>
    <w:link w:val="7"/>
    <w:autoRedefine/>
    <w:semiHidden/>
    <w:qFormat/>
    <w:uiPriority w:val="99"/>
    <w:rPr>
      <w:rFonts w:ascii="Times New Roman" w:hAnsi="Times New Roman" w:eastAsia="宋体"/>
      <w:sz w:val="24"/>
    </w:rPr>
  </w:style>
  <w:style w:type="character" w:customStyle="1" w:styleId="45">
    <w:name w:val="批注主题 字符"/>
    <w:basedOn w:val="44"/>
    <w:link w:val="18"/>
    <w:autoRedefine/>
    <w:semiHidden/>
    <w:qFormat/>
    <w:uiPriority w:val="99"/>
    <w:rPr>
      <w:rFonts w:ascii="Times New Roman" w:hAnsi="Times New Roman" w:eastAsia="宋体"/>
      <w:b/>
      <w:bCs/>
      <w:sz w:val="24"/>
    </w:rPr>
  </w:style>
  <w:style w:type="character" w:styleId="46">
    <w:name w:val="Placeholder Text"/>
    <w:basedOn w:val="23"/>
    <w:autoRedefine/>
    <w:semiHidden/>
    <w:qFormat/>
    <w:uiPriority w:val="99"/>
    <w:rPr>
      <w:color w:val="808080"/>
    </w:rPr>
  </w:style>
  <w:style w:type="table" w:customStyle="1" w:styleId="47">
    <w:name w:val="表格1231"/>
    <w:basedOn w:val="21"/>
    <w:autoRedefine/>
    <w:qFormat/>
    <w:uiPriority w:val="99"/>
    <w:rPr>
      <w:rFonts w:eastAsia="Times New Roman"/>
    </w:rPr>
    <w:tblPr>
      <w:jc w:val="center"/>
      <w:tblBorders>
        <w:top w:val="single" w:color="auto" w:sz="12" w:space="0"/>
        <w:bottom w:val="single" w:color="auto" w:sz="12" w:space="0"/>
        <w:insideH w:val="single" w:color="auto" w:sz="4" w:space="0"/>
        <w:insideV w:val="single" w:color="auto" w:sz="4" w:space="0"/>
      </w:tblBorders>
      <w:tblCellMar>
        <w:left w:w="28" w:type="dxa"/>
        <w:right w:w="28" w:type="dxa"/>
      </w:tblCellMar>
    </w:tblPr>
    <w:trPr>
      <w:jc w:val="center"/>
    </w:trPr>
    <w:tcPr>
      <w:vAlign w:val="center"/>
    </w:tcPr>
  </w:style>
  <w:style w:type="paragraph" w:customStyle="1" w:styleId="48">
    <w:name w:val="Char Char1 Char1"/>
    <w:basedOn w:val="1"/>
    <w:autoRedefine/>
    <w:qFormat/>
    <w:uiPriority w:val="0"/>
    <w:pPr>
      <w:widowControl/>
      <w:spacing w:line="360" w:lineRule="auto"/>
      <w:jc w:val="left"/>
    </w:pPr>
    <w:rPr>
      <w:rFonts w:ascii="宋体" w:hAnsi="宋体" w:cs="宋体"/>
      <w:color w:val="000000"/>
      <w:kern w:val="0"/>
      <w:sz w:val="20"/>
      <w:szCs w:val="24"/>
    </w:rPr>
  </w:style>
  <w:style w:type="character" w:customStyle="1" w:styleId="49">
    <w:name w:val="批注框文本 字符"/>
    <w:basedOn w:val="23"/>
    <w:link w:val="12"/>
    <w:autoRedefine/>
    <w:semiHidden/>
    <w:qFormat/>
    <w:uiPriority w:val="99"/>
    <w:rPr>
      <w:rFonts w:ascii="Times New Roman" w:hAnsi="Times New Roman" w:eastAsia="宋体"/>
      <w:sz w:val="18"/>
      <w:szCs w:val="18"/>
    </w:rPr>
  </w:style>
  <w:style w:type="paragraph" w:customStyle="1" w:styleId="50">
    <w:name w:val="样式 样式 首行缩进:  0.85 厘米 + 首行缩进:  2 字符"/>
    <w:basedOn w:val="1"/>
    <w:autoRedefine/>
    <w:qFormat/>
    <w:uiPriority w:val="0"/>
    <w:pPr>
      <w:spacing w:line="240" w:lineRule="auto"/>
    </w:pPr>
    <w:rPr>
      <w:rFonts w:ascii="Courier New" w:hAnsi="Courier New" w:eastAsia="仿宋_GB2312" w:cs="仿宋_GB2312"/>
      <w:szCs w:val="20"/>
    </w:rPr>
  </w:style>
  <w:style w:type="paragraph" w:customStyle="1" w:styleId="51">
    <w:name w:val="00"/>
    <w:basedOn w:val="1"/>
    <w:autoRedefine/>
    <w:qFormat/>
    <w:uiPriority w:val="0"/>
    <w:pPr>
      <w:spacing w:line="520" w:lineRule="exact"/>
    </w:pPr>
    <w:rPr>
      <w:rFonts w:ascii="宋体" w:hAnsi="宋体" w:cs="宋体"/>
      <w:szCs w:val="20"/>
    </w:rPr>
  </w:style>
  <w:style w:type="paragraph" w:customStyle="1" w:styleId="52">
    <w:name w:val="[1]正文"/>
    <w:basedOn w:val="1"/>
    <w:autoRedefine/>
    <w:qFormat/>
    <w:uiPriority w:val="0"/>
    <w:pPr>
      <w:autoSpaceDE w:val="0"/>
      <w:autoSpaceDN w:val="0"/>
    </w:pPr>
    <w:rPr>
      <w:rFonts w:cs="Times New Roman"/>
      <w:color w:val="000000"/>
      <w:kern w:val="0"/>
      <w:sz w:val="21"/>
      <w:szCs w:val="24"/>
      <w:lang w:val="zh-CN"/>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41"/>
    <w:autoRedefine/>
    <w:qFormat/>
    <w:uiPriority w:val="0"/>
    <w:rPr>
      <w:rFonts w:ascii="Arial Unicode MS" w:hAnsi="Arial Unicode MS" w:eastAsia="Arial Unicode MS" w:cs="Arial Unicode MS"/>
      <w:color w:val="000000"/>
      <w:sz w:val="22"/>
      <w:szCs w:val="22"/>
      <w:u w:val="none"/>
    </w:rPr>
  </w:style>
  <w:style w:type="paragraph" w:customStyle="1" w:styleId="55">
    <w:name w:val="Default"/>
    <w:basedOn w:val="1"/>
    <w:next w:val="1"/>
    <w:autoRedefine/>
    <w:qFormat/>
    <w:uiPriority w:val="0"/>
    <w:pPr>
      <w:autoSpaceDE w:val="0"/>
      <w:autoSpaceDN w:val="0"/>
      <w:adjustRightInd w:val="0"/>
      <w:ind w:firstLine="0" w:firstLineChars="0"/>
      <w:jc w:val="left"/>
      <w:outlineLvl w:val="3"/>
    </w:pPr>
    <w:rPr>
      <w:rFonts w:ascii="宋体" w:eastAsia="仿宋_GB2312" w:cs="宋体"/>
      <w:b/>
      <w:color w:val="000000"/>
      <w:szCs w:val="24"/>
    </w:rPr>
  </w:style>
  <w:style w:type="paragraph" w:customStyle="1" w:styleId="56">
    <w:name w:val="默认段落字体 Para Char Char Char Char"/>
    <w:basedOn w:val="1"/>
    <w:autoRedefine/>
    <w:qFormat/>
    <w:uiPriority w:val="0"/>
    <w:pPr>
      <w:spacing w:line="240" w:lineRule="auto"/>
      <w:ind w:firstLine="0" w:firstLineChars="0"/>
    </w:pPr>
    <w:rPr>
      <w:rFonts w:cs="Times New Roman"/>
      <w:sz w:val="28"/>
      <w:szCs w:val="20"/>
    </w:rPr>
  </w:style>
  <w:style w:type="paragraph" w:styleId="57">
    <w:name w:val="No Spacing"/>
    <w:autoRedefine/>
    <w:qFormat/>
    <w:uiPriority w:val="1"/>
    <w:pPr>
      <w:widowControl w:val="0"/>
    </w:pPr>
    <w:rPr>
      <w:rFonts w:ascii="Times New Roman" w:hAnsi="Times New Roman" w:eastAsia="宋体" w:cs="Times New Roman"/>
      <w:kern w:val="2"/>
      <w:sz w:val="24"/>
      <w:szCs w:val="24"/>
      <w:lang w:val="en-US" w:eastAsia="zh-CN" w:bidi="ar-SA"/>
    </w:rPr>
  </w:style>
  <w:style w:type="character" w:customStyle="1" w:styleId="58">
    <w:name w:val="fontstyle01"/>
    <w:autoRedefine/>
    <w:qFormat/>
    <w:uiPriority w:val="0"/>
    <w:rPr>
      <w:rFonts w:hint="eastAsia" w:ascii="宋体" w:hAnsi="宋体" w:eastAsia="宋体"/>
      <w:color w:val="000000"/>
      <w:sz w:val="24"/>
      <w:szCs w:val="24"/>
    </w:rPr>
  </w:style>
  <w:style w:type="character" w:customStyle="1" w:styleId="59">
    <w:name w:val="fontstyle21"/>
    <w:basedOn w:val="23"/>
    <w:autoRedefine/>
    <w:qFormat/>
    <w:uiPriority w:val="0"/>
    <w:rPr>
      <w:rFonts w:hint="default" w:ascii="TimesNewRomanPSMT" w:hAnsi="TimesNewRomanPSMT"/>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6.jpeg"/><Relationship Id="rId23" Type="http://schemas.openxmlformats.org/officeDocument/2006/relationships/image" Target="media/image5.png"/><Relationship Id="rId22" Type="http://schemas.openxmlformats.org/officeDocument/2006/relationships/image" Target="media/image4.wmf"/><Relationship Id="rId21" Type="http://schemas.openxmlformats.org/officeDocument/2006/relationships/oleObject" Target="embeddings/oleObject4.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wmf"/><Relationship Id="rId17" Type="http://schemas.openxmlformats.org/officeDocument/2006/relationships/oleObject" Target="embeddings/oleObject2.bin"/><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38AA21-8634-4BF3-8AC0-976D0AFB972B}">
  <ds:schemaRefs/>
</ds:datastoreItem>
</file>

<file path=docProps/app.xml><?xml version="1.0" encoding="utf-8"?>
<Properties xmlns="http://schemas.openxmlformats.org/officeDocument/2006/extended-properties" xmlns:vt="http://schemas.openxmlformats.org/officeDocument/2006/docPropsVTypes">
  <Template>通用模板2.0.dotx</Template>
  <Pages>44</Pages>
  <Words>27636</Words>
  <Characters>31355</Characters>
  <Lines>262</Lines>
  <Paragraphs>74</Paragraphs>
  <TotalTime>28</TotalTime>
  <ScaleCrop>false</ScaleCrop>
  <LinksUpToDate>false</LinksUpToDate>
  <CharactersWithSpaces>31534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2023-04-11T13:25:00Z</dcterms:created>
  <dc:creator>小小白</dc:creator>
  <cp:lastModifiedBy>123</cp:lastModifiedBy>
  <cp:lastPrinted>2021-04-20T03:27:00Z</cp:lastPrinted>
  <dcterms:modified xsi:type="dcterms:W3CDTF">2024-01-04T15:06:31Z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4B02EB9039E24EC2AAF52CD3437C3929</vt:lpwstr>
  </property>
</Properties>
</file>