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15" w:lineRule="atLeast"/>
        <w:ind w:left="0" w:right="0"/>
        <w:jc w:val="center"/>
        <w:rPr>
          <w:rFonts w:hint="eastAsia" w:ascii="黑体" w:hAnsi="黑体" w:eastAsia="黑体" w:cs="黑体"/>
          <w:sz w:val="44"/>
          <w:szCs w:val="44"/>
          <w:shd w:val="clear" w:fill="F9F9F9"/>
        </w:rPr>
      </w:pPr>
      <w:r>
        <w:rPr>
          <w:rFonts w:hint="eastAsia" w:ascii="黑体" w:hAnsi="黑体" w:eastAsia="黑体" w:cs="黑体"/>
          <w:sz w:val="44"/>
          <w:szCs w:val="44"/>
          <w:shd w:val="clear" w:fill="F9F9F9"/>
        </w:rPr>
        <w:t>鲁山县</w:t>
      </w:r>
      <w:r>
        <w:rPr>
          <w:rFonts w:hint="eastAsia" w:ascii="黑体" w:hAnsi="黑体" w:eastAsia="黑体" w:cs="黑体"/>
          <w:sz w:val="44"/>
          <w:szCs w:val="44"/>
          <w:shd w:val="clear" w:fill="F9F9F9"/>
          <w:lang w:val="en-US" w:eastAsia="zh-CN"/>
        </w:rPr>
        <w:t>住房和城乡建设</w:t>
      </w:r>
      <w:r>
        <w:rPr>
          <w:rFonts w:hint="eastAsia" w:ascii="黑体" w:hAnsi="黑体" w:eastAsia="黑体" w:cs="黑体"/>
          <w:sz w:val="44"/>
          <w:szCs w:val="44"/>
          <w:shd w:val="clear" w:fill="F9F9F9"/>
        </w:rPr>
        <w:t>局关于</w:t>
      </w:r>
      <w:r>
        <w:rPr>
          <w:rFonts w:hint="eastAsia" w:ascii="黑体" w:hAnsi="黑体" w:eastAsia="黑体" w:cs="黑体"/>
          <w:sz w:val="44"/>
          <w:szCs w:val="44"/>
          <w:shd w:val="clear" w:fill="F9F9F9"/>
          <w:lang w:val="en-US" w:eastAsia="zh-CN"/>
        </w:rPr>
        <w:t>安全港湾公共停车场</w:t>
      </w:r>
      <w:r>
        <w:rPr>
          <w:rFonts w:hint="eastAsia" w:ascii="黑体" w:hAnsi="黑体" w:eastAsia="黑体" w:cs="黑体"/>
          <w:sz w:val="44"/>
          <w:szCs w:val="44"/>
          <w:shd w:val="clear" w:fill="F9F9F9"/>
        </w:rPr>
        <w:t xml:space="preserve">项目地方政府债券存续期情况 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>债券资金总体情况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9F9F9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截至2023年底，安全港湾公共停车场项目共申请专项债券1700万元,实际批复到位资金1700万元，年限15年。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>专项债券项目基本情况</w:t>
      </w: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>（一）项目基本情况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本项目总占地面积 18695.98 ㎡（合 28.04 亩），建设内容主要为 3 处城市公共停车场，全部为地面停车场，共规划 548 个机动车停车位，包括 170 个充电停车位及 13 个无障碍车位，广告屏 32 块。项目主要建设内容包括场平工程、土建工程、装修工程、电气工程、给排水工程、消防工程、管网工程、弱电工程、配套设施等相关配套工程。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一、钢厂路与望城路城市公共停车场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该停车场位于钢厂路以西，望城路以南，用地面积 8847 平方米，本项目拟建地上停车场，总建筑面积约 962.33 平方米，包括服务物管用房 300 ㎡、配电室 80 ㎡、共享自助洗车房 502.33 ㎡、公厕 80 ㎡等配套设施。绿化面积 2654.1㎡，绿化率 30%，配置以草坪和乔、灌木为主。停车面积 5230.57 ㎡，规划机动车停车位 263 个（其中普通停车位 196 个，充电停车位 62 个，无障碍停车位 5个），设置广告屏 10 块。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二、尧山大道与花园路交叉口东南城市公共停车场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该停车场位于尧山大道与花园路交叉口东南角，占地总面积5858.45平方米，本项目拟建地上停车场，总建筑面积约 864.46 平方米，包括服务物管用房 200㎡、配电室 80 ㎡、共享自助洗车房 504.46 ㎡、公厕 80 ㎡等配套设施。绿化面积 1478.92 ㎡，绿化率 25%，配置以草坪和乔、灌木为主。停车面积 3515.07 ㎡，规划机动车停车位 164 个（其中普通停车位 93 个，充电停车位 66 个，无障碍停车位 5 个），设置广告屏 12 块。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三、安康路与鲁阳路交叉口东北城市公共停车场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该停车场位于安康路与鲁阳路交叉口东北角，占地总面积 3990.53 平方米，地块规划为停车场用地，总建筑面积 466.48 ㎡，包括服务物管用房 100 ㎡、配电室 80 ㎡、共享自助洗车房 206.48 ㎡、公厕 80 ㎡等配套设施等配套设施。绿化面积 930.21 ㎡，绿化率 23%，配置以草坪和乔、灌木为主。停车面积 2593.84㎡，规划机动车停车位 121 个（其中普通停车位 76 个，充电停车位 42 个，无障碍停车位 3 个），设置广告屏 10 块。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安全港湾公共停车场项目总投资估算为3500万元。拟申请政府专项债券资金 1700万元，剩余部分资金由县财政配套解决。</w:t>
      </w:r>
    </w:p>
    <w:p>
      <w:pPr>
        <w:numPr>
          <w:ilvl w:val="0"/>
          <w:numId w:val="2"/>
        </w:numPr>
        <w:ind w:leftChars="0"/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>债券资金使用情况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截止2023年12月31日，项目专项债资金已使用2万元，使用率为0.11%。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>项目进展及运营情况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目前该项目已完成县规委会审议，正在办理建设用地规划许可证。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>专项债券项目收益及对应资产情况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 xml:space="preserve"> 截止2023年底，该项目还未建成产生收益，所支付的资金全部纳入在建工程。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>绩效评价情况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 xml:space="preserve"> 本单位政府债券已按规定开展绩效评价工作，安全港湾公共停车场项目绩效评价结果为良。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</w:p>
    <w:p>
      <w:pPr>
        <w:numPr>
          <w:ilvl w:val="0"/>
          <w:numId w:val="0"/>
        </w:numPr>
        <w:ind w:leftChars="0"/>
        <w:jc w:val="right"/>
        <w:rPr>
          <w:rFonts w:hint="default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2024年6月13日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2A3CE0"/>
    <w:multiLevelType w:val="singleLevel"/>
    <w:tmpl w:val="0E2A3CE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8B18514"/>
    <w:multiLevelType w:val="singleLevel"/>
    <w:tmpl w:val="18B185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g4NzA4ZmUzM2E2Zjg4MTFjYzQxZTc5NjE5N2QifQ=="/>
  </w:docVars>
  <w:rsids>
    <w:rsidRoot w:val="00000000"/>
    <w:rsid w:val="08922A93"/>
    <w:rsid w:val="2990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1031</Words>
  <Characters>1189</Characters>
  <Lines>0</Lines>
  <Paragraphs>0</Paragraphs>
  <TotalTime>29</TotalTime>
  <ScaleCrop>false</ScaleCrop>
  <LinksUpToDate>false</LinksUpToDate>
  <CharactersWithSpaces>1293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2024-06-11T07:17:00Z</dcterms:created>
  <dc:creator>Administrator.2013-20160415JL</dc:creator>
  <cp:lastModifiedBy>奇石</cp:lastModifiedBy>
  <dcterms:modified xsi:type="dcterms:W3CDTF">2024-06-13T02:39:58Z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E1A5A19C8A0D416FA0E46AF9C2F5CB6C_12</vt:lpwstr>
  </property>
</Properties>
</file>