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shd w:val="clear" w:fill="F9F9F9"/>
        </w:rPr>
      </w:pPr>
      <w:r>
        <w:rPr>
          <w:rFonts w:hint="eastAsia" w:ascii="黑体" w:hAnsi="黑体" w:eastAsia="黑体" w:cs="黑体"/>
          <w:sz w:val="44"/>
          <w:szCs w:val="44"/>
          <w:shd w:val="clear" w:fill="F9F9F9"/>
        </w:rPr>
        <w:t>鲁山县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住房和城乡建设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>局关于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北环路道路建设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 xml:space="preserve">项目地方政府债券存续期情况 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债券资金总体情况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截至2023年底，北环路道路建设项目发债金额为4300万元。2021年发行2300万元，2022年发行1000万元，2023年发行1000万。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一般债券项目基本情况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（一）项目基本情况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北环路规划为东西向城市主干路，西超三里河转盛，沿原311国道向东北经钢厂路、墨公路至振兴路，继续向东至染张路张飞沟桥。道路总长6500m，红线宽度为40m，路面结构为沥青混凝土路面。建设内容包含道路、交通、雨水、污水、绿化、照明及桥涵等工程。其中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1、道路工程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新建沥青混凝土机动车道 13650.00 m，改建沥青混凝土机动车道70460.00 m²，改建水泥混凝土机动车道14040.00 m²，新建非机动车道 76440.00m，新建人行道 63700.00m²。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2、交通工程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设置车行道信号灯12套，人行道信号灯24套，新建护栏 12350. 00m，同时完善沿线道路标志标线设施。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3、绿化工程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新建树池及行道树2600 套，绿化隔离带19110.00 m。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4、雨水工程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敷没雨水管 15000.00 m，雨水松査井 476 座，雨水口 520座。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5、污水工程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敷没汚水管14040.00 m，污水检査井 526座。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6、照明工程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设置箱变4 座，路灯 520 套，投光灯76套。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7、桥涵工程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建设桥梁2座，涵洞15 座。</w:t>
      </w:r>
    </w:p>
    <w:p>
      <w:pPr>
        <w:numPr>
          <w:ilvl w:val="0"/>
          <w:numId w:val="2"/>
        </w:numPr>
        <w:ind w:left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债券资金使用情况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C00000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截止2023年12月31日，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shd w:val="clear" w:fill="F9F9F9"/>
          <w:lang w:val="en-US" w:eastAsia="zh-CN"/>
        </w:rPr>
        <w:t>项目专项债资金已使用1769.5万元，使用率为41%。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项目进展及运营情况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截至目前为止该段共完成如下建设内容：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K0+400~K0+860段机动车道和非机动车道路基砂砾石换填全部工作，总长度为460米；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K0+400~K0+860段雨水集水井砌筑32座；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K0+000~K1+400段左侧电力线杆栽植和线路敷设工作；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K0+069处板涵基槽开挖完成；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一般债券项目收益及对应资产情况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截止2022年底，该项目还未建成产生收益，所支付的资金全部纳入在建工程。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绩效评价情况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本单位政府债券已按规定开展绩效评价工作，北环路道路建设项目绩效评价结果为良。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2024年6月13日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3CE0"/>
    <w:multiLevelType w:val="singleLevel"/>
    <w:tmpl w:val="0E2A3C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B18514"/>
    <w:multiLevelType w:val="singleLevel"/>
    <w:tmpl w:val="18B185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g4NzA4ZmUzM2E2Zjg4MTFjYzQxZTc5NjE5N2QifQ=="/>
  </w:docVars>
  <w:rsids>
    <w:rsidRoot w:val="00000000"/>
    <w:rsid w:val="24387207"/>
    <w:rsid w:val="252A43B8"/>
    <w:rsid w:val="2BB824C9"/>
    <w:rsid w:val="34CA7642"/>
    <w:rsid w:val="3CB10962"/>
    <w:rsid w:val="4D5735A6"/>
    <w:rsid w:val="63923CD4"/>
    <w:rsid w:val="765D3A06"/>
    <w:rsid w:val="7975118C"/>
    <w:rsid w:val="79C1248A"/>
    <w:rsid w:val="7F8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864</Characters>
  <Lines>0</Lines>
  <Paragraphs>0</Paragraphs>
  <TotalTime>2028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2023-06-16T09:58:00Z</dcterms:created>
  <dc:creator>Administrator</dc:creator>
  <cp:lastModifiedBy>奇石</cp:lastModifiedBy>
  <cp:lastPrinted>2024-06-12T09:09:00Z</cp:lastPrinted>
  <dcterms:modified xsi:type="dcterms:W3CDTF">2024-06-13T02:40:14Z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7E2AB90C21A94307AA9E05A1725101FF_13</vt:lpwstr>
  </property>
</Properties>
</file>