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15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shd w:val="clear" w:fill="F9F9F9"/>
        </w:rPr>
      </w:pPr>
      <w:r>
        <w:rPr>
          <w:rFonts w:hint="eastAsia" w:ascii="黑体" w:hAnsi="黑体" w:eastAsia="黑体" w:cs="黑体"/>
          <w:sz w:val="44"/>
          <w:szCs w:val="44"/>
          <w:shd w:val="clear" w:fill="F9F9F9"/>
        </w:rPr>
        <w:t>鲁山县</w:t>
      </w:r>
      <w:r>
        <w:rPr>
          <w:rFonts w:hint="eastAsia" w:ascii="黑体" w:hAnsi="黑体" w:eastAsia="黑体" w:cs="黑体"/>
          <w:sz w:val="44"/>
          <w:szCs w:val="44"/>
          <w:shd w:val="clear" w:fill="F9F9F9"/>
          <w:lang w:val="en-US" w:eastAsia="zh-CN"/>
        </w:rPr>
        <w:t>住房和城乡建设</w:t>
      </w:r>
      <w:r>
        <w:rPr>
          <w:rFonts w:hint="eastAsia" w:ascii="黑体" w:hAnsi="黑体" w:eastAsia="黑体" w:cs="黑体"/>
          <w:sz w:val="44"/>
          <w:szCs w:val="44"/>
          <w:shd w:val="clear" w:fill="F9F9F9"/>
        </w:rPr>
        <w:t>局关于</w:t>
      </w:r>
      <w:r>
        <w:rPr>
          <w:rFonts w:hint="eastAsia" w:ascii="黑体" w:hAnsi="黑体" w:eastAsia="黑体" w:cs="黑体"/>
          <w:sz w:val="44"/>
          <w:szCs w:val="44"/>
          <w:shd w:val="clear" w:fill="F9F9F9"/>
          <w:lang w:val="en-US" w:eastAsia="zh-CN"/>
        </w:rPr>
        <w:t>光明路道路建设工程</w:t>
      </w:r>
      <w:r>
        <w:rPr>
          <w:rFonts w:hint="eastAsia" w:ascii="黑体" w:hAnsi="黑体" w:eastAsia="黑体" w:cs="黑体"/>
          <w:sz w:val="44"/>
          <w:szCs w:val="44"/>
          <w:shd w:val="clear" w:fill="F9F9F9"/>
        </w:rPr>
        <w:t>项</w:t>
      </w:r>
      <w:r>
        <w:rPr>
          <w:rFonts w:hint="eastAsia" w:ascii="黑体" w:hAnsi="黑体" w:eastAsia="黑体" w:cs="黑体"/>
          <w:sz w:val="44"/>
          <w:szCs w:val="44"/>
          <w:shd w:val="clear" w:fill="F9F9F9"/>
          <w:lang w:eastAsia="zh-CN"/>
        </w:rPr>
        <w:t>目</w:t>
      </w:r>
      <w:r>
        <w:rPr>
          <w:rFonts w:hint="eastAsia" w:ascii="黑体" w:hAnsi="黑体" w:eastAsia="黑体" w:cs="黑体"/>
          <w:sz w:val="44"/>
          <w:szCs w:val="44"/>
          <w:shd w:val="clear" w:fill="F9F9F9"/>
        </w:rPr>
        <w:t xml:space="preserve">地方政府债券存续期情况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债券资金总体情况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9F9F9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截至2023年底，光明路道路建设工程项目发债金额为1000万元。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专项债券项目基本情况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default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（一）项目基本情况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 xml:space="preserve">  明路道路工程。北起人民路，南至中州路，全长442.15米，规划设计道路红线宽36米。建设内容包括道路、雨水、污水和照明灯等多项工程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债券资金使用情况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截止2023年12月31日，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9F9F9"/>
          <w:lang w:val="en-US" w:eastAsia="zh-CN"/>
        </w:rPr>
        <w:t>项目专项债资金已使用620万元，使用率为62%。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项目进展及运营情况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目前二标段已经竣工并投入使用。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一般债券项目收益及对应资产情况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 xml:space="preserve"> 截止2023年底，所支付的资金全部纳入在建工程，无收益。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绩效评价情况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default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 xml:space="preserve"> 本单位政府债券已按规定开展绩效评价工作，光明路道路建设工程项目绩效评价结果为良。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2024年6月13日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2A3CE0"/>
    <w:multiLevelType w:val="singleLevel"/>
    <w:tmpl w:val="0E2A3CE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8B18514"/>
    <w:multiLevelType w:val="singleLevel"/>
    <w:tmpl w:val="18B185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g4NzA4ZmUzM2E2Zjg4MTFjYzQxZTc5NjE5N2QifQ=="/>
  </w:docVars>
  <w:rsids>
    <w:rsidRoot w:val="00000000"/>
    <w:rsid w:val="0389342A"/>
    <w:rsid w:val="25F25551"/>
    <w:rsid w:val="34CA7642"/>
    <w:rsid w:val="354A6761"/>
    <w:rsid w:val="3CB10962"/>
    <w:rsid w:val="47187613"/>
    <w:rsid w:val="48CA33FC"/>
    <w:rsid w:val="6AA56218"/>
    <w:rsid w:val="74745B57"/>
    <w:rsid w:val="79C1248A"/>
    <w:rsid w:val="7BE70262"/>
    <w:rsid w:val="7F86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318</Characters>
  <Lines>0</Lines>
  <Paragraphs>0</Paragraphs>
  <TotalTime>136</TotalTime>
  <ScaleCrop>false</ScaleCrop>
  <LinksUpToDate>false</LinksUpToDate>
  <CharactersWithSpaces>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2023-06-16T09:58:00Z</dcterms:created>
  <dc:creator>Administrator</dc:creator>
  <cp:lastModifiedBy>奇石</cp:lastModifiedBy>
  <dcterms:modified xsi:type="dcterms:W3CDTF">2024-06-13T02:40:59Z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A0E70E5A6EB64B51B5774996C221B5D6_13</vt:lpwstr>
  </property>
</Properties>
</file>