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0" w:firstLineChars="0"/>
        <w:jc w:val="both"/>
        <w:outlineLvl w:val="9"/>
        <w:rPr>
          <w:rFonts w:hint="eastAsia" w:eastAsia="方正小标宋_GBK"/>
          <w:color w:val="auto"/>
          <w:sz w:val="44"/>
          <w:szCs w:val="44"/>
          <w:lang w:val="en-US" w:eastAsia="zh-CN"/>
        </w:rPr>
      </w:pPr>
      <w:r>
        <w:rPr>
          <w:rFonts w:hint="eastAsia" w:eastAsia="方正小标宋_GBK"/>
          <w:color w:val="auto"/>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jc w:val="center"/>
        <w:textAlignment w:val="auto"/>
        <w:outlineLvl w:val="0"/>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关于</w:t>
      </w:r>
      <w:r>
        <w:rPr>
          <w:rFonts w:hint="eastAsia" w:ascii="方正小标宋简体" w:eastAsia="方正小标宋简体"/>
          <w:color w:val="auto"/>
          <w:sz w:val="44"/>
          <w:szCs w:val="44"/>
          <w:highlight w:val="none"/>
          <w:lang w:eastAsia="zh-CN"/>
        </w:rPr>
        <w:t>鲁山县</w:t>
      </w:r>
      <w:r>
        <w:rPr>
          <w:rFonts w:hint="eastAsia" w:ascii="方正小标宋简体" w:eastAsia="方正小标宋简体"/>
          <w:color w:val="auto"/>
          <w:sz w:val="44"/>
          <w:szCs w:val="44"/>
          <w:highlight w:val="none"/>
        </w:rPr>
        <w:t>202</w:t>
      </w:r>
      <w:r>
        <w:rPr>
          <w:rFonts w:hint="eastAsia" w:ascii="方正小标宋简体" w:eastAsia="方正小标宋简体"/>
          <w:color w:val="auto"/>
          <w:sz w:val="44"/>
          <w:szCs w:val="44"/>
          <w:highlight w:val="none"/>
          <w:lang w:val="en-US" w:eastAsia="zh-CN"/>
        </w:rPr>
        <w:t>3</w:t>
      </w:r>
      <w:r>
        <w:rPr>
          <w:rFonts w:hint="eastAsia" w:ascii="方正小标宋简体" w:eastAsia="方正小标宋简体"/>
          <w:color w:val="auto"/>
          <w:sz w:val="44"/>
          <w:szCs w:val="44"/>
          <w:highlight w:val="none"/>
        </w:rPr>
        <w:t>年国民经济和社会发展</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jc w:val="center"/>
        <w:textAlignment w:val="auto"/>
        <w:outlineLvl w:val="0"/>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计划执行情况与202</w:t>
      </w:r>
      <w:r>
        <w:rPr>
          <w:rFonts w:hint="eastAsia" w:ascii="方正小标宋简体" w:eastAsia="方正小标宋简体"/>
          <w:color w:val="auto"/>
          <w:sz w:val="44"/>
          <w:szCs w:val="44"/>
          <w:highlight w:val="none"/>
          <w:lang w:val="en-US" w:eastAsia="zh-CN"/>
        </w:rPr>
        <w:t>4</w:t>
      </w:r>
      <w:r>
        <w:rPr>
          <w:rFonts w:hint="eastAsia" w:ascii="方正小标宋简体" w:eastAsia="方正小标宋简体"/>
          <w:color w:val="auto"/>
          <w:sz w:val="44"/>
          <w:szCs w:val="44"/>
          <w:highlight w:val="none"/>
        </w:rPr>
        <w:t>年计划（草案）的</w:t>
      </w:r>
    </w:p>
    <w:p>
      <w:pPr>
        <w:keepNext w:val="0"/>
        <w:keepLines w:val="0"/>
        <w:pageBreakBefore w:val="0"/>
        <w:widowControl w:val="0"/>
        <w:kinsoku/>
        <w:wordWrap/>
        <w:overflowPunct/>
        <w:topLinePunct w:val="0"/>
        <w:autoSpaceDE/>
        <w:autoSpaceDN/>
        <w:bidi w:val="0"/>
        <w:adjustRightInd/>
        <w:snapToGrid/>
        <w:spacing w:beforeAutospacing="0" w:afterAutospacing="0" w:line="579" w:lineRule="exact"/>
        <w:jc w:val="center"/>
        <w:textAlignment w:val="auto"/>
        <w:outlineLvl w:val="0"/>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报</w:t>
      </w:r>
      <w:r>
        <w:rPr>
          <w:rFonts w:hint="eastAsia" w:ascii="方正小标宋简体" w:eastAsia="方正小标宋简体"/>
          <w:color w:val="auto"/>
          <w:sz w:val="44"/>
          <w:szCs w:val="44"/>
          <w:highlight w:val="none"/>
          <w:lang w:val="en-US" w:eastAsia="zh-CN"/>
        </w:rPr>
        <w:t xml:space="preserve">        </w:t>
      </w:r>
      <w:r>
        <w:rPr>
          <w:rFonts w:hint="eastAsia" w:ascii="方正小标宋简体" w:eastAsia="方正小标宋简体"/>
          <w:color w:val="auto"/>
          <w:sz w:val="44"/>
          <w:szCs w:val="44"/>
          <w:highlight w:val="none"/>
        </w:rPr>
        <w:t>告</w:t>
      </w:r>
    </w:p>
    <w:p>
      <w:pPr>
        <w:keepNext w:val="0"/>
        <w:keepLines w:val="0"/>
        <w:pageBreakBefore w:val="0"/>
        <w:widowControl w:val="0"/>
        <w:kinsoku/>
        <w:wordWrap/>
        <w:overflowPunct/>
        <w:topLinePunct w:val="0"/>
        <w:autoSpaceDE/>
        <w:autoSpaceDN/>
        <w:bidi w:val="0"/>
        <w:adjustRightInd/>
        <w:snapToGrid/>
        <w:spacing w:before="157" w:beforeLines="50" w:line="579" w:lineRule="exact"/>
        <w:jc w:val="center"/>
        <w:textAlignment w:val="auto"/>
        <w:rPr>
          <w:rFonts w:hint="eastAsia" w:ascii="楷体_GB2312" w:eastAsia="楷体_GB2312"/>
          <w:b w:val="0"/>
          <w:bCs w:val="0"/>
          <w:sz w:val="32"/>
          <w:szCs w:val="32"/>
          <w:highlight w:val="none"/>
          <w:lang w:eastAsia="zh-CN"/>
        </w:rPr>
      </w:pPr>
      <w:r>
        <w:rPr>
          <w:rFonts w:hint="eastAsia" w:ascii="黑体" w:hAnsi="黑体" w:eastAsia="黑体"/>
          <w:b w:val="0"/>
          <w:bCs w:val="0"/>
          <w:sz w:val="32"/>
          <w:szCs w:val="32"/>
          <w:highlight w:val="none"/>
        </w:rPr>
        <w:t>——</w:t>
      </w:r>
      <w:r>
        <w:rPr>
          <w:rFonts w:hint="eastAsia" w:ascii="楷体_GB2312" w:eastAsia="楷体_GB2312"/>
          <w:b w:val="0"/>
          <w:bCs w:val="0"/>
          <w:sz w:val="32"/>
          <w:szCs w:val="32"/>
          <w:highlight w:val="none"/>
        </w:rPr>
        <w:t>202</w:t>
      </w:r>
      <w:r>
        <w:rPr>
          <w:rFonts w:hint="eastAsia" w:ascii="楷体_GB2312" w:eastAsia="楷体_GB2312"/>
          <w:b w:val="0"/>
          <w:bCs w:val="0"/>
          <w:sz w:val="32"/>
          <w:szCs w:val="32"/>
          <w:highlight w:val="none"/>
          <w:lang w:val="en-US" w:eastAsia="zh-CN"/>
        </w:rPr>
        <w:t>4</w:t>
      </w:r>
      <w:r>
        <w:rPr>
          <w:rFonts w:hint="eastAsia" w:ascii="楷体_GB2312" w:eastAsia="楷体_GB2312"/>
          <w:b w:val="0"/>
          <w:bCs w:val="0"/>
          <w:sz w:val="32"/>
          <w:szCs w:val="32"/>
          <w:highlight w:val="none"/>
        </w:rPr>
        <w:t>年</w:t>
      </w:r>
      <w:r>
        <w:rPr>
          <w:rFonts w:hint="eastAsia" w:ascii="楷体_GB2312" w:eastAsia="楷体_GB2312"/>
          <w:b w:val="0"/>
          <w:bCs w:val="0"/>
          <w:sz w:val="32"/>
          <w:szCs w:val="32"/>
          <w:highlight w:val="none"/>
          <w:lang w:val="en-US" w:eastAsia="zh-CN"/>
        </w:rPr>
        <w:t>1</w:t>
      </w:r>
      <w:r>
        <w:rPr>
          <w:rFonts w:hint="eastAsia" w:ascii="楷体_GB2312" w:eastAsia="楷体_GB2312"/>
          <w:b w:val="0"/>
          <w:bCs w:val="0"/>
          <w:sz w:val="32"/>
          <w:szCs w:val="32"/>
          <w:highlight w:val="none"/>
        </w:rPr>
        <w:t>月</w:t>
      </w:r>
      <w:r>
        <w:rPr>
          <w:rFonts w:hint="eastAsia" w:ascii="楷体_GB2312" w:eastAsia="楷体_GB2312"/>
          <w:b w:val="0"/>
          <w:bCs w:val="0"/>
          <w:sz w:val="32"/>
          <w:szCs w:val="32"/>
          <w:highlight w:val="none"/>
          <w:lang w:val="en-US" w:eastAsia="zh-CN"/>
        </w:rPr>
        <w:t>23</w:t>
      </w:r>
      <w:r>
        <w:rPr>
          <w:rFonts w:hint="eastAsia" w:ascii="楷体_GB2312" w:eastAsia="楷体_GB2312"/>
          <w:b w:val="0"/>
          <w:bCs w:val="0"/>
          <w:sz w:val="32"/>
          <w:szCs w:val="32"/>
          <w:highlight w:val="none"/>
        </w:rPr>
        <w:t>日在</w:t>
      </w:r>
      <w:r>
        <w:rPr>
          <w:rFonts w:hint="eastAsia" w:ascii="楷体_GB2312" w:eastAsia="楷体_GB2312"/>
          <w:b w:val="0"/>
          <w:bCs w:val="0"/>
          <w:sz w:val="32"/>
          <w:szCs w:val="32"/>
          <w:highlight w:val="none"/>
          <w:lang w:eastAsia="zh-CN"/>
        </w:rPr>
        <w:t>鲁山县</w:t>
      </w:r>
      <w:r>
        <w:rPr>
          <w:rFonts w:hint="eastAsia" w:ascii="楷体_GB2312" w:eastAsia="楷体_GB2312"/>
          <w:b w:val="0"/>
          <w:bCs w:val="0"/>
          <w:sz w:val="32"/>
          <w:szCs w:val="32"/>
          <w:highlight w:val="none"/>
        </w:rPr>
        <w:t>第十</w:t>
      </w:r>
      <w:r>
        <w:rPr>
          <w:rFonts w:hint="eastAsia" w:ascii="楷体_GB2312" w:eastAsia="楷体_GB2312"/>
          <w:b w:val="0"/>
          <w:bCs w:val="0"/>
          <w:sz w:val="32"/>
          <w:szCs w:val="32"/>
          <w:highlight w:val="none"/>
          <w:lang w:eastAsia="zh-CN"/>
        </w:rPr>
        <w:t>六</w:t>
      </w:r>
      <w:r>
        <w:rPr>
          <w:rFonts w:hint="eastAsia" w:ascii="楷体_GB2312" w:eastAsia="楷体_GB2312"/>
          <w:b w:val="0"/>
          <w:bCs w:val="0"/>
          <w:sz w:val="32"/>
          <w:szCs w:val="32"/>
          <w:highlight w:val="none"/>
        </w:rPr>
        <w:t>届人</w:t>
      </w:r>
      <w:r>
        <w:rPr>
          <w:rFonts w:hint="eastAsia" w:ascii="楷体_GB2312" w:eastAsia="楷体_GB2312"/>
          <w:b w:val="0"/>
          <w:bCs w:val="0"/>
          <w:sz w:val="32"/>
          <w:szCs w:val="32"/>
          <w:highlight w:val="none"/>
          <w:lang w:eastAsia="zh-CN"/>
        </w:rPr>
        <w:t>民代表大会</w:t>
      </w:r>
    </w:p>
    <w:p>
      <w:pPr>
        <w:keepNext w:val="0"/>
        <w:keepLines w:val="0"/>
        <w:pageBreakBefore w:val="0"/>
        <w:widowControl w:val="0"/>
        <w:kinsoku/>
        <w:wordWrap/>
        <w:topLinePunct w:val="0"/>
        <w:autoSpaceDE/>
        <w:autoSpaceDN/>
        <w:bidi w:val="0"/>
        <w:adjustRightInd/>
        <w:snapToGrid/>
        <w:spacing w:line="579" w:lineRule="exact"/>
        <w:jc w:val="center"/>
        <w:textAlignment w:val="auto"/>
        <w:outlineLvl w:val="0"/>
        <w:rPr>
          <w:rFonts w:hint="eastAsia" w:ascii="楷体_GB2312" w:eastAsia="楷体_GB2312"/>
          <w:b w:val="0"/>
          <w:bCs w:val="0"/>
          <w:sz w:val="32"/>
          <w:szCs w:val="32"/>
          <w:highlight w:val="none"/>
        </w:rPr>
      </w:pPr>
      <w:r>
        <w:rPr>
          <w:rFonts w:hint="eastAsia" w:ascii="楷体_GB2312" w:eastAsia="楷体_GB2312"/>
          <w:b w:val="0"/>
          <w:bCs w:val="0"/>
          <w:sz w:val="32"/>
          <w:szCs w:val="32"/>
          <w:highlight w:val="none"/>
        </w:rPr>
        <w:t>第</w:t>
      </w:r>
      <w:r>
        <w:rPr>
          <w:rFonts w:hint="eastAsia" w:ascii="楷体_GB2312" w:eastAsia="楷体_GB2312"/>
          <w:b w:val="0"/>
          <w:bCs w:val="0"/>
          <w:sz w:val="32"/>
          <w:szCs w:val="32"/>
          <w:highlight w:val="none"/>
          <w:lang w:val="en-US" w:eastAsia="zh-CN"/>
        </w:rPr>
        <w:t>四</w:t>
      </w:r>
      <w:r>
        <w:rPr>
          <w:rFonts w:hint="eastAsia" w:ascii="楷体_GB2312" w:eastAsia="楷体_GB2312"/>
          <w:b w:val="0"/>
          <w:bCs w:val="0"/>
          <w:sz w:val="32"/>
          <w:szCs w:val="32"/>
          <w:highlight w:val="none"/>
        </w:rPr>
        <w:t>次会议上</w:t>
      </w:r>
    </w:p>
    <w:p>
      <w:pPr>
        <w:keepNext w:val="0"/>
        <w:keepLines w:val="0"/>
        <w:pageBreakBefore w:val="0"/>
        <w:widowControl w:val="0"/>
        <w:kinsoku/>
        <w:wordWrap/>
        <w:overflowPunct/>
        <w:topLinePunct w:val="0"/>
        <w:autoSpaceDN/>
        <w:bidi w:val="0"/>
        <w:adjustRightInd/>
        <w:snapToGrid/>
        <w:spacing w:beforeAutospacing="0" w:afterAutospacing="0" w:line="579" w:lineRule="exact"/>
        <w:jc w:val="center"/>
        <w:textAlignment w:val="auto"/>
        <w:outlineLvl w:val="0"/>
        <w:rPr>
          <w:rFonts w:hint="eastAsia" w:ascii="仿宋_GB2312" w:hAnsi="Times New Roman" w:eastAsia="仿宋_GB2312"/>
          <w:color w:val="auto"/>
          <w:sz w:val="32"/>
          <w:szCs w:val="32"/>
          <w:highlight w:val="none"/>
        </w:rPr>
      </w:pPr>
      <w:r>
        <w:rPr>
          <w:rFonts w:hint="eastAsia" w:ascii="楷体_GB2312" w:eastAsia="楷体_GB2312"/>
          <w:b w:val="0"/>
          <w:bCs w:val="0"/>
          <w:sz w:val="32"/>
          <w:szCs w:val="32"/>
          <w:highlight w:val="none"/>
          <w:lang w:eastAsia="zh-CN"/>
        </w:rPr>
        <w:t>鲁山县</w:t>
      </w:r>
      <w:r>
        <w:rPr>
          <w:rFonts w:hint="eastAsia" w:ascii="楷体_GB2312" w:eastAsia="楷体_GB2312"/>
          <w:b w:val="0"/>
          <w:bCs w:val="0"/>
          <w:sz w:val="32"/>
          <w:szCs w:val="32"/>
          <w:highlight w:val="none"/>
        </w:rPr>
        <w:t>发展和改革委员会</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textAlignment w:val="auto"/>
        <w:outlineLvl w:val="9"/>
        <w:rPr>
          <w:rFonts w:hint="eastAsia" w:ascii="仿宋_GB2312" w:hAnsi="Times New Roman" w:eastAsia="仿宋_GB2312"/>
          <w:color w:val="auto"/>
          <w:sz w:val="32"/>
          <w:szCs w:val="32"/>
          <w:highlight w:val="none"/>
        </w:rPr>
      </w:pP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textAlignment w:val="auto"/>
        <w:outlineLvl w:val="9"/>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各位代表：</w:t>
      </w:r>
    </w:p>
    <w:p>
      <w:pPr>
        <w:keepNext w:val="0"/>
        <w:keepLines w:val="0"/>
        <w:pageBreakBefore w:val="0"/>
        <w:widowControl w:val="0"/>
        <w:kinsoku/>
        <w:wordWrap/>
        <w:overflowPunct w:val="0"/>
        <w:topLinePunct w:val="0"/>
        <w:autoSpaceDE/>
        <w:autoSpaceDN/>
        <w:bidi w:val="0"/>
        <w:adjustRightInd/>
        <w:snapToGrid/>
        <w:spacing w:beforeAutospacing="0" w:afterAutospacing="0" w:line="579" w:lineRule="exact"/>
        <w:ind w:firstLine="640" w:firstLineChars="200"/>
        <w:textAlignment w:val="auto"/>
        <w:outlineLvl w:val="9"/>
        <w:rPr>
          <w:rFonts w:hint="eastAsia"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受</w:t>
      </w:r>
      <w:r>
        <w:rPr>
          <w:rFonts w:hint="eastAsia" w:ascii="仿宋_GB2312" w:hAnsi="Times New Roman" w:eastAsia="仿宋_GB2312"/>
          <w:color w:val="auto"/>
          <w:sz w:val="32"/>
          <w:szCs w:val="32"/>
          <w:highlight w:val="none"/>
          <w:lang w:eastAsia="zh-CN"/>
        </w:rPr>
        <w:t>县</w:t>
      </w:r>
      <w:r>
        <w:rPr>
          <w:rFonts w:hint="eastAsia" w:ascii="仿宋_GB2312" w:hAnsi="Times New Roman" w:eastAsia="仿宋_GB2312"/>
          <w:color w:val="auto"/>
          <w:sz w:val="32"/>
          <w:szCs w:val="32"/>
          <w:highlight w:val="none"/>
        </w:rPr>
        <w:t>人民政府委托，现将202</w:t>
      </w:r>
      <w:r>
        <w:rPr>
          <w:rFonts w:hint="eastAsia" w:ascii="仿宋_GB2312" w:hAnsi="Times New Roman" w:eastAsia="仿宋_GB2312"/>
          <w:color w:val="auto"/>
          <w:sz w:val="32"/>
          <w:szCs w:val="32"/>
          <w:highlight w:val="none"/>
          <w:lang w:val="en-US" w:eastAsia="zh-CN"/>
        </w:rPr>
        <w:t>3</w:t>
      </w:r>
      <w:r>
        <w:rPr>
          <w:rFonts w:hint="eastAsia" w:ascii="仿宋_GB2312" w:hAnsi="Times New Roman" w:eastAsia="仿宋_GB2312"/>
          <w:color w:val="auto"/>
          <w:sz w:val="32"/>
          <w:szCs w:val="32"/>
          <w:highlight w:val="none"/>
        </w:rPr>
        <w:t>年国民经济和社会发展计划执行情况与202</w:t>
      </w:r>
      <w:r>
        <w:rPr>
          <w:rFonts w:hint="eastAsia" w:ascii="仿宋_GB2312" w:hAnsi="Times New Roman" w:eastAsia="仿宋_GB2312"/>
          <w:color w:val="auto"/>
          <w:sz w:val="32"/>
          <w:szCs w:val="32"/>
          <w:highlight w:val="none"/>
          <w:lang w:val="en-US" w:eastAsia="zh-CN"/>
        </w:rPr>
        <w:t>4</w:t>
      </w:r>
      <w:r>
        <w:rPr>
          <w:rFonts w:hint="eastAsia" w:ascii="仿宋_GB2312" w:hAnsi="Times New Roman" w:eastAsia="仿宋_GB2312"/>
          <w:color w:val="auto"/>
          <w:sz w:val="32"/>
          <w:szCs w:val="32"/>
          <w:highlight w:val="none"/>
        </w:rPr>
        <w:t>年计划（草案）提请</w:t>
      </w:r>
      <w:r>
        <w:rPr>
          <w:rFonts w:hint="eastAsia" w:ascii="仿宋_GB2312" w:hAnsi="Times New Roman" w:eastAsia="仿宋_GB2312"/>
          <w:color w:val="auto"/>
          <w:sz w:val="32"/>
          <w:szCs w:val="32"/>
          <w:highlight w:val="none"/>
          <w:lang w:eastAsia="zh-CN"/>
        </w:rPr>
        <w:t>县</w:t>
      </w:r>
      <w:r>
        <w:rPr>
          <w:rFonts w:hint="eastAsia" w:ascii="仿宋_GB2312" w:hAnsi="Times New Roman" w:eastAsia="仿宋_GB2312"/>
          <w:color w:val="auto"/>
          <w:sz w:val="32"/>
          <w:szCs w:val="32"/>
          <w:highlight w:val="none"/>
        </w:rPr>
        <w:t>十</w:t>
      </w:r>
      <w:r>
        <w:rPr>
          <w:rFonts w:hint="eastAsia" w:ascii="仿宋_GB2312" w:hAnsi="Times New Roman" w:eastAsia="仿宋_GB2312"/>
          <w:color w:val="auto"/>
          <w:sz w:val="32"/>
          <w:szCs w:val="32"/>
          <w:highlight w:val="none"/>
          <w:lang w:val="en-US" w:eastAsia="zh-CN"/>
        </w:rPr>
        <w:t>六</w:t>
      </w:r>
      <w:r>
        <w:rPr>
          <w:rFonts w:hint="eastAsia" w:ascii="仿宋_GB2312" w:hAnsi="Times New Roman" w:eastAsia="仿宋_GB2312"/>
          <w:color w:val="auto"/>
          <w:sz w:val="32"/>
          <w:szCs w:val="32"/>
          <w:highlight w:val="none"/>
        </w:rPr>
        <w:t>届人大</w:t>
      </w:r>
      <w:r>
        <w:rPr>
          <w:rFonts w:hint="eastAsia" w:ascii="仿宋_GB2312" w:hAnsi="Times New Roman" w:eastAsia="仿宋_GB2312"/>
          <w:color w:val="auto"/>
          <w:sz w:val="32"/>
          <w:szCs w:val="32"/>
          <w:highlight w:val="none"/>
          <w:lang w:val="en-US" w:eastAsia="zh-CN"/>
        </w:rPr>
        <w:t>四</w:t>
      </w:r>
      <w:r>
        <w:rPr>
          <w:rFonts w:hint="eastAsia" w:ascii="仿宋_GB2312" w:hAnsi="Times New Roman" w:eastAsia="仿宋_GB2312"/>
          <w:color w:val="auto"/>
          <w:sz w:val="32"/>
          <w:szCs w:val="32"/>
          <w:highlight w:val="none"/>
        </w:rPr>
        <w:t>次会议审议，并请各位政协委员和其他列席人士提出意见。</w:t>
      </w:r>
    </w:p>
    <w:p>
      <w:pPr>
        <w:keepNext w:val="0"/>
        <w:keepLines w:val="0"/>
        <w:pageBreakBefore w:val="0"/>
        <w:widowControl w:val="0"/>
        <w:kinsoku/>
        <w:wordWrap/>
        <w:topLinePunct w:val="0"/>
        <w:autoSpaceDE/>
        <w:autoSpaceDN/>
        <w:bidi w:val="0"/>
        <w:adjustRightInd/>
        <w:snapToGrid/>
        <w:spacing w:beforeAutospacing="0" w:afterAutospacing="0" w:line="579" w:lineRule="exact"/>
        <w:ind w:firstLine="640" w:firstLineChars="200"/>
        <w:outlineLvl w:val="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一、202</w:t>
      </w:r>
      <w:r>
        <w:rPr>
          <w:rFonts w:hint="eastAsia" w:ascii="黑体" w:hAnsi="黑体" w:eastAsia="黑体"/>
          <w:color w:val="auto"/>
          <w:sz w:val="32"/>
          <w:szCs w:val="32"/>
          <w:highlight w:val="none"/>
          <w:lang w:val="en-US" w:eastAsia="zh-CN"/>
        </w:rPr>
        <w:t>3</w:t>
      </w:r>
      <w:r>
        <w:rPr>
          <w:rFonts w:hint="eastAsia" w:ascii="黑体" w:hAnsi="黑体" w:eastAsia="黑体"/>
          <w:color w:val="auto"/>
          <w:sz w:val="32"/>
          <w:szCs w:val="32"/>
          <w:highlight w:val="none"/>
        </w:rPr>
        <w:t>年国民经济和社会发展计划执行情况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Times New Roman" w:eastAsia="仿宋_GB2312"/>
          <w:color w:val="auto"/>
          <w:sz w:val="32"/>
          <w:szCs w:val="32"/>
          <w:highlight w:val="none"/>
          <w:lang w:val="en-US" w:eastAsia="zh-CN"/>
        </w:rPr>
      </w:pPr>
      <w:r>
        <w:rPr>
          <w:rFonts w:hint="eastAsia" w:ascii="仿宋_GB2312" w:hAnsi="Times New Roman" w:eastAsia="仿宋_GB2312"/>
          <w:color w:val="auto"/>
          <w:sz w:val="32"/>
          <w:szCs w:val="32"/>
          <w:highlight w:val="none"/>
        </w:rPr>
        <w:t>202</w:t>
      </w:r>
      <w:r>
        <w:rPr>
          <w:rFonts w:hint="eastAsia" w:ascii="仿宋_GB2312" w:hAnsi="Times New Roman" w:eastAsia="仿宋_GB2312"/>
          <w:color w:val="auto"/>
          <w:sz w:val="32"/>
          <w:szCs w:val="32"/>
          <w:highlight w:val="none"/>
          <w:lang w:val="en-US" w:eastAsia="zh-CN"/>
        </w:rPr>
        <w:t>3</w:t>
      </w:r>
      <w:r>
        <w:rPr>
          <w:rFonts w:hint="eastAsia" w:ascii="仿宋_GB2312" w:hAnsi="Times New Roman" w:eastAsia="仿宋_GB2312"/>
          <w:color w:val="auto"/>
          <w:sz w:val="32"/>
          <w:szCs w:val="32"/>
          <w:highlight w:val="none"/>
        </w:rPr>
        <w:t>年</w:t>
      </w:r>
      <w:r>
        <w:rPr>
          <w:rFonts w:hint="eastAsia" w:ascii="仿宋_GB2312" w:hAnsi="Times New Roman" w:eastAsia="仿宋_GB2312"/>
          <w:color w:val="auto"/>
          <w:sz w:val="32"/>
          <w:szCs w:val="32"/>
          <w:highlight w:val="none"/>
          <w:lang w:val="en-US" w:eastAsia="zh-CN"/>
        </w:rPr>
        <w:t>是全面贯彻党的二十大精神的开局之年，是三年新冠疫情防控转段后经济恢复发展的一年。</w:t>
      </w:r>
      <w:r>
        <w:rPr>
          <w:rFonts w:hint="eastAsia" w:ascii="仿宋_GB2312" w:hAnsi="Times New Roman" w:eastAsia="仿宋_GB2312"/>
          <w:color w:val="auto"/>
          <w:sz w:val="32"/>
          <w:szCs w:val="32"/>
          <w:highlight w:val="none"/>
        </w:rPr>
        <w:t>在县委正确领导</w:t>
      </w:r>
      <w:r>
        <w:rPr>
          <w:rFonts w:hint="eastAsia" w:ascii="仿宋_GB2312" w:hAnsi="Times New Roman" w:eastAsia="仿宋_GB2312"/>
          <w:color w:val="auto"/>
          <w:sz w:val="32"/>
          <w:szCs w:val="32"/>
          <w:highlight w:val="none"/>
          <w:lang w:val="en-US" w:eastAsia="zh-CN"/>
        </w:rPr>
        <w:t>和</w:t>
      </w:r>
      <w:r>
        <w:rPr>
          <w:rFonts w:hint="eastAsia" w:ascii="仿宋_GB2312" w:hAnsi="Times New Roman" w:eastAsia="仿宋_GB2312"/>
          <w:color w:val="auto"/>
          <w:sz w:val="32"/>
          <w:szCs w:val="32"/>
          <w:highlight w:val="none"/>
        </w:rPr>
        <w:t>县人大</w:t>
      </w:r>
      <w:r>
        <w:rPr>
          <w:rFonts w:hint="eastAsia" w:ascii="仿宋_GB2312" w:hAnsi="Times New Roman" w:eastAsia="仿宋_GB2312"/>
          <w:color w:val="auto"/>
          <w:sz w:val="32"/>
          <w:szCs w:val="32"/>
          <w:highlight w:val="none"/>
          <w:lang w:eastAsia="zh-CN"/>
        </w:rPr>
        <w:t>、</w:t>
      </w:r>
      <w:r>
        <w:rPr>
          <w:rFonts w:hint="eastAsia" w:ascii="仿宋_GB2312" w:hAnsi="Times New Roman" w:eastAsia="仿宋_GB2312"/>
          <w:color w:val="auto"/>
          <w:sz w:val="32"/>
          <w:szCs w:val="32"/>
          <w:highlight w:val="none"/>
        </w:rPr>
        <w:t>县政协的监督支持下，全县上下以习近平新时代中国特色社会主义思想为指导，认真落实中央、省、市各项决策部署，</w:t>
      </w:r>
      <w:r>
        <w:rPr>
          <w:rFonts w:hint="eastAsia" w:ascii="仿宋_GB2312" w:hAnsi="Times New Roman" w:eastAsia="仿宋_GB2312"/>
          <w:color w:val="auto"/>
          <w:sz w:val="32"/>
          <w:szCs w:val="32"/>
          <w:highlight w:val="none"/>
          <w:lang w:val="en-US" w:eastAsia="zh-CN"/>
        </w:rPr>
        <w:t>积极开展“三大年”活动，围绕鲁山</w:t>
      </w:r>
      <w:r>
        <w:rPr>
          <w:rFonts w:hint="eastAsia" w:ascii="仿宋_GB2312" w:hAnsi="仿宋_GB2312" w:eastAsia="仿宋_GB2312" w:cs="仿宋_GB2312"/>
          <w:color w:val="auto"/>
          <w:sz w:val="32"/>
          <w:szCs w:val="32"/>
          <w:lang w:val="en-US" w:eastAsia="zh-CN"/>
        </w:rPr>
        <w:t>高质量发展首要任务</w:t>
      </w:r>
      <w:r>
        <w:rPr>
          <w:rFonts w:hint="eastAsia" w:ascii="仿宋_GB2312" w:hAnsi="Times New Roman" w:eastAsia="仿宋_GB2312"/>
          <w:color w:val="auto"/>
          <w:sz w:val="32"/>
          <w:szCs w:val="32"/>
          <w:highlight w:val="none"/>
        </w:rPr>
        <w:t>，</w:t>
      </w:r>
      <w:r>
        <w:rPr>
          <w:rFonts w:hint="eastAsia" w:ascii="仿宋_GB2312" w:hAnsi="Times New Roman" w:eastAsia="仿宋_GB2312"/>
          <w:color w:val="auto"/>
          <w:sz w:val="32"/>
          <w:szCs w:val="32"/>
          <w:highlight w:val="none"/>
          <w:lang w:val="en-US" w:eastAsia="zh-CN"/>
        </w:rPr>
        <w:t>奋勇争先，砥砺前行。</w:t>
      </w:r>
      <w:r>
        <w:rPr>
          <w:rFonts w:hint="eastAsia" w:ascii="仿宋_GB2312" w:hAnsi="仿宋_GB2312" w:eastAsia="仿宋_GB2312" w:cs="仿宋_GB2312"/>
          <w:color w:val="auto"/>
          <w:sz w:val="32"/>
          <w:szCs w:val="32"/>
        </w:rPr>
        <w:t>预计全年生产总值</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，固定资产投资</w:t>
      </w:r>
      <w:r>
        <w:rPr>
          <w:rFonts w:hint="eastAsia" w:ascii="仿宋_GB2312" w:hAnsi="仿宋_GB2312" w:eastAsia="仿宋_GB2312" w:cs="仿宋_GB2312"/>
          <w:color w:val="auto"/>
          <w:sz w:val="32"/>
          <w:szCs w:val="32"/>
          <w:lang w:eastAsia="zh-CN"/>
        </w:rPr>
        <w:t>增长</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，规模以上工业增加值增长7.4%，限</w:t>
      </w:r>
      <w:r>
        <w:rPr>
          <w:rFonts w:hint="eastAsia" w:ascii="仿宋_GB2312" w:hAnsi="仿宋_GB2312" w:eastAsia="仿宋_GB2312" w:cs="仿宋_GB2312"/>
          <w:color w:val="auto"/>
          <w:sz w:val="32"/>
          <w:szCs w:val="32"/>
          <w:lang w:val="en-US" w:eastAsia="zh-CN"/>
        </w:rPr>
        <w:t>额以上</w:t>
      </w:r>
      <w:r>
        <w:rPr>
          <w:rFonts w:hint="eastAsia" w:ascii="仿宋_GB2312" w:hAnsi="仿宋_GB2312" w:eastAsia="仿宋_GB2312" w:cs="仿宋_GB2312"/>
          <w:color w:val="auto"/>
          <w:sz w:val="32"/>
          <w:szCs w:val="32"/>
        </w:rPr>
        <w:t>社会消费品零售</w:t>
      </w:r>
      <w:r>
        <w:rPr>
          <w:rFonts w:hint="eastAsia" w:ascii="仿宋_GB2312" w:hAnsi="仿宋_GB2312" w:eastAsia="仿宋_GB2312" w:cs="仿宋_GB2312"/>
          <w:color w:val="auto"/>
          <w:sz w:val="32"/>
          <w:szCs w:val="32"/>
          <w:lang w:eastAsia="zh-CN"/>
        </w:rPr>
        <w:t>总</w:t>
      </w:r>
      <w:r>
        <w:rPr>
          <w:rFonts w:hint="eastAsia" w:ascii="仿宋_GB2312" w:hAnsi="仿宋_GB2312" w:eastAsia="仿宋_GB2312" w:cs="仿宋_GB2312"/>
          <w:color w:val="auto"/>
          <w:sz w:val="32"/>
          <w:szCs w:val="32"/>
        </w:rPr>
        <w:t>额增长12.2%，一般公共预算收入增长15.6%，居民人均可支配收入增长5.5％</w:t>
      </w:r>
      <w:r>
        <w:rPr>
          <w:rFonts w:hint="eastAsia" w:ascii="仿宋_GB2312" w:hAnsi="仿宋_GB2312" w:eastAsia="仿宋_GB2312" w:cs="仿宋_GB2312"/>
          <w:color w:val="auto"/>
          <w:sz w:val="32"/>
          <w:szCs w:val="32"/>
          <w:lang w:eastAsia="zh-CN"/>
        </w:rPr>
        <w:t>。</w:t>
      </w:r>
      <w:r>
        <w:rPr>
          <w:rFonts w:hint="eastAsia" w:ascii="仿宋_GB2312" w:hAnsi="Times New Roman" w:eastAsia="仿宋_GB2312"/>
          <w:color w:val="auto"/>
          <w:sz w:val="32"/>
          <w:szCs w:val="32"/>
          <w:highlight w:val="none"/>
          <w:lang w:val="en-US" w:eastAsia="zh-CN"/>
        </w:rPr>
        <w:t>经济社会平稳健康发展，生态文化美丽富强现代化新鲁山再上新台阶。</w:t>
      </w:r>
    </w:p>
    <w:p>
      <w:pPr>
        <w:keepNext w:val="0"/>
        <w:keepLines w:val="0"/>
        <w:pageBreakBefore w:val="0"/>
        <w:widowControl w:val="0"/>
        <w:numPr>
          <w:ilvl w:val="0"/>
          <w:numId w:val="0"/>
        </w:numPr>
        <w:kinsoku/>
        <w:wordWrap/>
        <w:topLinePunct w:val="0"/>
        <w:autoSpaceDN/>
        <w:bidi w:val="0"/>
        <w:adjustRightInd/>
        <w:snapToGrid/>
        <w:spacing w:line="579" w:lineRule="exact"/>
        <w:ind w:firstLine="643" w:firstLineChars="200"/>
        <w:rPr>
          <w:rFonts w:hint="eastAsia" w:ascii="仿宋_GB2312" w:hAnsi="Calibri" w:eastAsia="仿宋_GB2312" w:cs="仿宋_GB2312"/>
          <w:b w:val="0"/>
          <w:bCs w:val="0"/>
          <w:kern w:val="2"/>
          <w:sz w:val="32"/>
          <w:szCs w:val="32"/>
          <w:lang w:val="en-US" w:eastAsia="zh-CN" w:bidi="ar"/>
        </w:rPr>
      </w:pPr>
      <w:r>
        <w:rPr>
          <w:rFonts w:hint="eastAsia" w:ascii="楷体" w:hAnsi="楷体" w:eastAsia="楷体" w:cs="楷体"/>
          <w:b/>
          <w:bCs/>
          <w:kern w:val="2"/>
          <w:sz w:val="32"/>
          <w:szCs w:val="32"/>
          <w:lang w:val="en-US" w:eastAsia="zh-CN" w:bidi="ar-SA"/>
        </w:rPr>
        <w:t>项目建设提质增速。</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b w:val="0"/>
          <w:bCs w:val="0"/>
          <w:color w:val="auto"/>
          <w:sz w:val="32"/>
          <w:szCs w:val="32"/>
          <w:lang w:val="en-US" w:eastAsia="zh-CN"/>
        </w:rPr>
        <w:t>重点项目分包、联席会议、联审联批等八项制度，成立</w:t>
      </w:r>
      <w:r>
        <w:rPr>
          <w:rFonts w:hint="eastAsia" w:ascii="仿宋_GB2312" w:hAnsi="仿宋_GB2312" w:eastAsia="仿宋_GB2312" w:cs="仿宋_GB2312"/>
          <w:color w:val="auto"/>
          <w:sz w:val="32"/>
          <w:szCs w:val="32"/>
        </w:rPr>
        <w:t>生物基新材料产业基地</w:t>
      </w:r>
      <w:r>
        <w:rPr>
          <w:rFonts w:hint="eastAsia" w:ascii="仿宋_GB2312" w:hAnsi="仿宋_GB2312" w:eastAsia="仿宋_GB2312" w:cs="仿宋_GB2312"/>
          <w:b w:val="0"/>
          <w:bCs w:val="0"/>
          <w:color w:val="auto"/>
          <w:sz w:val="32"/>
          <w:szCs w:val="32"/>
          <w:lang w:val="en-US" w:eastAsia="zh-CN"/>
        </w:rPr>
        <w:t>、杜鹃岭120万千瓦抽蓄工程、中铁路港铁路物流园等23个重大产业项目工作专班</w:t>
      </w:r>
      <w:r>
        <w:rPr>
          <w:rFonts w:hint="eastAsia" w:ascii="仿宋_GB2312" w:hAnsi="仿宋_GB2312" w:eastAsia="仿宋_GB2312" w:cs="仿宋_GB2312"/>
          <w:b w:val="0"/>
          <w:bCs w:val="0"/>
          <w:color w:val="auto"/>
          <w:sz w:val="32"/>
          <w:szCs w:val="32"/>
          <w:lang w:val="en-US" w:eastAsia="zh-CN"/>
        </w:rPr>
        <w:t>，保障项目建设顺利实施。</w:t>
      </w:r>
      <w:r>
        <w:rPr>
          <w:rFonts w:hint="eastAsia" w:ascii="仿宋_GB2312" w:hAnsi="仿宋_GB2312" w:eastAsia="仿宋_GB2312" w:cs="仿宋_GB2312"/>
          <w:color w:val="auto"/>
          <w:sz w:val="32"/>
          <w:szCs w:val="32"/>
          <w:lang w:val="en-US" w:eastAsia="zh-CN"/>
        </w:rPr>
        <w:t>全年实施</w:t>
      </w:r>
      <w:r>
        <w:rPr>
          <w:rFonts w:hint="default" w:ascii="仿宋_GB2312" w:hAnsi="仿宋_GB2312" w:eastAsia="仿宋_GB2312" w:cs="仿宋_GB2312"/>
          <w:color w:val="auto"/>
          <w:sz w:val="32"/>
          <w:szCs w:val="32"/>
          <w:lang w:val="en-US" w:eastAsia="zh-CN"/>
        </w:rPr>
        <w:t>重点项目133个，</w:t>
      </w:r>
      <w:r>
        <w:rPr>
          <w:rFonts w:hint="eastAsia" w:ascii="仿宋_GB2312" w:hAnsi="仿宋_GB2312" w:eastAsia="仿宋_GB2312" w:cs="仿宋_GB2312"/>
          <w:color w:val="auto"/>
          <w:sz w:val="32"/>
          <w:szCs w:val="32"/>
          <w:lang w:val="en-US" w:eastAsia="zh-CN"/>
        </w:rPr>
        <w:t>超额完成</w:t>
      </w:r>
      <w:r>
        <w:rPr>
          <w:rFonts w:hint="eastAsia" w:ascii="仿宋_GB2312" w:hAnsi="仿宋_GB2312" w:eastAsia="仿宋_GB2312" w:cs="仿宋_GB2312"/>
          <w:b w:val="0"/>
          <w:bCs w:val="0"/>
          <w:color w:val="auto"/>
          <w:sz w:val="32"/>
          <w:szCs w:val="32"/>
          <w:lang w:val="en-US" w:eastAsia="zh-CN"/>
        </w:rPr>
        <w:t>年度投资任务</w:t>
      </w:r>
      <w:r>
        <w:rPr>
          <w:rFonts w:hint="default"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color w:val="auto"/>
          <w:sz w:val="32"/>
          <w:szCs w:val="32"/>
          <w:lang w:val="en-US" w:eastAsia="zh-CN"/>
        </w:rPr>
        <w:t>食用菌产业园、潞锦工贸救灾物资生产储备、</w:t>
      </w:r>
      <w:r>
        <w:rPr>
          <w:rFonts w:hint="eastAsia" w:ascii="仿宋_GB2312" w:hAnsi="仿宋_GB2312" w:eastAsia="仿宋_GB2312" w:cs="仿宋_GB2312"/>
          <w:color w:val="auto"/>
          <w:sz w:val="32"/>
          <w:szCs w:val="32"/>
          <w:lang w:val="en-US" w:eastAsia="zh-CN"/>
        </w:rPr>
        <w:t>鲁平</w:t>
      </w:r>
      <w:r>
        <w:rPr>
          <w:rFonts w:hint="default" w:ascii="仿宋_GB2312" w:hAnsi="仿宋_GB2312" w:eastAsia="仿宋_GB2312" w:cs="仿宋_GB2312"/>
          <w:color w:val="auto"/>
          <w:sz w:val="32"/>
          <w:szCs w:val="32"/>
          <w:lang w:val="en-US" w:eastAsia="zh-CN"/>
        </w:rPr>
        <w:t>快速通道、旅游装备产业园等40个项目</w:t>
      </w:r>
      <w:r>
        <w:rPr>
          <w:rFonts w:hint="eastAsia" w:ascii="仿宋_GB2312" w:hAnsi="仿宋_GB2312" w:eastAsia="仿宋_GB2312" w:cs="仿宋_GB2312"/>
          <w:color w:val="auto"/>
          <w:sz w:val="32"/>
          <w:szCs w:val="32"/>
          <w:lang w:val="en-US" w:eastAsia="zh-CN"/>
        </w:rPr>
        <w:t>开工建设，</w:t>
      </w:r>
      <w:r>
        <w:rPr>
          <w:rFonts w:hint="eastAsia" w:ascii="仿宋_GB2312" w:hAnsi="仿宋_GB2312" w:eastAsia="仿宋_GB2312" w:cs="仿宋_GB2312"/>
          <w:color w:val="auto"/>
          <w:sz w:val="32"/>
          <w:szCs w:val="32"/>
          <w:lang w:val="en-US" w:eastAsia="zh-CN"/>
        </w:rPr>
        <w:t>鲁山</w:t>
      </w:r>
      <w:r>
        <w:rPr>
          <w:rFonts w:hint="default" w:ascii="仿宋_GB2312" w:hAnsi="仿宋_GB2312" w:eastAsia="仿宋_GB2312" w:cs="仿宋_GB2312"/>
          <w:color w:val="auto"/>
          <w:sz w:val="32"/>
          <w:szCs w:val="32"/>
          <w:lang w:val="en-US" w:eastAsia="zh-CN"/>
        </w:rPr>
        <w:t>抽水蓄能电站、恒海动力谷</w:t>
      </w:r>
      <w:r>
        <w:rPr>
          <w:rFonts w:hint="eastAsia" w:ascii="仿宋_GB2312" w:hAnsi="仿宋_GB2312" w:eastAsia="仿宋_GB2312" w:cs="仿宋_GB2312"/>
          <w:color w:val="auto"/>
          <w:sz w:val="32"/>
          <w:szCs w:val="32"/>
          <w:lang w:val="en-US" w:eastAsia="zh-CN"/>
        </w:rPr>
        <w:t>产业园</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海之源生物医药等</w:t>
      </w:r>
      <w:r>
        <w:rPr>
          <w:rFonts w:hint="default" w:ascii="仿宋_GB2312" w:hAnsi="仿宋_GB2312" w:eastAsia="仿宋_GB2312" w:cs="仿宋_GB2312"/>
          <w:color w:val="auto"/>
          <w:sz w:val="32"/>
          <w:szCs w:val="32"/>
          <w:lang w:val="en-US" w:eastAsia="zh-CN"/>
        </w:rPr>
        <w:t>14个项目</w:t>
      </w:r>
      <w:r>
        <w:rPr>
          <w:rFonts w:hint="eastAsia" w:ascii="仿宋_GB2312" w:hAnsi="仿宋_GB2312" w:eastAsia="仿宋_GB2312" w:cs="仿宋_GB2312"/>
          <w:color w:val="auto"/>
          <w:sz w:val="32"/>
          <w:szCs w:val="32"/>
          <w:lang w:val="en-US" w:eastAsia="zh-CN"/>
        </w:rPr>
        <w:t>加快</w:t>
      </w:r>
      <w:r>
        <w:rPr>
          <w:rFonts w:hint="default" w:ascii="仿宋_GB2312" w:hAnsi="仿宋_GB2312" w:eastAsia="仿宋_GB2312" w:cs="仿宋_GB2312"/>
          <w:color w:val="auto"/>
          <w:sz w:val="32"/>
          <w:szCs w:val="32"/>
          <w:lang w:val="en-US" w:eastAsia="zh-CN"/>
        </w:rPr>
        <w:t>推进，</w:t>
      </w:r>
      <w:r>
        <w:rPr>
          <w:rFonts w:hint="eastAsia" w:ascii="仿宋_GB2312" w:hAnsi="仿宋_GB2312" w:eastAsia="仿宋_GB2312" w:cs="仿宋_GB2312"/>
          <w:color w:val="auto"/>
          <w:sz w:val="32"/>
          <w:szCs w:val="32"/>
          <w:lang w:val="en-US" w:eastAsia="zh-CN"/>
        </w:rPr>
        <w:t>墨工智云机器人、</w:t>
      </w:r>
      <w:r>
        <w:rPr>
          <w:rFonts w:hint="default" w:ascii="仿宋_GB2312" w:hAnsi="仿宋_GB2312" w:eastAsia="仿宋_GB2312" w:cs="仿宋_GB2312"/>
          <w:color w:val="auto"/>
          <w:sz w:val="32"/>
          <w:szCs w:val="32"/>
          <w:lang w:val="en-US" w:eastAsia="zh-CN"/>
        </w:rPr>
        <w:t>锦润程智能电气、</w:t>
      </w:r>
      <w:r>
        <w:rPr>
          <w:rFonts w:hint="eastAsia" w:ascii="仿宋_GB2312" w:hAnsi="仿宋_GB2312" w:eastAsia="仿宋_GB2312" w:cs="仿宋_GB2312"/>
          <w:color w:val="auto"/>
          <w:sz w:val="32"/>
          <w:szCs w:val="32"/>
          <w:lang w:val="en-US" w:eastAsia="zh-CN"/>
        </w:rPr>
        <w:t>天顺游乐等29个项目基本建成投用。组织开展“三个一批”活动3次，签约项目10个，开工项</w:t>
      </w:r>
      <w:r>
        <w:rPr>
          <w:rFonts w:hint="eastAsia" w:ascii="仿宋_GB2312" w:hAnsi="仿宋_GB2312" w:eastAsia="仿宋_GB2312" w:cs="仿宋_GB2312"/>
          <w:sz w:val="32"/>
          <w:szCs w:val="32"/>
          <w:lang w:val="en-US" w:eastAsia="zh-CN"/>
        </w:rPr>
        <w:t>目24个，投产项目29个。“三个一批”项目开工率、投产率、达效率均为100%。</w:t>
      </w:r>
      <w:r>
        <w:rPr>
          <w:rFonts w:hint="eastAsia" w:ascii="仿宋_GB2312" w:hAnsi="Calibri" w:eastAsia="仿宋_GB2312" w:cs="仿宋_GB2312"/>
          <w:b w:val="0"/>
          <w:bCs w:val="0"/>
          <w:kern w:val="2"/>
          <w:sz w:val="32"/>
          <w:szCs w:val="32"/>
          <w:lang w:val="en-US" w:eastAsia="zh-CN" w:bidi="ar"/>
        </w:rPr>
        <w:t>用足用好上级政策，全力争取资金政策支持，全年发行地方政府专项债</w:t>
      </w:r>
      <w:r>
        <w:rPr>
          <w:rFonts w:hint="eastAsia" w:ascii="仿宋_GB2312" w:eastAsia="仿宋_GB2312" w:cs="仿宋_GB2312"/>
          <w:b w:val="0"/>
          <w:bCs w:val="0"/>
          <w:kern w:val="2"/>
          <w:sz w:val="32"/>
          <w:szCs w:val="32"/>
          <w:lang w:val="en-US" w:eastAsia="zh-CN" w:bidi="ar"/>
        </w:rPr>
        <w:t>项目</w:t>
      </w:r>
      <w:r>
        <w:rPr>
          <w:rFonts w:hint="eastAsia" w:ascii="仿宋_GB2312" w:hAnsi="Calibri" w:eastAsia="仿宋_GB2312" w:cs="仿宋_GB2312"/>
          <w:b w:val="0"/>
          <w:bCs w:val="0"/>
          <w:kern w:val="2"/>
          <w:sz w:val="32"/>
          <w:szCs w:val="32"/>
          <w:lang w:val="en-US" w:eastAsia="zh-CN" w:bidi="ar"/>
        </w:rPr>
        <w:t>20个，争取资金7亿元，增发国债项目2个，争取</w:t>
      </w:r>
      <w:r>
        <w:rPr>
          <w:rFonts w:hint="eastAsia" w:ascii="仿宋_GB2312" w:eastAsia="仿宋_GB2312" w:cs="仿宋_GB2312"/>
          <w:b w:val="0"/>
          <w:bCs w:val="0"/>
          <w:kern w:val="2"/>
          <w:sz w:val="32"/>
          <w:szCs w:val="32"/>
          <w:lang w:val="en-US" w:eastAsia="zh-CN" w:bidi="ar"/>
        </w:rPr>
        <w:t>资金</w:t>
      </w:r>
      <w:r>
        <w:rPr>
          <w:rFonts w:hint="eastAsia" w:ascii="仿宋_GB2312" w:hAnsi="Calibri" w:eastAsia="仿宋_GB2312" w:cs="仿宋_GB2312"/>
          <w:b w:val="0"/>
          <w:bCs w:val="0"/>
          <w:kern w:val="2"/>
          <w:sz w:val="32"/>
          <w:szCs w:val="32"/>
          <w:lang w:val="en-US" w:eastAsia="zh-CN" w:bidi="ar"/>
        </w:rPr>
        <w:t>2.14亿元，下达中央预算内投资项目12个，争取资金9041万元</w:t>
      </w:r>
      <w:r>
        <w:rPr>
          <w:rFonts w:hint="eastAsia" w:ascii="仿宋_GB2312" w:eastAsia="仿宋_GB2312" w:cs="仿宋_GB2312"/>
          <w:b w:val="0"/>
          <w:bCs w:val="0"/>
          <w:kern w:val="2"/>
          <w:sz w:val="32"/>
          <w:szCs w:val="32"/>
          <w:lang w:val="en-US" w:eastAsia="zh-CN" w:bidi="ar"/>
        </w:rPr>
        <w:t>。</w:t>
      </w:r>
    </w:p>
    <w:p>
      <w:pPr>
        <w:keepNext w:val="0"/>
        <w:keepLines w:val="0"/>
        <w:pageBreakBefore w:val="0"/>
        <w:widowControl w:val="0"/>
        <w:numPr>
          <w:ilvl w:val="0"/>
          <w:numId w:val="0"/>
        </w:numPr>
        <w:kinsoku/>
        <w:wordWrap/>
        <w:topLinePunct w:val="0"/>
        <w:autoSpaceDN/>
        <w:bidi w:val="0"/>
        <w:adjustRightInd/>
        <w:snapToGrid/>
        <w:spacing w:line="579"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kern w:val="2"/>
          <w:sz w:val="32"/>
          <w:szCs w:val="32"/>
          <w:lang w:val="en-US" w:eastAsia="zh-CN" w:bidi="ar-SA"/>
        </w:rPr>
        <w:t>改革创新焕发活力。</w:t>
      </w:r>
      <w:r>
        <w:rPr>
          <w:rFonts w:hint="eastAsia" w:ascii="仿宋_GB2312" w:hAnsi="仿宋_GB2312" w:eastAsia="仿宋_GB2312" w:cs="仿宋_GB2312"/>
          <w:bCs/>
          <w:sz w:val="32"/>
          <w:szCs w:val="32"/>
          <w:lang w:val="en-US" w:eastAsia="zh-CN"/>
        </w:rPr>
        <w:t>推进</w:t>
      </w:r>
      <w:r>
        <w:rPr>
          <w:rFonts w:hint="eastAsia" w:ascii="仿宋_GB2312" w:hAnsi="仿宋_GB2312" w:eastAsia="仿宋_GB2312" w:cs="仿宋_GB2312"/>
          <w:b w:val="0"/>
          <w:bCs w:val="0"/>
          <w:i w:val="0"/>
          <w:iCs w:val="0"/>
          <w:caps w:val="0"/>
          <w:color w:val="auto"/>
          <w:spacing w:val="0"/>
          <w:sz w:val="32"/>
          <w:szCs w:val="32"/>
          <w:shd w:val="clear" w:fill="FFFFFF"/>
        </w:rPr>
        <w:t>先进制造业开发区“三化三制”改革</w:t>
      </w:r>
      <w:r>
        <w:rPr>
          <w:rFonts w:hint="eastAsia" w:ascii="仿宋_GB2312" w:hAnsi="仿宋_GB2312" w:eastAsia="仿宋_GB2312" w:cs="仿宋_GB2312"/>
          <w:b w:val="0"/>
          <w:bCs w:val="0"/>
          <w:color w:val="auto"/>
          <w:sz w:val="32"/>
          <w:szCs w:val="32"/>
          <w:lang w:val="en-US" w:eastAsia="zh-CN"/>
        </w:rPr>
        <w:t>。建立</w:t>
      </w:r>
      <w:r>
        <w:rPr>
          <w:rFonts w:hint="eastAsia" w:ascii="仿宋_GB2312" w:hAnsi="仿宋_GB2312" w:eastAsia="仿宋_GB2312" w:cs="仿宋_GB2312"/>
          <w:b w:val="0"/>
          <w:bCs w:val="0"/>
          <w:sz w:val="32"/>
          <w:szCs w:val="32"/>
          <w:lang w:val="en-US" w:eastAsia="zh-CN"/>
        </w:rPr>
        <w:t>智慧应急APP，推进应急管理方式创新。财政体制改革工作有序推进，县乡财政体制不断完善。</w:t>
      </w:r>
      <w:r>
        <w:rPr>
          <w:rFonts w:hint="eastAsia" w:ascii="仿宋_GB2312" w:hAnsi="仿宋_GB2312" w:eastAsia="仿宋_GB2312" w:cs="仿宋_GB2312"/>
          <w:sz w:val="32"/>
          <w:szCs w:val="32"/>
          <w:lang w:val="en-US" w:eastAsia="zh-CN"/>
        </w:rPr>
        <w:t>深化“放管服效”改革，打造“一窗式受理、一站式办结”</w:t>
      </w:r>
      <w:r>
        <w:rPr>
          <w:rFonts w:hint="eastAsia" w:ascii="仿宋_GB2312" w:hAnsi="仿宋_GB2312" w:eastAsia="仿宋_GB2312" w:cs="仿宋_GB2312"/>
          <w:b w:val="0"/>
          <w:bCs w:val="0"/>
          <w:sz w:val="32"/>
          <w:szCs w:val="32"/>
          <w:lang w:eastAsia="zh-CN"/>
        </w:rPr>
        <w:t>平台，梳理</w:t>
      </w:r>
      <w:r>
        <w:rPr>
          <w:rFonts w:hint="eastAsia" w:ascii="仿宋" w:hAnsi="仿宋" w:eastAsia="仿宋" w:cs="仿宋"/>
          <w:b w:val="0"/>
          <w:bCs w:val="0"/>
          <w:sz w:val="32"/>
          <w:szCs w:val="32"/>
          <w:lang w:eastAsia="zh-CN"/>
        </w:rPr>
        <w:t>政务服务事项</w:t>
      </w:r>
      <w:r>
        <w:rPr>
          <w:rFonts w:hint="eastAsia" w:ascii="仿宋_GB2312" w:hAnsi="仿宋_GB2312" w:eastAsia="仿宋_GB2312" w:cs="仿宋_GB2312"/>
          <w:sz w:val="32"/>
          <w:szCs w:val="32"/>
          <w:lang w:val="en-US" w:eastAsia="zh-CN"/>
        </w:rPr>
        <w:t>“一件事一次办”清单50项，全县25个</w:t>
      </w:r>
      <w:r>
        <w:rPr>
          <w:rFonts w:hint="eastAsia" w:ascii="仿宋_GB2312" w:hAnsi="仿宋_GB2312" w:eastAsia="仿宋_GB2312" w:cs="仿宋_GB2312"/>
          <w:sz w:val="32"/>
          <w:szCs w:val="32"/>
        </w:rPr>
        <w:t>乡镇</w:t>
      </w:r>
      <w:r>
        <w:rPr>
          <w:rFonts w:hint="eastAsia" w:ascii="仿宋_GB2312" w:hAnsi="仿宋_GB2312" w:eastAsia="仿宋_GB2312" w:cs="仿宋_GB2312"/>
          <w:b w:val="0"/>
          <w:bCs w:val="0"/>
          <w:sz w:val="32"/>
          <w:szCs w:val="32"/>
        </w:rPr>
        <w:t>全部设置“有诉即办”窗口</w:t>
      </w:r>
      <w:r>
        <w:rPr>
          <w:rFonts w:hint="eastAsia" w:ascii="仿宋_GB2312" w:hAnsi="仿宋_GB2312" w:eastAsia="仿宋_GB2312" w:cs="仿宋_GB2312"/>
          <w:b w:val="0"/>
          <w:bCs w:val="0"/>
          <w:sz w:val="32"/>
          <w:szCs w:val="32"/>
          <w:lang w:eastAsia="zh-CN"/>
        </w:rPr>
        <w:t>，提高服务满意度。</w:t>
      </w:r>
      <w:r>
        <w:rPr>
          <w:rFonts w:hint="eastAsia" w:ascii="仿宋_GB2312" w:hAnsi="仿宋_GB2312" w:eastAsia="仿宋_GB2312" w:cs="仿宋_GB2312"/>
          <w:sz w:val="32"/>
          <w:szCs w:val="32"/>
        </w:rPr>
        <w:t>企业开办最终实现全流程1个环节，0.5个工作日办结，全程0费用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我县被确定为市企业智能登记试点城市。深化政银企合作，全年开展政银企对接活动26场，涉及全县1130余家中小微企业及个体工商户、种养殖户，授信3</w:t>
      </w:r>
      <w:r>
        <w:rPr>
          <w:rFonts w:hint="eastAsia" w:ascii="仿宋_GB2312" w:hAnsi="仿宋_GB2312" w:eastAsia="仿宋_GB2312" w:cs="仿宋_GB2312"/>
          <w:sz w:val="32"/>
          <w:szCs w:val="32"/>
        </w:rPr>
        <w:t>887笔，授信金额16亿元，投放贷款6.23亿元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加快创新主体培育，争创高新技术企业29家，科技型中小企业86家，“专精特新”企业7家，</w:t>
      </w:r>
      <w:r>
        <w:rPr>
          <w:rFonts w:hint="eastAsia" w:ascii="仿宋_GB2312" w:hAnsi="仿宋_GB2312" w:eastAsia="仿宋_GB2312" w:cs="仿宋_GB2312"/>
          <w:sz w:val="32"/>
          <w:szCs w:val="32"/>
        </w:rPr>
        <w:t>创建省工程技术研究中心</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家，市级“星创天地”</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家，省级“星创天地”2家，省级农业科技园区1家。</w:t>
      </w:r>
      <w:r>
        <w:rPr>
          <w:rFonts w:hint="eastAsia" w:ascii="仿宋_GB2312" w:hAnsi="仿宋_GB2312" w:eastAsia="仿宋_GB2312" w:cs="仿宋_GB2312"/>
          <w:b w:val="0"/>
          <w:bCs w:val="0"/>
          <w:sz w:val="32"/>
          <w:szCs w:val="32"/>
          <w:lang w:val="en-US" w:eastAsia="zh-CN"/>
        </w:rPr>
        <w:t>推动招商引资见实见效，共对接洽谈企业46家，对接项目52个。</w:t>
      </w:r>
      <w:r>
        <w:rPr>
          <w:rFonts w:hint="eastAsia" w:ascii="仿宋_GB2312" w:hAnsi="仿宋_GB2312" w:eastAsia="仿宋_GB2312" w:cs="仿宋_GB2312"/>
          <w:sz w:val="32"/>
          <w:szCs w:val="32"/>
          <w:lang w:val="en-US" w:eastAsia="zh-CN"/>
        </w:rPr>
        <w:t>全年利用省外资金181.4亿元，进口保税</w:t>
      </w:r>
      <w:r>
        <w:rPr>
          <w:rFonts w:hint="eastAsia" w:ascii="仿宋_GB2312" w:hAnsi="仿宋_GB2312" w:eastAsia="仿宋_GB2312" w:cs="仿宋_GB2312"/>
          <w:b w:val="0"/>
          <w:bCs w:val="0"/>
          <w:sz w:val="32"/>
          <w:szCs w:val="32"/>
          <w:lang w:val="en-US" w:eastAsia="zh-CN"/>
        </w:rPr>
        <w:t>仓实现进口190万美元，为经济发展注入新动力。</w:t>
      </w:r>
    </w:p>
    <w:p>
      <w:pPr>
        <w:keepNext w:val="0"/>
        <w:keepLines w:val="0"/>
        <w:pageBreakBefore w:val="0"/>
        <w:widowControl w:val="0"/>
        <w:numPr>
          <w:ilvl w:val="0"/>
          <w:numId w:val="0"/>
        </w:numPr>
        <w:pBdr>
          <w:bottom w:val="single" w:color="FFFFFF" w:sz="4" w:space="31"/>
        </w:pBdr>
        <w:tabs>
          <w:tab w:val="left" w:pos="1440"/>
        </w:tabs>
        <w:kinsoku/>
        <w:wordWrap/>
        <w:overflowPunct w:val="0"/>
        <w:topLinePunct w:val="0"/>
        <w:autoSpaceDE/>
        <w:autoSpaceDN/>
        <w:bidi w:val="0"/>
        <w:adjustRightInd/>
        <w:snapToGrid/>
        <w:spacing w:line="579" w:lineRule="exact"/>
        <w:ind w:firstLine="643" w:firstLineChars="200"/>
        <w:jc w:val="both"/>
        <w:textAlignment w:val="baseline"/>
        <w:rPr>
          <w:rFonts w:hint="default" w:ascii="仿宋_GB2312" w:hAnsi="仿宋_GB2312" w:eastAsia="仿宋_GB2312" w:cs="仿宋_GB2312"/>
          <w:color w:val="auto"/>
          <w:sz w:val="32"/>
          <w:szCs w:val="32"/>
          <w:lang w:val="en-US" w:eastAsia="zh-CN"/>
        </w:rPr>
      </w:pPr>
      <w:r>
        <w:rPr>
          <w:rFonts w:hint="eastAsia" w:ascii="楷体" w:hAnsi="楷体" w:eastAsia="楷体" w:cs="楷体"/>
          <w:b/>
          <w:bCs/>
          <w:sz w:val="32"/>
          <w:szCs w:val="32"/>
          <w:lang w:val="en-US" w:eastAsia="zh-CN"/>
        </w:rPr>
        <w:t>城乡建设统筹推进。</w:t>
      </w:r>
      <w:r>
        <w:rPr>
          <w:rFonts w:hint="eastAsia" w:ascii="仿宋_GB2312" w:hAnsi="仿宋_GB2312" w:eastAsia="仿宋_GB2312" w:cs="仿宋_GB2312"/>
          <w:b w:val="0"/>
          <w:bCs w:val="0"/>
          <w:sz w:val="32"/>
          <w:szCs w:val="32"/>
          <w:lang w:val="en-US" w:eastAsia="zh-CN"/>
        </w:rPr>
        <w:t>《鲁山县国土空间规划》报省厅审查，正在修改完善成果，完成21个乡镇国土空间规划调研工作</w:t>
      </w:r>
      <w:r>
        <w:rPr>
          <w:rFonts w:hint="eastAsia" w:ascii="仿宋_GB2312" w:hAnsi="仿宋_GB2312" w:eastAsia="仿宋_GB2312" w:cs="仿宋_GB2312"/>
          <w:bCs/>
          <w:snapToGrid w:val="0"/>
          <w:kern w:val="0"/>
          <w:sz w:val="32"/>
          <w:szCs w:val="32"/>
        </w:rPr>
        <w:t>，11个乡镇已形成初步成果</w:t>
      </w:r>
      <w:r>
        <w:rPr>
          <w:rFonts w:hint="eastAsia" w:ascii="仿宋_GB2312" w:hAnsi="仿宋_GB2312" w:eastAsia="仿宋_GB2312" w:cs="仿宋_GB2312"/>
          <w:bCs/>
          <w:snapToGrid w:val="0"/>
          <w:kern w:val="0"/>
          <w:sz w:val="32"/>
          <w:szCs w:val="32"/>
          <w:lang w:eastAsia="zh-CN"/>
        </w:rPr>
        <w:t>。</w:t>
      </w:r>
      <w:r>
        <w:rPr>
          <w:rFonts w:hint="eastAsia" w:ascii="仿宋_GB2312" w:hAnsi="仿宋_GB2312" w:eastAsia="仿宋_GB2312" w:cs="仿宋_GB2312"/>
          <w:b w:val="0"/>
          <w:bCs w:val="0"/>
          <w:sz w:val="32"/>
          <w:szCs w:val="32"/>
          <w:lang w:val="en-US" w:eastAsia="zh-CN"/>
        </w:rPr>
        <w:t>迎宾大道、滨河路实现通车，</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综合客运站、</w:t>
      </w:r>
      <w:r>
        <w:rPr>
          <w:rFonts w:hint="eastAsia" w:ascii="仿宋_GB2312" w:hAnsi="仿宋_GB2312" w:eastAsia="仿宋_GB2312" w:cs="仿宋_GB2312"/>
          <w:b w:val="0"/>
          <w:bCs w:val="0"/>
          <w:sz w:val="32"/>
          <w:szCs w:val="32"/>
          <w:lang w:val="en-US" w:eastAsia="zh-CN"/>
        </w:rPr>
        <w:t>尧山文化广场地下停车场、城南地下停车场综合体等项目加快</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i w:val="0"/>
          <w:iCs w:val="0"/>
          <w:caps w:val="0"/>
          <w:color w:val="auto"/>
          <w:spacing w:val="0"/>
          <w:sz w:val="32"/>
          <w:szCs w:val="32"/>
          <w:shd w:val="clear" w:fill="FFFFFF"/>
        </w:rPr>
        <w:t>新华、辛集棚户区改造</w:t>
      </w:r>
      <w:r>
        <w:rPr>
          <w:rFonts w:hint="eastAsia" w:ascii="仿宋_GB2312" w:hAnsi="仿宋_GB2312" w:eastAsia="仿宋_GB2312" w:cs="仿宋_GB2312"/>
          <w:i w:val="0"/>
          <w:iCs w:val="0"/>
          <w:caps w:val="0"/>
          <w:color w:val="auto"/>
          <w:spacing w:val="0"/>
          <w:sz w:val="32"/>
          <w:szCs w:val="32"/>
          <w:shd w:val="clear" w:fill="FFFFFF"/>
          <w:lang w:eastAsia="zh-CN"/>
        </w:rPr>
        <w:t>项目达到入住条件</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b w:val="0"/>
          <w:bCs w:val="0"/>
          <w:sz w:val="32"/>
          <w:szCs w:val="32"/>
          <w:lang w:eastAsia="zh-CN"/>
        </w:rPr>
        <w:t>完成</w:t>
      </w:r>
      <w:r>
        <w:rPr>
          <w:rFonts w:hint="eastAsia" w:ascii="仿宋_GB2312" w:hAnsi="仿宋_GB2312" w:eastAsia="仿宋_GB2312" w:cs="仿宋_GB2312"/>
          <w:b w:val="0"/>
          <w:bCs w:val="0"/>
          <w:sz w:val="32"/>
          <w:szCs w:val="32"/>
        </w:rPr>
        <w:t>城区西穆路、花园路、中州路</w:t>
      </w:r>
      <w:r>
        <w:rPr>
          <w:rFonts w:hint="eastAsia" w:ascii="仿宋_GB2312" w:hAnsi="仿宋_GB2312" w:eastAsia="仿宋_GB2312" w:cs="仿宋_GB2312"/>
          <w:b w:val="0"/>
          <w:bCs w:val="0"/>
          <w:sz w:val="32"/>
          <w:szCs w:val="32"/>
          <w:lang w:eastAsia="zh-CN"/>
        </w:rPr>
        <w:t>等</w:t>
      </w:r>
      <w:r>
        <w:rPr>
          <w:rFonts w:hint="eastAsia" w:ascii="仿宋_GB2312" w:hAnsi="仿宋_GB2312" w:eastAsia="仿宋_GB2312" w:cs="仿宋_GB2312"/>
          <w:sz w:val="32"/>
          <w:szCs w:val="32"/>
          <w:lang w:eastAsia="zh-CN"/>
        </w:rPr>
        <w:t>道路</w:t>
      </w:r>
      <w:r>
        <w:rPr>
          <w:rFonts w:hint="eastAsia" w:ascii="仿宋_GB2312" w:hAnsi="仿宋_GB2312" w:eastAsia="仿宋_GB2312" w:cs="仿宋_GB2312"/>
          <w:sz w:val="32"/>
          <w:szCs w:val="32"/>
        </w:rPr>
        <w:t>部分市政设施升级改造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更换窨井盖、雨水篦子635套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shd w:val="clear" w:color="auto" w:fill="FFFFFF"/>
          <w:lang w:eastAsia="zh-CN"/>
        </w:rPr>
        <w:t>加快</w:t>
      </w:r>
      <w:r>
        <w:rPr>
          <w:rFonts w:hint="eastAsia" w:ascii="仿宋_GB2312" w:hAnsi="仿宋_GB2312" w:eastAsia="仿宋_GB2312" w:cs="仿宋_GB2312"/>
          <w:sz w:val="32"/>
          <w:szCs w:val="32"/>
          <w:shd w:val="clear" w:color="auto" w:fill="FFFFFF"/>
          <w:lang w:val="en-US" w:eastAsia="zh-CN"/>
        </w:rPr>
        <w:t>推进</w:t>
      </w:r>
      <w:r>
        <w:rPr>
          <w:rFonts w:hint="eastAsia" w:ascii="仿宋_GB2312" w:hAnsi="仿宋_GB2312" w:eastAsia="仿宋_GB2312" w:cs="仿宋_GB2312"/>
          <w:sz w:val="32"/>
          <w:szCs w:val="32"/>
          <w:shd w:val="clear" w:color="auto" w:fill="FFFFFF"/>
          <w:lang w:eastAsia="zh-CN"/>
        </w:rPr>
        <w:t>平漯周高铁、焦唐高速、叶鲁高速、</w:t>
      </w:r>
      <w:r>
        <w:rPr>
          <w:rFonts w:hint="eastAsia" w:ascii="仿宋_GB2312" w:hAnsi="仿宋_GB2312" w:eastAsia="仿宋_GB2312" w:cs="仿宋_GB2312"/>
          <w:b w:val="0"/>
          <w:bCs w:val="0"/>
          <w:i w:val="0"/>
          <w:iCs w:val="0"/>
          <w:color w:val="auto"/>
          <w:kern w:val="0"/>
          <w:sz w:val="32"/>
          <w:szCs w:val="32"/>
          <w:u w:val="none"/>
          <w:lang w:val="en-US" w:eastAsia="zh-CN" w:bidi="ar"/>
        </w:rPr>
        <w:t>鲁平快速通道</w:t>
      </w:r>
      <w:r>
        <w:rPr>
          <w:rFonts w:hint="eastAsia" w:ascii="仿宋_GB2312" w:hAnsi="仿宋_GB2312" w:eastAsia="仿宋_GB2312" w:cs="仿宋_GB2312"/>
          <w:sz w:val="32"/>
          <w:szCs w:val="32"/>
          <w:shd w:val="clear" w:color="auto" w:fill="FFFFFF"/>
          <w:lang w:val="en-US" w:eastAsia="zh-CN"/>
        </w:rPr>
        <w:t>等项目</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color w:val="auto"/>
          <w:sz w:val="32"/>
          <w:szCs w:val="32"/>
        </w:rPr>
        <w:t>振兴路沙河桥加固改造</w:t>
      </w:r>
      <w:r>
        <w:rPr>
          <w:rFonts w:hint="eastAsia" w:ascii="仿宋_GB2312" w:hAnsi="仿宋_GB2312" w:eastAsia="仿宋_GB2312" w:cs="仿宋_GB2312"/>
          <w:color w:val="auto"/>
          <w:sz w:val="32"/>
          <w:szCs w:val="32"/>
          <w:lang w:val="en-US" w:eastAsia="zh-CN"/>
        </w:rPr>
        <w:t>工程完工通车</w:t>
      </w:r>
      <w:r>
        <w:rPr>
          <w:rFonts w:hint="eastAsia" w:ascii="仿宋_GB2312" w:hAnsi="仿宋_GB2312" w:eastAsia="仿宋_GB2312" w:cs="仿宋_GB2312"/>
          <w:b w:val="0"/>
          <w:bCs w:val="0"/>
          <w:i w:val="0"/>
          <w:iCs w:val="0"/>
          <w:color w:val="auto"/>
          <w:kern w:val="0"/>
          <w:sz w:val="32"/>
          <w:szCs w:val="32"/>
          <w:u w:val="none"/>
          <w:lang w:val="en-US" w:eastAsia="zh-CN" w:bidi="ar"/>
        </w:rPr>
        <w:t>，S240济邓线安防及路面修复工程主体完工。</w:t>
      </w:r>
      <w:r>
        <w:rPr>
          <w:rFonts w:hint="eastAsia" w:ascii="仿宋_GB2312" w:hAnsi="仿宋_GB2312" w:eastAsia="仿宋_GB2312" w:cs="仿宋_GB2312"/>
          <w:b w:val="0"/>
          <w:bCs w:val="0"/>
          <w:spacing w:val="0"/>
          <w:sz w:val="32"/>
          <w:szCs w:val="32"/>
          <w:lang w:val="en-US" w:eastAsia="zh-CN"/>
        </w:rPr>
        <w:t>220千伏昭平输变电工程建成投用，完成农村电网升级改造单项工程226个，姚电100兆瓦风电项目、牛心山风电项目实现部分风机并网发电。</w:t>
      </w:r>
      <w:r>
        <w:rPr>
          <w:rFonts w:hint="eastAsia" w:ascii="仿宋_GB2312" w:hAnsi="仿宋_GB2312" w:eastAsia="仿宋_GB2312" w:cs="仿宋_GB2312"/>
          <w:color w:val="000000"/>
          <w:sz w:val="32"/>
          <w:szCs w:val="32"/>
        </w:rPr>
        <w:t>完成百县</w:t>
      </w:r>
      <w:r>
        <w:rPr>
          <w:rFonts w:hint="eastAsia" w:ascii="仿宋_GB2312" w:hAnsi="仿宋_GB2312" w:eastAsia="仿宋_GB2312" w:cs="仿宋_GB2312"/>
          <w:sz w:val="32"/>
          <w:szCs w:val="32"/>
        </w:rPr>
        <w:t>通村入组项目19个，里程41.15公里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val="en-US" w:eastAsia="zh-CN"/>
        </w:rPr>
        <w:t>改扩建农村公路89公里。环湖路荣获全国“十大美丽农村路”，石林路荣获全省“最美国省干线公路”。开展“非农化”“非粮化”专项治理活动，全年粮食播种面积稳定在95万亩以上，粮食总产23.1万吨。新建高标准农田5万亩。蔬菜面积10.5万亩，酥梨面积达到10万亩，食用菌总量3.6亿袋，牛饲养量达到4万头，成功续创“河南省养牛大县培育县”，“</w:t>
      </w:r>
      <w:r>
        <w:rPr>
          <w:rFonts w:hint="eastAsia" w:ascii="仿宋_GB2312" w:hAnsi="Times New Roman" w:eastAsia="仿宋_GB2312" w:cs="Times New Roman"/>
          <w:color w:val="auto"/>
          <w:sz w:val="32"/>
          <w:szCs w:val="32"/>
          <w:highlight w:val="none"/>
          <w:lang w:val="en-US" w:eastAsia="zh-CN"/>
        </w:rPr>
        <w:t>全省农产品质量安全县”通过复验</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trike w:val="0"/>
          <w:dstrike w:val="0"/>
          <w:color w:val="auto"/>
          <w:sz w:val="32"/>
          <w:szCs w:val="32"/>
          <w:lang w:val="en-US" w:eastAsia="zh-CN"/>
        </w:rPr>
        <w:t>新建农户户厕6475户，</w:t>
      </w:r>
      <w:r>
        <w:rPr>
          <w:rFonts w:hint="eastAsia" w:ascii="仿宋_GB2312" w:hAnsi="仿宋_GB2312" w:eastAsia="仿宋_GB2312" w:cs="仿宋_GB2312"/>
          <w:color w:val="auto"/>
          <w:sz w:val="32"/>
          <w:szCs w:val="32"/>
          <w:lang w:val="en-US" w:eastAsia="zh-CN"/>
        </w:rPr>
        <w:t>完成尧山镇、张良镇等9个乡镇生活污水处理设施建设，</w:t>
      </w:r>
      <w:r>
        <w:rPr>
          <w:rFonts w:hint="eastAsia" w:ascii="仿宋_GB2312" w:hAnsi="仿宋_GB2312" w:eastAsia="仿宋_GB2312" w:cs="仿宋_GB2312"/>
          <w:sz w:val="32"/>
          <w:szCs w:val="32"/>
        </w:rPr>
        <w:t>投资4000余万元，改善和提升5万群众的饮水条</w:t>
      </w:r>
      <w:r>
        <w:rPr>
          <w:rFonts w:hint="eastAsia" w:ascii="仿宋_GB2312" w:hAnsi="仿宋_GB2312" w:eastAsia="仿宋_GB2312" w:cs="仿宋_GB2312"/>
          <w:b w:val="0"/>
          <w:bCs w:val="0"/>
          <w:kern w:val="2"/>
          <w:sz w:val="32"/>
          <w:szCs w:val="32"/>
          <w:lang w:val="en-US" w:eastAsia="zh-CN" w:bidi="ar-SA"/>
        </w:rPr>
        <w:t>件。守牢防返贫致贫底线，激发内生发展动力，</w:t>
      </w:r>
      <w:r>
        <w:rPr>
          <w:rFonts w:hint="eastAsia" w:ascii="仿宋_GB2312" w:hAnsi="仿宋_GB2312" w:eastAsia="仿宋_GB2312" w:cs="仿宋_GB2312"/>
          <w:strike w:val="0"/>
          <w:dstrike w:val="0"/>
          <w:color w:val="auto"/>
          <w:sz w:val="32"/>
          <w:szCs w:val="32"/>
          <w:lang w:val="en-US" w:eastAsia="zh-CN"/>
        </w:rPr>
        <w:t>全年发放务工类奖补资金878.11万元。乡村面貌焕然一新，</w:t>
      </w:r>
      <w:r>
        <w:rPr>
          <w:rFonts w:hint="eastAsia" w:ascii="仿宋_GB2312" w:hAnsi="仿宋_GB2312" w:eastAsia="仿宋_GB2312" w:cs="仿宋_GB2312"/>
          <w:b w:val="0"/>
          <w:bCs w:val="0"/>
          <w:sz w:val="32"/>
          <w:szCs w:val="32"/>
          <w:lang w:val="en-US" w:eastAsia="zh-CN"/>
        </w:rPr>
        <w:t>成功创建国家卫生乡镇 2个，省级卫生乡镇1个，省级健康乡镇3个，省级健康村5个，省级卫生村100个，省级健康单位5个。</w:t>
      </w:r>
    </w:p>
    <w:p>
      <w:pPr>
        <w:keepNext w:val="0"/>
        <w:keepLines w:val="0"/>
        <w:pageBreakBefore w:val="0"/>
        <w:widowControl w:val="0"/>
        <w:numPr>
          <w:ilvl w:val="0"/>
          <w:numId w:val="0"/>
        </w:numPr>
        <w:pBdr>
          <w:bottom w:val="single" w:color="FFFFFF" w:sz="4" w:space="31"/>
        </w:pBdr>
        <w:tabs>
          <w:tab w:val="left" w:pos="1440"/>
        </w:tabs>
        <w:kinsoku/>
        <w:wordWrap/>
        <w:overflowPunct w:val="0"/>
        <w:topLinePunct w:val="0"/>
        <w:autoSpaceDE/>
        <w:autoSpaceDN/>
        <w:bidi w:val="0"/>
        <w:adjustRightInd/>
        <w:snapToGrid/>
        <w:spacing w:line="579" w:lineRule="exact"/>
        <w:ind w:firstLine="643" w:firstLineChars="200"/>
        <w:jc w:val="both"/>
        <w:textAlignment w:val="baseline"/>
        <w:rPr>
          <w:rFonts w:hint="eastAsia" w:ascii="仿宋_GB2312" w:hAnsi="Times New Roman" w:eastAsia="仿宋_GB2312" w:cs="Times New Roman"/>
          <w:color w:val="auto"/>
          <w:sz w:val="32"/>
          <w:szCs w:val="32"/>
          <w:highlight w:val="none"/>
          <w:lang w:val="en-US" w:eastAsia="zh-CN"/>
        </w:rPr>
      </w:pPr>
      <w:r>
        <w:rPr>
          <w:rFonts w:hint="eastAsia" w:ascii="楷体" w:hAnsi="楷体" w:eastAsia="楷体" w:cs="楷体"/>
          <w:b/>
          <w:bCs/>
          <w:color w:val="auto"/>
          <w:sz w:val="32"/>
          <w:szCs w:val="32"/>
          <w:lang w:val="en-US" w:eastAsia="zh-CN"/>
        </w:rPr>
        <w:t>产业体系夯实根基。</w:t>
      </w:r>
      <w:r>
        <w:rPr>
          <w:rFonts w:hint="eastAsia" w:ascii="仿宋_GB2312" w:hAnsi="仿宋_GB2312" w:eastAsia="仿宋_GB2312" w:cs="仿宋_GB2312"/>
          <w:color w:val="auto"/>
          <w:sz w:val="32"/>
          <w:szCs w:val="32"/>
          <w:lang w:val="en-US" w:eastAsia="zh-CN"/>
        </w:rPr>
        <w:t>树牢“大抓产业，抓大产业”的鲜明导向，推动一二三产业取得新进展新提升。围绕打造食用菌、林果、畜禽养殖、蔬菜四大优势特色产业，积极发展新产业新业</w:t>
      </w:r>
      <w:r>
        <w:rPr>
          <w:rFonts w:hint="eastAsia" w:ascii="仿宋_GB2312" w:hAnsi="Times New Roman" w:eastAsia="仿宋_GB2312" w:cs="Times New Roman"/>
          <w:color w:val="auto"/>
          <w:sz w:val="32"/>
          <w:szCs w:val="32"/>
          <w:highlight w:val="none"/>
          <w:lang w:val="en-US" w:eastAsia="zh-CN"/>
        </w:rPr>
        <w:t>态，君爱菌、九九乡情、尧荣菌业3家企业3个绿色食品完成认证，中华蜂蜜、鲁山羊、鲁山梨3个产品申报“全国名特优新产品”，新增农民专业合作社省级示范社2家、市级示范社7家，创建现代农业产业园3个，马楼乡成功创建国家级农业产业强镇。</w:t>
      </w:r>
      <w:r>
        <w:rPr>
          <w:rFonts w:hint="eastAsia" w:ascii="仿宋_GB2312" w:hAnsi="Times New Roman" w:eastAsia="仿宋_GB2312" w:cs="Times New Roman"/>
          <w:color w:val="auto"/>
          <w:sz w:val="32"/>
          <w:szCs w:val="32"/>
          <w:highlight w:val="none"/>
          <w:lang w:val="en-US" w:eastAsia="zh-CN"/>
        </w:rPr>
        <w:t>“两集群三基地”现代化产业体系建设加快推进，引进了江河机械新材料产业园二期、沣瑞食品二期等项目，加快形成产业优势。重点培育鲁阳电厂、远中电气、中恒致远旅游装备制造、炜成食品、万恒塑胶等企业成长为链主型龙头企业。转型升级洁利康、康之芽、华旭石墨等传统产业。旅游装备产业园顺利开工建设。全县注册文旅类集团公司5家、文旅企业200余家，引进知名旅游装备制造企业7家，国家级首个玻璃水滑类游乐设施国家标准在鲁山产生，“总部经济”集聚效应逐渐显现。培育花开四季、那年那夕、渔溪小筑等一批精品高端民宿和“豫涧”品牌氧吧民宿集群。温泉康养、森林康养、食药康养、民宿康养、氧吧康养等康养体系成功构建。全年接</w:t>
      </w:r>
      <w:r>
        <w:rPr>
          <w:rFonts w:hint="eastAsia" w:ascii="仿宋_GB2312" w:hAnsi="仿宋_GB2312" w:eastAsia="仿宋_GB2312" w:cs="仿宋_GB2312"/>
          <w:sz w:val="32"/>
          <w:szCs w:val="32"/>
          <w:lang w:val="en-US" w:eastAsia="zh-CN"/>
        </w:rPr>
        <w:t>待游客936万人次，实现旅游收入38.6亿元。四棵树乡云栖谷景区成功创建国家3A级旅游</w:t>
      </w:r>
      <w:r>
        <w:rPr>
          <w:rFonts w:hint="eastAsia" w:ascii="仿宋_GB2312" w:hAnsi="仿宋_GB2312" w:eastAsia="仿宋_GB2312" w:cs="仿宋_GB2312"/>
          <w:b w:val="0"/>
          <w:bCs w:val="0"/>
          <w:sz w:val="32"/>
          <w:szCs w:val="32"/>
          <w:lang w:val="en-US" w:eastAsia="zh-CN"/>
        </w:rPr>
        <w:t>景区，</w:t>
      </w:r>
      <w:r>
        <w:rPr>
          <w:rFonts w:hint="eastAsia" w:ascii="仿宋_GB2312" w:hAnsi="仿宋_GB2312" w:eastAsia="仿宋_GB2312" w:cs="仿宋_GB2312"/>
          <w:sz w:val="32"/>
          <w:szCs w:val="32"/>
          <w:lang w:val="en-US" w:eastAsia="zh-CN"/>
        </w:rPr>
        <w:t>瓦屋镇荣获省级特色旅游示范镇称号，尧山镇大庄村荣获省级乡村旅游特色村称号，赵村镇上汤村、梁洼镇鹁鸽吴村等6个村荣获省级乡村康养旅游示范村称号</w:t>
      </w:r>
      <w:r>
        <w:rPr>
          <w:rFonts w:hint="eastAsia" w:ascii="仿宋_GB2312"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pBdr>
          <w:bottom w:val="single" w:color="FFFFFF" w:sz="4" w:space="31"/>
        </w:pBdr>
        <w:tabs>
          <w:tab w:val="left" w:pos="1440"/>
        </w:tabs>
        <w:kinsoku/>
        <w:wordWrap/>
        <w:overflowPunct w:val="0"/>
        <w:topLinePunct w:val="0"/>
        <w:autoSpaceDE/>
        <w:autoSpaceDN/>
        <w:bidi w:val="0"/>
        <w:adjustRightInd/>
        <w:snapToGrid/>
        <w:spacing w:line="579" w:lineRule="exact"/>
        <w:ind w:firstLine="643"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生态文明谱写新篇。</w:t>
      </w:r>
      <w:r>
        <w:rPr>
          <w:rFonts w:hint="eastAsia" w:ascii="仿宋_GB2312" w:hAnsi="Times New Roman" w:eastAsia="仿宋_GB2312" w:cs="Times New Roman"/>
          <w:color w:val="auto"/>
          <w:sz w:val="32"/>
          <w:szCs w:val="32"/>
          <w:highlight w:val="none"/>
          <w:lang w:val="en-US" w:eastAsia="zh-CN"/>
        </w:rPr>
        <w:t>持续打好三大攻坚战，完成省定19个乡（镇）空气自动监测站</w:t>
      </w:r>
      <w:r>
        <w:rPr>
          <w:rFonts w:hint="eastAsia" w:ascii="仿宋_GB2312" w:hAnsi="Times New Roman" w:eastAsia="仿宋_GB2312" w:cs="Times New Roman"/>
          <w:color w:val="auto"/>
          <w:sz w:val="32"/>
          <w:szCs w:val="32"/>
          <w:highlight w:val="none"/>
        </w:rPr>
        <w:t>“二因子升六因子”</w:t>
      </w:r>
      <w:r>
        <w:rPr>
          <w:rFonts w:hint="eastAsia" w:ascii="仿宋_GB2312" w:hAnsi="Times New Roman" w:eastAsia="仿宋_GB2312" w:cs="Times New Roman"/>
          <w:color w:val="auto"/>
          <w:sz w:val="32"/>
          <w:szCs w:val="32"/>
          <w:highlight w:val="none"/>
          <w:lang w:val="en-US" w:eastAsia="zh-CN"/>
        </w:rPr>
        <w:t>升级改造任务，。</w:t>
      </w:r>
      <w:r>
        <w:rPr>
          <w:rFonts w:hint="eastAsia" w:ascii="仿宋_GB2312" w:hAnsi="Times New Roman" w:eastAsia="仿宋_GB2312" w:cs="Times New Roman"/>
          <w:color w:val="auto"/>
          <w:sz w:val="32"/>
          <w:szCs w:val="32"/>
          <w:highlight w:val="none"/>
        </w:rPr>
        <w:t>PM</w:t>
      </w:r>
      <w:r>
        <w:rPr>
          <w:rFonts w:hint="eastAsia" w:ascii="仿宋_GB2312" w:hAnsi="仿宋_GB2312" w:eastAsia="仿宋_GB2312" w:cs="仿宋_GB2312"/>
          <w:color w:val="auto"/>
          <w:sz w:val="32"/>
          <w:szCs w:val="32"/>
          <w:vertAlign w:val="subscript"/>
        </w:rPr>
        <w:t>10</w:t>
      </w:r>
      <w:r>
        <w:rPr>
          <w:rFonts w:hint="eastAsia" w:ascii="仿宋_GB2312" w:hAnsi="Times New Roman" w:eastAsia="仿宋_GB2312" w:cs="Times New Roman"/>
          <w:color w:val="auto"/>
          <w:sz w:val="32"/>
          <w:szCs w:val="32"/>
          <w:highlight w:val="none"/>
        </w:rPr>
        <w:t>平均浓度</w:t>
      </w:r>
      <w:r>
        <w:rPr>
          <w:rFonts w:hint="eastAsia" w:ascii="仿宋_GB2312" w:hAnsi="Times New Roman" w:eastAsia="仿宋_GB2312" w:cs="Times New Roman"/>
          <w:color w:val="auto"/>
          <w:sz w:val="32"/>
          <w:szCs w:val="32"/>
          <w:highlight w:val="none"/>
          <w:lang w:val="en-US" w:eastAsia="zh-CN"/>
        </w:rPr>
        <w:t>75</w:t>
      </w:r>
      <w:r>
        <w:rPr>
          <w:rFonts w:hint="eastAsia" w:ascii="仿宋_GB2312" w:hAnsi="Times New Roman" w:eastAsia="仿宋_GB2312" w:cs="Times New Roman"/>
          <w:color w:val="auto"/>
          <w:sz w:val="32"/>
          <w:szCs w:val="32"/>
          <w:highlight w:val="none"/>
        </w:rPr>
        <w:t>微克/立方米</w:t>
      </w:r>
      <w:r>
        <w:rPr>
          <w:rFonts w:hint="eastAsia" w:ascii="仿宋_GB2312" w:hAnsi="Times New Roman" w:eastAsia="仿宋_GB2312" w:cs="Times New Roman"/>
          <w:color w:val="auto"/>
          <w:sz w:val="32"/>
          <w:szCs w:val="32"/>
          <w:highlight w:val="none"/>
          <w:lang w:eastAsia="zh-CN"/>
        </w:rPr>
        <w:t>，同比下降</w:t>
      </w:r>
      <w:r>
        <w:rPr>
          <w:rFonts w:hint="eastAsia" w:ascii="仿宋_GB2312" w:hAnsi="Times New Roman" w:eastAsia="仿宋_GB2312" w:cs="Times New Roman"/>
          <w:color w:val="auto"/>
          <w:sz w:val="32"/>
          <w:szCs w:val="32"/>
          <w:highlight w:val="none"/>
          <w:lang w:val="en-US" w:eastAsia="zh-CN"/>
        </w:rPr>
        <w:t>13</w:t>
      </w:r>
      <w:r>
        <w:rPr>
          <w:rFonts w:hint="eastAsia" w:ascii="仿宋_GB2312" w:hAnsi="Times New Roman" w:eastAsia="仿宋_GB2312" w:cs="Times New Roman"/>
          <w:color w:val="auto"/>
          <w:sz w:val="32"/>
          <w:szCs w:val="32"/>
          <w:highlight w:val="none"/>
        </w:rPr>
        <w:t>微克/立方米</w:t>
      </w:r>
      <w:r>
        <w:rPr>
          <w:rFonts w:hint="eastAsia" w:ascii="仿宋_GB2312" w:hAnsi="Times New Roman" w:eastAsia="仿宋_GB2312" w:cs="Times New Roman"/>
          <w:color w:val="auto"/>
          <w:sz w:val="32"/>
          <w:szCs w:val="32"/>
          <w:highlight w:val="none"/>
          <w:lang w:eastAsia="zh-CN"/>
        </w:rPr>
        <w:t>，</w:t>
      </w:r>
      <w:r>
        <w:rPr>
          <w:rFonts w:hint="eastAsia" w:ascii="仿宋_GB2312" w:hAnsi="仿宋_GB2312" w:eastAsia="仿宋_GB2312" w:cs="仿宋_GB2312"/>
          <w:color w:val="auto"/>
          <w:sz w:val="32"/>
          <w:szCs w:val="32"/>
        </w:rPr>
        <w:t>PM</w:t>
      </w:r>
      <w:r>
        <w:rPr>
          <w:rFonts w:hint="eastAsia" w:ascii="仿宋_GB2312" w:hAnsi="仿宋_GB2312" w:eastAsia="仿宋_GB2312" w:cs="仿宋_GB2312"/>
          <w:color w:val="auto"/>
          <w:sz w:val="32"/>
          <w:szCs w:val="32"/>
          <w:vertAlign w:val="subscript"/>
        </w:rPr>
        <w:t>2.5</w:t>
      </w:r>
      <w:r>
        <w:rPr>
          <w:rFonts w:hint="eastAsia" w:ascii="仿宋_GB2312" w:hAnsi="Times New Roman" w:eastAsia="仿宋_GB2312" w:cs="Times New Roman"/>
          <w:color w:val="auto"/>
          <w:sz w:val="32"/>
          <w:szCs w:val="32"/>
          <w:highlight w:val="none"/>
        </w:rPr>
        <w:t>平均浓度</w:t>
      </w:r>
      <w:r>
        <w:rPr>
          <w:rFonts w:hint="eastAsia" w:ascii="仿宋_GB2312" w:hAnsi="Times New Roman" w:eastAsia="仿宋_GB2312" w:cs="Times New Roman"/>
          <w:color w:val="auto"/>
          <w:sz w:val="32"/>
          <w:szCs w:val="32"/>
          <w:highlight w:val="none"/>
          <w:lang w:val="en-US" w:eastAsia="zh-CN"/>
        </w:rPr>
        <w:t>35</w:t>
      </w:r>
      <w:r>
        <w:rPr>
          <w:rFonts w:hint="eastAsia" w:ascii="仿宋_GB2312" w:hAnsi="Times New Roman" w:eastAsia="仿宋_GB2312" w:cs="Times New Roman"/>
          <w:color w:val="auto"/>
          <w:sz w:val="32"/>
          <w:szCs w:val="32"/>
          <w:highlight w:val="none"/>
        </w:rPr>
        <w:t>微克/立方米，</w:t>
      </w:r>
      <w:r>
        <w:rPr>
          <w:rFonts w:hint="eastAsia" w:ascii="仿宋_GB2312" w:hAnsi="Times New Roman" w:eastAsia="仿宋_GB2312" w:cs="Times New Roman"/>
          <w:color w:val="auto"/>
          <w:sz w:val="32"/>
          <w:szCs w:val="32"/>
          <w:highlight w:val="none"/>
          <w:lang w:eastAsia="zh-CN"/>
        </w:rPr>
        <w:t>同比下降</w:t>
      </w:r>
      <w:r>
        <w:rPr>
          <w:rFonts w:hint="eastAsia" w:ascii="仿宋_GB2312" w:hAnsi="Times New Roman" w:eastAsia="仿宋_GB2312" w:cs="Times New Roman"/>
          <w:color w:val="auto"/>
          <w:sz w:val="32"/>
          <w:szCs w:val="32"/>
          <w:highlight w:val="none"/>
          <w:lang w:val="en-US" w:eastAsia="zh-CN"/>
        </w:rPr>
        <w:t>5</w:t>
      </w:r>
      <w:r>
        <w:rPr>
          <w:rFonts w:hint="eastAsia" w:ascii="仿宋_GB2312" w:hAnsi="Times New Roman" w:eastAsia="仿宋_GB2312" w:cs="Times New Roman"/>
          <w:color w:val="auto"/>
          <w:sz w:val="32"/>
          <w:szCs w:val="32"/>
          <w:highlight w:val="none"/>
        </w:rPr>
        <w:t>微克/立方米</w:t>
      </w:r>
      <w:r>
        <w:rPr>
          <w:rFonts w:hint="eastAsia" w:ascii="仿宋_GB2312" w:hAnsi="Times New Roman" w:eastAsia="仿宋_GB2312" w:cs="Times New Roman"/>
          <w:color w:val="auto"/>
          <w:sz w:val="32"/>
          <w:szCs w:val="32"/>
          <w:highlight w:val="none"/>
          <w:lang w:eastAsia="zh-CN"/>
        </w:rPr>
        <w:t>，位居全市第一，</w:t>
      </w:r>
      <w:r>
        <w:rPr>
          <w:rFonts w:hint="eastAsia" w:ascii="仿宋_GB2312" w:hAnsi="Times New Roman" w:eastAsia="仿宋_GB2312" w:cs="Times New Roman"/>
          <w:color w:val="auto"/>
          <w:sz w:val="32"/>
          <w:szCs w:val="32"/>
          <w:highlight w:val="none"/>
        </w:rPr>
        <w:t>优良天数2</w:t>
      </w:r>
      <w:r>
        <w:rPr>
          <w:rFonts w:hint="eastAsia" w:ascii="仿宋_GB2312" w:hAnsi="Times New Roman" w:eastAsia="仿宋_GB2312" w:cs="Times New Roman"/>
          <w:color w:val="auto"/>
          <w:sz w:val="32"/>
          <w:szCs w:val="32"/>
          <w:highlight w:val="none"/>
          <w:lang w:val="en-US" w:eastAsia="zh-CN"/>
        </w:rPr>
        <w:t>87</w:t>
      </w:r>
      <w:r>
        <w:rPr>
          <w:rFonts w:hint="eastAsia" w:ascii="仿宋_GB2312" w:hAnsi="Times New Roman" w:eastAsia="仿宋_GB2312" w:cs="Times New Roman"/>
          <w:color w:val="auto"/>
          <w:sz w:val="32"/>
          <w:szCs w:val="32"/>
          <w:highlight w:val="none"/>
        </w:rPr>
        <w:t>天，</w:t>
      </w:r>
      <w:r>
        <w:rPr>
          <w:rFonts w:hint="eastAsia" w:ascii="仿宋_GB2312" w:hAnsi="Times New Roman" w:eastAsia="仿宋_GB2312" w:cs="Times New Roman"/>
          <w:color w:val="auto"/>
          <w:sz w:val="32"/>
          <w:szCs w:val="32"/>
          <w:highlight w:val="none"/>
          <w:lang w:eastAsia="zh-CN"/>
        </w:rPr>
        <w:t>同比增加</w:t>
      </w:r>
      <w:r>
        <w:rPr>
          <w:rFonts w:hint="eastAsia" w:ascii="仿宋_GB2312" w:hAnsi="Times New Roman" w:eastAsia="仿宋_GB2312" w:cs="Times New Roman"/>
          <w:color w:val="auto"/>
          <w:sz w:val="32"/>
          <w:szCs w:val="32"/>
          <w:highlight w:val="none"/>
          <w:lang w:val="en-US" w:eastAsia="zh-CN"/>
        </w:rPr>
        <w:t>6天，</w:t>
      </w:r>
      <w:r>
        <w:rPr>
          <w:rFonts w:hint="eastAsia" w:ascii="仿宋_GB2312" w:hAnsi="Times New Roman" w:eastAsia="仿宋_GB2312" w:cs="Times New Roman"/>
          <w:color w:val="auto"/>
          <w:sz w:val="32"/>
          <w:szCs w:val="32"/>
          <w:highlight w:val="none"/>
          <w:lang w:eastAsia="zh-CN"/>
        </w:rPr>
        <w:t>再次成功创建</w:t>
      </w:r>
      <w:r>
        <w:rPr>
          <w:rFonts w:hint="eastAsia" w:ascii="仿宋_GB2312" w:hAnsi="Times New Roman" w:eastAsia="仿宋_GB2312" w:cs="Times New Roman"/>
          <w:color w:val="auto"/>
          <w:sz w:val="32"/>
          <w:szCs w:val="32"/>
          <w:highlight w:val="none"/>
          <w:lang w:val="en-US" w:eastAsia="zh-CN"/>
        </w:rPr>
        <w:t>省级</w:t>
      </w:r>
      <w:r>
        <w:rPr>
          <w:rFonts w:hint="eastAsia" w:ascii="仿宋_GB2312" w:hAnsi="Times New Roman" w:eastAsia="仿宋_GB2312" w:cs="Times New Roman"/>
          <w:color w:val="auto"/>
          <w:sz w:val="32"/>
          <w:szCs w:val="32"/>
          <w:highlight w:val="none"/>
          <w:lang w:eastAsia="zh-CN"/>
        </w:rPr>
        <w:t>空气质量二级达标县。全力保障</w:t>
      </w:r>
      <w:r>
        <w:rPr>
          <w:rFonts w:hint="eastAsia" w:ascii="仿宋_GB2312" w:hAnsi="Times New Roman" w:eastAsia="仿宋_GB2312" w:cs="Times New Roman"/>
          <w:color w:val="auto"/>
          <w:sz w:val="32"/>
          <w:szCs w:val="32"/>
          <w:highlight w:val="none"/>
        </w:rPr>
        <w:t>水</w:t>
      </w:r>
      <w:r>
        <w:rPr>
          <w:rFonts w:hint="eastAsia" w:ascii="仿宋_GB2312" w:hAnsi="Times New Roman" w:eastAsia="仿宋_GB2312" w:cs="Times New Roman"/>
          <w:color w:val="auto"/>
          <w:sz w:val="32"/>
          <w:szCs w:val="32"/>
          <w:highlight w:val="none"/>
          <w:lang w:eastAsia="zh-CN"/>
        </w:rPr>
        <w:t>环境质量，</w:t>
      </w:r>
      <w:r>
        <w:rPr>
          <w:rFonts w:hint="eastAsia" w:ascii="仿宋_GB2312" w:hAnsi="Times New Roman" w:eastAsia="仿宋_GB2312" w:cs="Times New Roman"/>
          <w:color w:val="auto"/>
          <w:sz w:val="32"/>
          <w:szCs w:val="32"/>
          <w:highlight w:val="none"/>
          <w:lang w:val="en-US" w:eastAsia="zh-CN"/>
        </w:rPr>
        <w:t>出境水断面水质全面达标，全县集中式饮用水源地取水水质累计达标率100%，2个国控、省控和5个市控地表水断面水质综合达标率81.62%，优于市定目标。稳步推进土壤污染防治，耕地安全利用率和重点建设用地安全利用率均达100％。</w:t>
      </w:r>
      <w:r>
        <w:rPr>
          <w:rFonts w:hint="eastAsia" w:ascii="仿宋_GB2312" w:hAnsi="仿宋_GB2312" w:eastAsia="仿宋_GB2312" w:cs="仿宋_GB2312"/>
          <w:sz w:val="32"/>
          <w:szCs w:val="32"/>
          <w:lang w:val="en-US" w:eastAsia="zh-CN"/>
        </w:rPr>
        <w:t>全年新增26.2万平方米节能建筑，新建项目建筑节能设计标准执行率、实施率均达到100%，建筑领域实现绿色低碳发展。</w:t>
      </w:r>
      <w:r>
        <w:rPr>
          <w:rFonts w:hint="eastAsia" w:ascii="仿宋_GB2312" w:hAnsi="仿宋_GB2312" w:eastAsia="仿宋_GB2312" w:cs="仿宋_GB2312"/>
          <w:color w:val="auto"/>
          <w:sz w:val="32"/>
          <w:szCs w:val="32"/>
          <w:lang w:val="en-US" w:eastAsia="zh-CN"/>
        </w:rPr>
        <w:t>农业生态保护持续推进，182家规模养殖场粪污处理设施配套任务全部完成，棚膜回收率97.7%，秸秆综合利用率94.8%。</w:t>
      </w:r>
      <w:r>
        <w:rPr>
          <w:rFonts w:hint="eastAsia" w:ascii="仿宋_GB2312" w:hAnsi="Times New Roman" w:eastAsia="仿宋_GB2312" w:cs="Times New Roman"/>
          <w:color w:val="auto"/>
          <w:sz w:val="32"/>
          <w:szCs w:val="32"/>
          <w:highlight w:val="none"/>
          <w:lang w:val="en-US" w:eastAsia="zh-CN"/>
        </w:rPr>
        <w:t>完成山区生态林建设1700亩，累计栽植女贞、雪松、侧柏等苗木45万株，创建市级森林乡村20个。成功续创“中国天然氧吧”。</w:t>
      </w:r>
    </w:p>
    <w:p>
      <w:pPr>
        <w:keepNext w:val="0"/>
        <w:keepLines w:val="0"/>
        <w:pageBreakBefore w:val="0"/>
        <w:widowControl w:val="0"/>
        <w:pBdr>
          <w:bottom w:val="single" w:color="FFFFFF" w:sz="4" w:space="31"/>
        </w:pBdr>
        <w:kinsoku/>
        <w:wordWrap/>
        <w:topLinePunct w:val="0"/>
        <w:autoSpaceDE w:val="0"/>
        <w:autoSpaceDN/>
        <w:bidi w:val="0"/>
        <w:adjustRightInd/>
        <w:snapToGrid/>
        <w:spacing w:line="579" w:lineRule="exact"/>
        <w:ind w:firstLine="643" w:firstLineChars="200"/>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color w:val="auto"/>
          <w:sz w:val="32"/>
          <w:szCs w:val="32"/>
          <w:highlight w:val="none"/>
          <w:lang w:val="en-US" w:eastAsia="zh-CN"/>
        </w:rPr>
        <w:t>民生福祉持续改善。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“人人持证、技能河南”完成职业技能培训4.1万人次，新增技能人才2.3万人</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strike w:val="0"/>
          <w:dstrike w:val="0"/>
          <w:color w:val="auto"/>
          <w:sz w:val="32"/>
          <w:szCs w:val="32"/>
          <w:lang w:val="en-US" w:eastAsia="zh-CN"/>
        </w:rPr>
        <w:t>城镇新增就业1.4万人，新增返乡创业1910人。完善基础设施，提高教育质量，新（改）建4所寄宿制小学，增加学位680个，新（改）建幼儿园８所，完成5所中小学校校舍改善，建成99套教师周转宿舍。教育成效持续巩固，县一高</w:t>
      </w:r>
      <w:r>
        <w:rPr>
          <w:rFonts w:hint="eastAsia" w:ascii="仿宋_GB2312" w:hAnsi="仿宋_GB2312" w:eastAsia="仿宋_GB2312" w:cs="仿宋_GB2312"/>
          <w:sz w:val="32"/>
          <w:szCs w:val="32"/>
        </w:rPr>
        <w:t>10名学</w:t>
      </w:r>
      <w:r>
        <w:rPr>
          <w:rFonts w:hint="eastAsia" w:ascii="仿宋_GB2312" w:hAnsi="仿宋_GB2312" w:eastAsia="仿宋_GB2312" w:cs="仿宋_GB2312"/>
          <w:sz w:val="32"/>
          <w:szCs w:val="32"/>
          <w:lang w:val="en-US" w:eastAsia="zh-CN"/>
        </w:rPr>
        <w:t>生</w:t>
      </w:r>
      <w:r>
        <w:rPr>
          <w:rFonts w:hint="eastAsia" w:ascii="仿宋_GB2312" w:hAnsi="仿宋_GB2312" w:eastAsia="仿宋_GB2312" w:cs="仿宋_GB2312"/>
          <w:sz w:val="32"/>
          <w:szCs w:val="32"/>
        </w:rPr>
        <w:t>被清华、北大录取，</w:t>
      </w:r>
      <w:r>
        <w:rPr>
          <w:rFonts w:hint="eastAsia" w:ascii="仿宋_GB2312" w:hAnsi="仿宋_GB2312" w:eastAsia="仿宋_GB2312" w:cs="仿宋_GB2312"/>
          <w:sz w:val="32"/>
          <w:szCs w:val="32"/>
          <w:lang w:val="en-US" w:eastAsia="zh-CN"/>
        </w:rPr>
        <w:t>占全市的50%，</w:t>
      </w:r>
      <w:r>
        <w:rPr>
          <w:rFonts w:hint="eastAsia" w:ascii="仿宋_GB2312" w:hAnsi="仿宋_GB2312" w:eastAsia="仿宋_GB2312" w:cs="仿宋_GB2312"/>
          <w:strike w:val="0"/>
          <w:dstrike w:val="0"/>
          <w:color w:val="auto"/>
          <w:sz w:val="32"/>
          <w:szCs w:val="32"/>
          <w:lang w:val="en-US" w:eastAsia="zh-CN"/>
        </w:rPr>
        <w:t>高中教学成绩实现“十三连增”，连年稳居全市第一方阵。大力发展卫生健康事业，</w:t>
      </w:r>
      <w:r>
        <w:rPr>
          <w:rFonts w:hint="eastAsia" w:ascii="仿宋_GB2312" w:hAnsi="仿宋_GB2312" w:eastAsia="仿宋_GB2312" w:cs="仿宋_GB2312"/>
          <w:color w:val="auto"/>
          <w:sz w:val="32"/>
          <w:szCs w:val="32"/>
          <w:lang w:eastAsia="zh-CN"/>
        </w:rPr>
        <w:t>建</w:t>
      </w:r>
      <w:r>
        <w:rPr>
          <w:rFonts w:hint="eastAsia" w:ascii="仿宋_GB2312" w:hAnsi="仿宋_GB2312" w:eastAsia="仿宋_GB2312" w:cs="仿宋_GB2312"/>
          <w:color w:val="auto"/>
          <w:sz w:val="32"/>
          <w:szCs w:val="32"/>
        </w:rPr>
        <w:t>成县人民医院提质升级、</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中医院新院区配套设施、</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妇幼保健院服务能力提升</w:t>
      </w:r>
      <w:r>
        <w:rPr>
          <w:rFonts w:hint="eastAsia" w:ascii="仿宋_GB2312" w:hAnsi="仿宋_GB2312" w:eastAsia="仿宋_GB2312" w:cs="仿宋_GB2312"/>
          <w:color w:val="auto"/>
          <w:sz w:val="32"/>
          <w:szCs w:val="32"/>
          <w:lang w:eastAsia="zh-CN"/>
        </w:rPr>
        <w:t>等</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sz w:val="32"/>
          <w:lang w:val="en-US" w:eastAsia="zh-CN"/>
        </w:rPr>
        <w:t>，县老年病医院、县精神病医院正在加快建设。</w:t>
      </w:r>
      <w:r>
        <w:rPr>
          <w:rFonts w:hint="eastAsia" w:ascii="仿宋_GB2312" w:hAnsi="仿宋_GB2312" w:eastAsia="仿宋_GB2312" w:cs="仿宋_GB2312"/>
          <w:strike w:val="0"/>
          <w:dstrike w:val="0"/>
          <w:color w:val="auto"/>
          <w:sz w:val="32"/>
          <w:szCs w:val="32"/>
          <w:lang w:val="en-US" w:eastAsia="zh-CN"/>
        </w:rPr>
        <w:t>持续实施“两筛”“两癌”民生实事，打造“15分钟”健康医疗</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strike w:val="0"/>
          <w:dstrike w:val="0"/>
          <w:color w:val="auto"/>
          <w:sz w:val="32"/>
          <w:szCs w:val="32"/>
          <w:lang w:val="en-US" w:eastAsia="zh-CN"/>
        </w:rPr>
        <w:t>圈。建立15个村级康复指导站，残疾人享受基本康复服务1200余人次。聚焦养老服务，兜牢民生底线，</w:t>
      </w:r>
      <w:r>
        <w:rPr>
          <w:rFonts w:hint="eastAsia" w:ascii="仿宋_GB2312" w:hAnsi="仿宋_GB2312" w:eastAsia="仿宋_GB2312" w:cs="仿宋_GB2312"/>
          <w:color w:val="auto"/>
          <w:sz w:val="32"/>
          <w:szCs w:val="32"/>
        </w:rPr>
        <w:t>完成4个街道综合养老服务中心、32个社区养老设施提档升级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下汤镇、马楼乡敬老院转型为区域养老服务中心并运营</w:t>
      </w:r>
      <w:r>
        <w:rPr>
          <w:rFonts w:hint="eastAsia" w:ascii="仿宋_GB2312" w:hAnsi="仿宋_GB2312" w:eastAsia="仿宋_GB2312" w:cs="仿宋_GB2312"/>
          <w:strike w:val="0"/>
          <w:dstrike w:val="0"/>
          <w:color w:val="auto"/>
          <w:sz w:val="32"/>
          <w:szCs w:val="32"/>
          <w:lang w:val="en-US" w:eastAsia="zh-CN"/>
        </w:rPr>
        <w:t>。发展文化事业，建成</w:t>
      </w:r>
      <w:r>
        <w:rPr>
          <w:rFonts w:hint="eastAsia" w:ascii="仿宋_GB2312" w:hAnsi="仿宋_GB2312" w:eastAsia="仿宋_GB2312" w:cs="仿宋_GB2312"/>
          <w:sz w:val="32"/>
          <w:szCs w:val="32"/>
          <w:lang w:val="en-US" w:eastAsia="zh-CN"/>
        </w:rPr>
        <w:t>全民阅读、文化客厅、文化驿站等“新型公共服务空间”3个，董周乡蔡庄文化合作社荣获“河南省示范性乡村文化合作社”</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highlight w:val="none"/>
          <w:lang w:val="en-US" w:eastAsia="zh-CN"/>
        </w:rPr>
        <w:t>扎实推进法治政府示范创建工作，</w:t>
      </w:r>
      <w:r>
        <w:rPr>
          <w:rFonts w:hint="eastAsia" w:ascii="仿宋_GB2312" w:hAnsi="仿宋_GB2312" w:eastAsia="仿宋_GB2312" w:cs="仿宋_GB2312"/>
          <w:sz w:val="32"/>
          <w:szCs w:val="32"/>
        </w:rPr>
        <w:t>实施“三三”工程，</w:t>
      </w:r>
      <w:r>
        <w:rPr>
          <w:rFonts w:hint="eastAsia" w:ascii="仿宋_GB2312" w:hAnsi="仿宋_GB2312" w:eastAsia="仿宋_GB2312" w:cs="仿宋_GB2312"/>
          <w:sz w:val="32"/>
          <w:szCs w:val="32"/>
          <w:highlight w:val="none"/>
          <w:lang w:val="en-US" w:eastAsia="zh-CN"/>
        </w:rPr>
        <w:t>全年排查矛盾纠纷12694起，调处率达99.89%。</w:t>
      </w:r>
      <w:r>
        <w:rPr>
          <w:rFonts w:hint="eastAsia" w:ascii="仿宋_GB2312" w:hAnsi="仿宋_GB2312" w:eastAsia="仿宋_GB2312" w:cs="仿宋_GB2312"/>
          <w:sz w:val="32"/>
          <w:szCs w:val="32"/>
        </w:rPr>
        <w:t>创建五星规范化司法所</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eastAsia="zh-CN"/>
        </w:rPr>
        <w:t>。</w:t>
      </w:r>
    </w:p>
    <w:p>
      <w:pPr>
        <w:keepNext w:val="0"/>
        <w:keepLines w:val="0"/>
        <w:pageBreakBefore w:val="0"/>
        <w:widowControl w:val="0"/>
        <w:pBdr>
          <w:bottom w:val="single" w:color="FFFFFF" w:sz="4" w:space="31"/>
        </w:pBdr>
        <w:kinsoku/>
        <w:wordWrap/>
        <w:topLinePunct w:val="0"/>
        <w:autoSpaceDE w:val="0"/>
        <w:autoSpaceDN/>
        <w:bidi w:val="0"/>
        <w:adjustRightInd/>
        <w:snapToGrid/>
        <w:spacing w:line="579" w:lineRule="exact"/>
        <w:ind w:firstLine="640" w:firstLineChars="200"/>
        <w:rPr>
          <w:rFonts w:hint="eastAsia" w:ascii="仿宋_GB2312" w:hAnsi="仿宋_GB2312" w:eastAsia="仿宋_GB2312" w:cs="仿宋_GB2312"/>
          <w:color w:val="000000"/>
          <w:sz w:val="32"/>
          <w:lang w:val="en-US" w:eastAsia="zh-CN"/>
        </w:rPr>
      </w:pPr>
      <w:r>
        <w:rPr>
          <w:rFonts w:hint="eastAsia" w:ascii="仿宋_GB2312" w:hAnsi="仿宋_GB2312" w:eastAsia="仿宋_GB2312" w:cs="仿宋_GB2312"/>
          <w:b w:val="0"/>
          <w:bCs w:val="0"/>
          <w:sz w:val="32"/>
          <w:szCs w:val="32"/>
          <w:lang w:val="en-US" w:eastAsia="zh-CN"/>
        </w:rPr>
        <w:t>各位代表，2023年取得的成绩来之不易，是县委精心谋划、周密部署的结</w:t>
      </w:r>
      <w:r>
        <w:rPr>
          <w:rFonts w:hint="eastAsia" w:ascii="仿宋_GB2312" w:hAnsi="仿宋_GB2312" w:eastAsia="仿宋_GB2312" w:cs="仿宋_GB2312"/>
          <w:color w:val="000000"/>
          <w:sz w:val="32"/>
          <w:lang w:val="en-US" w:eastAsia="zh-CN"/>
        </w:rPr>
        <w:t>果，是县人大和县政协监督支持的结果，是全县人民齐心协力、共同拼搏的结果。但是，我县经济社会发展也存在一些困难和问题。主要表现在，产业基础较为薄弱，工业缺乏龙头支柱产业；民生领域仍然存在短板弱项；</w:t>
      </w:r>
      <w:r>
        <w:rPr>
          <w:rFonts w:hint="eastAsia" w:ascii="仿宋_GB2312" w:hAnsi="仿宋_GB2312" w:eastAsia="仿宋_GB2312" w:cs="仿宋_GB2312"/>
          <w:b w:val="0"/>
          <w:bCs w:val="0"/>
          <w:sz w:val="32"/>
          <w:szCs w:val="32"/>
        </w:rPr>
        <w:t>科技创新能力较弱</w:t>
      </w:r>
      <w:r>
        <w:rPr>
          <w:rFonts w:hint="eastAsia" w:ascii="仿宋_GB2312" w:hAnsi="仿宋_GB2312" w:eastAsia="仿宋_GB2312" w:cs="仿宋_GB2312"/>
          <w:b w:val="0"/>
          <w:bCs w:val="0"/>
          <w:sz w:val="32"/>
          <w:szCs w:val="32"/>
          <w:lang w:val="en-US" w:eastAsia="zh-CN"/>
        </w:rPr>
        <w:t>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sz w:val="32"/>
          <w:lang w:val="en-US" w:eastAsia="zh-CN"/>
        </w:rPr>
        <w:t>我们要高度重视这些问题，采取积极有效措施，认真加以解决。</w:t>
      </w:r>
    </w:p>
    <w:p>
      <w:pPr>
        <w:keepNext w:val="0"/>
        <w:keepLines w:val="0"/>
        <w:pageBreakBefore w:val="0"/>
        <w:widowControl w:val="0"/>
        <w:pBdr>
          <w:bottom w:val="single" w:color="FFFFFF" w:sz="4" w:space="31"/>
        </w:pBdr>
        <w:kinsoku/>
        <w:wordWrap/>
        <w:topLinePunct w:val="0"/>
        <w:autoSpaceDE w:val="0"/>
        <w:autoSpaceDN/>
        <w:bidi w:val="0"/>
        <w:adjustRightInd/>
        <w:snapToGrid/>
        <w:spacing w:line="579" w:lineRule="exact"/>
        <w:ind w:firstLine="640" w:firstLineChars="200"/>
        <w:outlineLvl w:val="0"/>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二、2024年国民经济和社会发展的主要预期目标</w:t>
      </w:r>
    </w:p>
    <w:p>
      <w:pPr>
        <w:keepNext w:val="0"/>
        <w:keepLines w:val="0"/>
        <w:pageBreakBefore w:val="0"/>
        <w:widowControl w:val="0"/>
        <w:pBdr>
          <w:bottom w:val="single" w:color="FFFFFF" w:sz="4" w:space="31"/>
        </w:pBdr>
        <w:kinsoku/>
        <w:wordWrap/>
        <w:topLinePunct w:val="0"/>
        <w:autoSpaceDE w:val="0"/>
        <w:autoSpaceDN/>
        <w:bidi w:val="0"/>
        <w:adjustRightInd/>
        <w:snapToGrid/>
        <w:spacing w:line="579" w:lineRule="exact"/>
        <w:ind w:firstLine="640" w:firstLineChars="200"/>
        <w:rPr>
          <w:rFonts w:hint="eastAsia"/>
          <w:lang w:val="en-US" w:eastAsia="zh-CN"/>
        </w:rPr>
      </w:pPr>
      <w:r>
        <w:rPr>
          <w:rFonts w:hint="eastAsia" w:ascii="仿宋_GB2312" w:hAnsi="仿宋_GB2312" w:eastAsia="仿宋_GB2312" w:cs="仿宋_GB2312"/>
          <w:color w:val="auto"/>
          <w:sz w:val="32"/>
          <w:szCs w:val="32"/>
        </w:rPr>
        <w:t>国内生产总值增长7%，研发经费投入强度完成市定目标，规上工业增加值增长8%，固定资产投资增长8%，社会消费品零售总额增长8.5%，一般公共预算收入增长7%，城镇调查失业率</w:t>
      </w:r>
      <w:r>
        <w:rPr>
          <w:rFonts w:hint="eastAsia" w:ascii="仿宋_GB2312" w:hAnsi="仿宋_GB2312" w:eastAsia="仿宋_GB2312" w:cs="仿宋_GB2312"/>
          <w:color w:val="auto"/>
          <w:sz w:val="32"/>
          <w:szCs w:val="32"/>
          <w:lang w:eastAsia="zh-CN"/>
        </w:rPr>
        <w:t>控制在</w:t>
      </w:r>
      <w:r>
        <w:rPr>
          <w:rFonts w:hint="eastAsia" w:ascii="仿宋_GB2312" w:hAnsi="仿宋_GB2312" w:eastAsia="仿宋_GB2312" w:cs="仿宋_GB2312"/>
          <w:color w:val="auto"/>
          <w:sz w:val="32"/>
          <w:szCs w:val="32"/>
        </w:rPr>
        <w:t xml:space="preserve">5.5%以内，居民消费价格涨幅完成市定目标，居民收入增长和经济增长同步，单位生产总值能耗与“十四五”目标统筹衔接。 </w:t>
      </w:r>
    </w:p>
    <w:p>
      <w:pPr>
        <w:keepNext w:val="0"/>
        <w:keepLines w:val="0"/>
        <w:pageBreakBefore w:val="0"/>
        <w:widowControl w:val="0"/>
        <w:pBdr>
          <w:bottom w:val="single" w:color="FFFFFF" w:sz="4" w:space="31"/>
        </w:pBdr>
        <w:kinsoku/>
        <w:wordWrap/>
        <w:topLinePunct w:val="0"/>
        <w:autoSpaceDE w:val="0"/>
        <w:autoSpaceDN/>
        <w:bidi w:val="0"/>
        <w:adjustRightInd/>
        <w:snapToGrid/>
        <w:spacing w:line="579" w:lineRule="exact"/>
        <w:ind w:firstLine="640" w:firstLineChars="200"/>
        <w:outlineLvl w:val="0"/>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三、2024年国民经济和社会发展主要任务</w:t>
      </w:r>
    </w:p>
    <w:p>
      <w:pPr>
        <w:keepNext w:val="0"/>
        <w:keepLines w:val="0"/>
        <w:pageBreakBefore w:val="0"/>
        <w:widowControl w:val="0"/>
        <w:pBdr>
          <w:bottom w:val="single" w:color="FFFFFF" w:sz="4" w:space="31"/>
        </w:pBdr>
        <w:kinsoku/>
        <w:wordWrap/>
        <w:topLinePunct w:val="0"/>
        <w:autoSpaceDE w:val="0"/>
        <w:autoSpaceDN/>
        <w:bidi w:val="0"/>
        <w:adjustRightInd/>
        <w:snapToGrid/>
        <w:spacing w:line="579" w:lineRule="exact"/>
        <w:ind w:firstLine="640" w:firstLineChars="200"/>
        <w:rPr>
          <w:rFonts w:hint="default" w:ascii="仿宋_GB2312" w:eastAsia="仿宋_GB2312" w:cs="Times New Roman"/>
          <w:color w:val="000000"/>
          <w:sz w:val="32"/>
          <w:lang w:val="en-US" w:eastAsia="zh-CN"/>
        </w:rPr>
      </w:pPr>
      <w:r>
        <w:rPr>
          <w:rFonts w:hint="eastAsia" w:ascii="仿宋_GB2312" w:eastAsia="仿宋_GB2312" w:cs="Times New Roman"/>
          <w:color w:val="000000"/>
          <w:sz w:val="32"/>
          <w:lang w:val="en-US" w:eastAsia="zh-CN"/>
        </w:rPr>
        <w:t>2024年，按照县委经济工作会议部署和全年发展目标，重点做好以下六个方面工作。</w:t>
      </w:r>
    </w:p>
    <w:p>
      <w:pPr>
        <w:keepNext w:val="0"/>
        <w:keepLines w:val="0"/>
        <w:pageBreakBefore w:val="0"/>
        <w:widowControl w:val="0"/>
        <w:pBdr>
          <w:bottom w:val="single" w:color="FFFFFF" w:sz="4" w:space="31"/>
        </w:pBdr>
        <w:kinsoku/>
        <w:wordWrap/>
        <w:topLinePunct w:val="0"/>
        <w:autoSpaceDE w:val="0"/>
        <w:autoSpaceDN/>
        <w:bidi w:val="0"/>
        <w:adjustRightInd/>
        <w:snapToGrid/>
        <w:spacing w:line="579" w:lineRule="exact"/>
        <w:ind w:firstLine="643" w:firstLineChars="200"/>
        <w:outlineLvl w:val="1"/>
        <w:rPr>
          <w:rFonts w:hint="eastAsia" w:ascii="仿宋_GB2312" w:hAnsi="仿宋_GB2312" w:eastAsia="仿宋_GB2312" w:cs="仿宋_GB2312"/>
          <w:b/>
          <w:bCs/>
          <w:color w:val="000000"/>
          <w:sz w:val="32"/>
          <w:lang w:val="en-US" w:eastAsia="zh-CN"/>
        </w:rPr>
      </w:pPr>
      <w:r>
        <w:rPr>
          <w:rFonts w:hint="eastAsia" w:ascii="仿宋_GB2312" w:hAnsi="仿宋_GB2312" w:eastAsia="仿宋_GB2312" w:cs="仿宋_GB2312"/>
          <w:b/>
          <w:bCs/>
          <w:color w:val="000000"/>
          <w:sz w:val="32"/>
          <w:lang w:val="en-US" w:eastAsia="zh-CN"/>
        </w:rPr>
        <w:t>（一）锚定项目建设，夯实高质量发展根基</w:t>
      </w:r>
    </w:p>
    <w:p>
      <w:pPr>
        <w:keepNext w:val="0"/>
        <w:keepLines w:val="0"/>
        <w:pageBreakBefore w:val="0"/>
        <w:widowControl w:val="0"/>
        <w:pBdr>
          <w:bottom w:val="single" w:color="FFFFFF" w:sz="4" w:space="31"/>
        </w:pBdr>
        <w:kinsoku/>
        <w:wordWrap/>
        <w:topLinePunct w:val="0"/>
        <w:autoSpaceDE w:val="0"/>
        <w:autoSpaceDN/>
        <w:bidi w:val="0"/>
        <w:adjustRightInd/>
        <w:snapToGrid/>
        <w:spacing w:line="579" w:lineRule="exact"/>
        <w:ind w:firstLine="640" w:firstLineChars="200"/>
        <w:rPr>
          <w:rFonts w:hint="eastAsia" w:ascii="仿宋_GB2312" w:eastAsia="仿宋_GB2312" w:cs="Times New Roman"/>
          <w:color w:val="000000"/>
          <w:sz w:val="32"/>
          <w:lang w:val="en-US" w:eastAsia="zh-CN"/>
        </w:rPr>
      </w:pPr>
      <w:r>
        <w:rPr>
          <w:rFonts w:hint="eastAsia" w:ascii="仿宋_GB2312" w:eastAsia="仿宋_GB2312" w:cs="Times New Roman"/>
          <w:color w:val="000000"/>
          <w:sz w:val="32"/>
          <w:lang w:val="en-US" w:eastAsia="zh-CN"/>
        </w:rPr>
        <w:t>强力推进项目建设。继续把项目建设摆在经济工作的首位，谋划实施一批惠民生、促发展、利长远的大项目，为县域经济高质量发展夯实基础。积极向上争取，围绕“两集群三基地六园区”，研判政策、主动对接，精准包装，争取更多项目进入国家、省、市计划“盘子”，争取更多的中央预算内投资、增发国债、专项债资金支持。持续推进“三个一批”项目建设，谋划实施重点项目130个以上。鲁山机场、昭平台水库扩容等重点工程取得实质性进展</w:t>
      </w:r>
      <w:r>
        <w:rPr>
          <w:rFonts w:hint="eastAsia" w:ascii="仿宋_GB2312" w:eastAsia="仿宋_GB2312" w:cs="Times New Roman"/>
          <w:color w:val="auto"/>
          <w:sz w:val="32"/>
          <w:lang w:val="en-US" w:eastAsia="zh-CN"/>
        </w:rPr>
        <w:t>；加快推进鲁山抽水蓄能电站、平漯周高铁、</w:t>
      </w:r>
      <w:r>
        <w:rPr>
          <w:rFonts w:hint="eastAsia" w:ascii="仿宋_GB2312" w:hAnsi="仿宋_GB2312" w:eastAsia="仿宋_GB2312" w:cs="仿宋_GB2312"/>
          <w:color w:val="auto"/>
          <w:sz w:val="32"/>
          <w:szCs w:val="32"/>
        </w:rPr>
        <w:t>大良工匠轻合金产业园</w:t>
      </w:r>
      <w:r>
        <w:rPr>
          <w:rFonts w:hint="eastAsia" w:ascii="仿宋_GB2312" w:eastAsia="仿宋_GB2312" w:cs="Times New Roman"/>
          <w:color w:val="auto"/>
          <w:sz w:val="32"/>
          <w:lang w:val="en-US" w:eastAsia="zh-CN"/>
        </w:rPr>
        <w:t>等项目；</w:t>
      </w:r>
      <w:r>
        <w:rPr>
          <w:rFonts w:hint="eastAsia" w:ascii="仿宋_GB2312" w:hAnsi="仿宋_GB2312" w:eastAsia="仿宋_GB2312" w:cs="仿宋_GB2312"/>
          <w:color w:val="auto"/>
          <w:kern w:val="0"/>
          <w:sz w:val="32"/>
          <w:szCs w:val="20"/>
          <w:lang w:val="en-US" w:eastAsia="zh-CN" w:bidi="ar-SA"/>
        </w:rPr>
        <w:t>食用菌生产设备装备制造</w:t>
      </w:r>
      <w:r>
        <w:rPr>
          <w:rFonts w:hint="eastAsia" w:ascii="仿宋_GB2312" w:eastAsia="仿宋_GB2312" w:cs="Times New Roman"/>
          <w:color w:val="000000"/>
          <w:sz w:val="32"/>
          <w:lang w:val="en-US" w:eastAsia="zh-CN"/>
        </w:rPr>
        <w:t>、中铁路港铁路专用线、江河新材料二期等一批重点项目力争早日开工建设。</w:t>
      </w:r>
    </w:p>
    <w:p>
      <w:pPr>
        <w:keepNext w:val="0"/>
        <w:keepLines w:val="0"/>
        <w:pageBreakBefore w:val="0"/>
        <w:widowControl w:val="0"/>
        <w:pBdr>
          <w:bottom w:val="single" w:color="FFFFFF" w:sz="4" w:space="31"/>
        </w:pBdr>
        <w:kinsoku/>
        <w:wordWrap/>
        <w:topLinePunct w:val="0"/>
        <w:autoSpaceDE w:val="0"/>
        <w:autoSpaceDN/>
        <w:bidi w:val="0"/>
        <w:adjustRightInd/>
        <w:snapToGrid/>
        <w:spacing w:line="579"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eastAsia="仿宋_GB2312" w:cs="Times New Roman"/>
          <w:color w:val="000000"/>
          <w:sz w:val="32"/>
          <w:lang w:val="en-US" w:eastAsia="zh-CN"/>
        </w:rPr>
        <w:t>提升服务项目能力。凝心聚力抓项目，继续实行重点项目联席会议、联审联批、观摩奖惩等制度，坚持以项目分包领导和工作专班为主体，主动对接服务项目建设，着力解决项目建设中遇到的困难和问题。用地方面，最大限度保障重点项目用地需求，用足用活土地政策，加大闲置低效土地、零星用地整合力度，全面推行“标准地”出让，实现项目建设“拿地即开工”。</w:t>
      </w:r>
    </w:p>
    <w:p>
      <w:pPr>
        <w:keepNext w:val="0"/>
        <w:keepLines w:val="0"/>
        <w:pageBreakBefore w:val="0"/>
        <w:widowControl w:val="0"/>
        <w:pBdr>
          <w:bottom w:val="single" w:color="FFFFFF" w:sz="4" w:space="31"/>
        </w:pBdr>
        <w:kinsoku/>
        <w:wordWrap/>
        <w:topLinePunct w:val="0"/>
        <w:autoSpaceDE w:val="0"/>
        <w:autoSpaceDN/>
        <w:bidi w:val="0"/>
        <w:adjustRightInd/>
        <w:snapToGrid/>
        <w:spacing w:line="579" w:lineRule="exact"/>
        <w:ind w:firstLine="643" w:firstLineChars="200"/>
        <w:outlineLvl w:val="1"/>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（二）锚定产业转型，增强高质量发展动能</w:t>
      </w:r>
    </w:p>
    <w:p>
      <w:pPr>
        <w:keepNext w:val="0"/>
        <w:keepLines w:val="0"/>
        <w:pageBreakBefore w:val="0"/>
        <w:widowControl w:val="0"/>
        <w:pBdr>
          <w:bottom w:val="single" w:color="FFFFFF" w:sz="4" w:space="31"/>
        </w:pBdr>
        <w:kinsoku/>
        <w:wordWrap/>
        <w:topLinePunct w:val="0"/>
        <w:autoSpaceDE w:val="0"/>
        <w:autoSpaceDN/>
        <w:bidi w:val="0"/>
        <w:adjustRightInd/>
        <w:snapToGrid/>
        <w:spacing w:line="579"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加快产业体系升级。以县先进制造业开发区</w:t>
      </w:r>
      <w:r>
        <w:rPr>
          <w:rFonts w:hint="eastAsia" w:ascii="仿宋_GB2312" w:hAnsi="仿宋_GB2312" w:eastAsia="仿宋_GB2312" w:cs="仿宋_GB2312"/>
          <w:color w:val="auto"/>
          <w:sz w:val="32"/>
          <w:szCs w:val="32"/>
          <w:highlight w:val="none"/>
          <w:lang w:val="en-US" w:eastAsia="zh-CN"/>
        </w:rPr>
        <w:t>为主平台，加快构建“两集群三基地六园区”现代</w:t>
      </w:r>
      <w:r>
        <w:rPr>
          <w:rFonts w:hint="eastAsia" w:ascii="仿宋_GB2312" w:hAnsi="仿宋_GB2312" w:eastAsia="仿宋_GB2312" w:cs="仿宋_GB2312"/>
          <w:kern w:val="0"/>
          <w:sz w:val="32"/>
          <w:szCs w:val="20"/>
          <w:lang w:val="en-US" w:eastAsia="zh-CN" w:bidi="ar-SA"/>
        </w:rPr>
        <w:t>化产业体系，着力打造金属新材料产业集群、聚乳酸生物基新材料产业集群、蓄能储能产业基地、旅游装备制造产业基地、绿色食品供应产业基地、军民融合装备产业园、恒海动力谷产业园、大良工匠轻合金产业园、应急物资生产储备产业园、“新能源+”产业园、电商物流产业园；加快推进</w:t>
      </w:r>
      <w:r>
        <w:rPr>
          <w:rFonts w:hint="default" w:ascii="仿宋_GB2312" w:hAnsi="仿宋_GB2312" w:eastAsia="仿宋_GB2312" w:cs="仿宋_GB2312"/>
          <w:sz w:val="32"/>
          <w:szCs w:val="32"/>
          <w:lang w:val="en-US" w:eastAsia="zh-CN"/>
        </w:rPr>
        <w:t>潞锦工贸救灾物资生产储备</w:t>
      </w:r>
      <w:r>
        <w:rPr>
          <w:rFonts w:hint="eastAsia" w:ascii="仿宋_GB2312" w:hAnsi="仿宋_GB2312" w:eastAsia="仿宋_GB2312" w:cs="仿宋_GB2312"/>
          <w:kern w:val="0"/>
          <w:sz w:val="32"/>
          <w:szCs w:val="20"/>
          <w:lang w:val="en-US" w:eastAsia="zh-CN" w:bidi="ar-SA"/>
        </w:rPr>
        <w:t>、</w:t>
      </w:r>
      <w:r>
        <w:rPr>
          <w:rFonts w:hint="eastAsia" w:ascii="仿宋_GB2312" w:hAnsi="仿宋_GB2312" w:eastAsia="仿宋_GB2312" w:cs="仿宋_GB2312"/>
          <w:sz w:val="32"/>
          <w:szCs w:val="32"/>
          <w:lang w:val="en-US" w:eastAsia="zh-CN"/>
        </w:rPr>
        <w:t>海之源生物医药</w:t>
      </w:r>
      <w:r>
        <w:rPr>
          <w:rFonts w:hint="eastAsia" w:ascii="仿宋_GB2312" w:hAnsi="仿宋_GB2312" w:eastAsia="仿宋_GB2312" w:cs="仿宋_GB2312"/>
          <w:kern w:val="0"/>
          <w:sz w:val="32"/>
          <w:szCs w:val="20"/>
          <w:lang w:val="en-US" w:eastAsia="zh-CN" w:bidi="ar-SA"/>
        </w:rPr>
        <w:t>、昊泰新材石墨制品等重点项目，推动</w:t>
      </w:r>
      <w:r>
        <w:rPr>
          <w:rFonts w:hint="eastAsia" w:ascii="仿宋_GB2312" w:hAnsi="仿宋_GB2312" w:eastAsia="仿宋_GB2312" w:cs="仿宋_GB2312"/>
          <w:bCs/>
          <w:color w:val="auto"/>
          <w:sz w:val="32"/>
          <w:szCs w:val="32"/>
          <w:lang w:val="en-US" w:eastAsia="zh-CN"/>
        </w:rPr>
        <w:t>平高电气装备产业园、</w:t>
      </w:r>
      <w:r>
        <w:rPr>
          <w:rFonts w:hint="eastAsia" w:ascii="仿宋_GB2312" w:hAnsi="仿宋_GB2312" w:eastAsia="仿宋_GB2312" w:cs="仿宋_GB2312"/>
          <w:kern w:val="0"/>
          <w:sz w:val="32"/>
          <w:szCs w:val="20"/>
          <w:lang w:val="en-US" w:eastAsia="zh-CN" w:bidi="ar-SA"/>
        </w:rPr>
        <w:t>沣瑞食品二期等项目落地，重点培育中恒致远、大齐建设、</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太空舱民宿加工等旅游装备</w:t>
      </w:r>
      <w:r>
        <w:rPr>
          <w:rFonts w:hint="eastAsia" w:ascii="仿宋_GB2312" w:hAnsi="仿宋_GB2312" w:eastAsia="仿宋_GB2312" w:cs="仿宋_GB2312"/>
          <w:bCs/>
          <w:color w:val="auto"/>
          <w:sz w:val="32"/>
          <w:szCs w:val="32"/>
          <w:lang w:val="en-US" w:eastAsia="zh-CN"/>
        </w:rPr>
        <w:t>企业，快速形成集聚效应，凸显产业优势。</w:t>
      </w:r>
    </w:p>
    <w:p>
      <w:pPr>
        <w:keepNext w:val="0"/>
        <w:keepLines w:val="0"/>
        <w:pageBreakBefore w:val="0"/>
        <w:widowControl w:val="0"/>
        <w:pBdr>
          <w:bottom w:val="single" w:color="FFFFFF" w:sz="4" w:space="31"/>
        </w:pBdr>
        <w:kinsoku/>
        <w:wordWrap/>
        <w:topLinePunct w:val="0"/>
        <w:autoSpaceDE w:val="0"/>
        <w:autoSpaceDN/>
        <w:bidi w:val="0"/>
        <w:adjustRightInd/>
        <w:snapToGrid/>
        <w:spacing w:line="579" w:lineRule="exact"/>
        <w:ind w:firstLine="640" w:firstLineChars="200"/>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全力建设现代农业产业园。坚持产业兴农、质量兴农、绿色兴农，以“牛羊菜果菌药”六大特色产业为基础，以标准化、品牌化为支撑，加快农业产业振兴，培育一乡一业、一村一品。加快肉牛、蛋鸡、鸵鸟等特色产业延链发展，推进3.5万头安格斯肉牛牧光互补超级牧场项目，推动董周酥梨、辛集葡萄、库区蓝莓、熊背血桃、张良蔬菜等传统产业升级，推动香菇产业连片推进、全域发展，打响“伏牛山珍”特色品牌。新增省级以上龙头企业3家，积极培育“一村一品”示范村镇。围绕农村特色产业，培育区域公共品牌和网络产品，打通农产品上行通道，提升产业电商化水平。</w:t>
      </w:r>
    </w:p>
    <w:p>
      <w:pPr>
        <w:keepNext w:val="0"/>
        <w:keepLines w:val="0"/>
        <w:pageBreakBefore w:val="0"/>
        <w:widowControl w:val="0"/>
        <w:pBdr>
          <w:bottom w:val="single" w:color="FFFFFF" w:sz="4" w:space="31"/>
        </w:pBdr>
        <w:kinsoku/>
        <w:wordWrap/>
        <w:topLinePunct w:val="0"/>
        <w:autoSpaceDE w:val="0"/>
        <w:autoSpaceDN/>
        <w:bidi w:val="0"/>
        <w:adjustRightInd/>
        <w:snapToGrid/>
        <w:spacing w:line="579" w:lineRule="exact"/>
        <w:ind w:firstLine="640" w:firstLineChars="200"/>
        <w:rPr>
          <w:rFonts w:hint="eastAsia" w:ascii="仿宋_GB2312" w:hAnsi="仿宋_GB2312" w:eastAsia="仿宋_GB2312" w:cs="仿宋_GB2312"/>
          <w:kern w:val="0"/>
          <w:sz w:val="32"/>
          <w:szCs w:val="20"/>
          <w:lang w:val="en-US" w:eastAsia="zh-CN" w:bidi="ar-SA"/>
        </w:rPr>
      </w:pPr>
      <w:r>
        <w:rPr>
          <w:rFonts w:hint="eastAsia" w:ascii="仿宋_GB2312" w:hAnsi="仿宋_GB2312" w:eastAsia="仿宋_GB2312" w:cs="仿宋_GB2312"/>
          <w:bCs/>
          <w:color w:val="auto"/>
          <w:sz w:val="32"/>
          <w:szCs w:val="32"/>
          <w:lang w:val="en-US" w:eastAsia="zh-CN"/>
        </w:rPr>
        <w:t>推动文创文旅融合发展。坚持以文塑旅、以旅彰文，加快推进尧山生态文化旅游综合体等文旅项目建设，积极推进国家级乡村旅游重点镇、重点村、国家文化产业和旅游产业融合发展示范区、国家级滑雪旅游度假地等创建工作，用好中国牛郎织女文化之乡、中国墨子文化之乡、中华名窑花瓷之乡、中国屈原文化传承基地等文化名片；依托资源优势，推进美食、温泉、非遗、夜游等系列康养品牌建设，全力打造一批集养老、观光、文化体验、休闲娱乐、美食购物于一体的优质文旅康养项目，重塑“</w:t>
      </w:r>
      <w:r>
        <w:rPr>
          <w:rFonts w:hint="eastAsia" w:ascii="仿宋_GB2312" w:hAnsi="仿宋_GB2312" w:eastAsia="仿宋_GB2312" w:cs="仿宋_GB2312"/>
          <w:color w:val="auto"/>
          <w:sz w:val="32"/>
          <w:szCs w:val="32"/>
          <w:lang w:eastAsia="zh-CN"/>
        </w:rPr>
        <w:t>康养福地</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厚重鲁山</w:t>
      </w:r>
      <w:r>
        <w:rPr>
          <w:rFonts w:hint="eastAsia" w:ascii="仿宋_GB2312" w:hAnsi="仿宋_GB2312" w:eastAsia="仿宋_GB2312" w:cs="仿宋_GB2312"/>
          <w:bCs/>
          <w:color w:val="auto"/>
          <w:sz w:val="32"/>
          <w:szCs w:val="32"/>
          <w:lang w:val="en-US" w:eastAsia="zh-CN"/>
        </w:rPr>
        <w:t>”品牌。加强宣传推介，办好“四季游鲁山”“回鲁山过大年”等系列活动。针对每年“双节”消费旺季，鼓励各大商圈、商贸企业，开展好各类促消费活动，活跃消费市场氛围。</w:t>
      </w:r>
    </w:p>
    <w:p>
      <w:pPr>
        <w:keepNext w:val="0"/>
        <w:keepLines w:val="0"/>
        <w:pageBreakBefore w:val="0"/>
        <w:widowControl w:val="0"/>
        <w:pBdr>
          <w:bottom w:val="single" w:color="FFFFFF" w:sz="4" w:space="31"/>
        </w:pBdr>
        <w:kinsoku/>
        <w:wordWrap/>
        <w:topLinePunct w:val="0"/>
        <w:autoSpaceDE w:val="0"/>
        <w:autoSpaceDN/>
        <w:bidi w:val="0"/>
        <w:adjustRightInd/>
        <w:snapToGrid/>
        <w:spacing w:line="579" w:lineRule="exact"/>
        <w:ind w:firstLine="643" w:firstLineChars="200"/>
        <w:outlineLvl w:val="1"/>
        <w:rPr>
          <w:rFonts w:hint="eastAsia" w:ascii="仿宋_GB2312" w:hAnsi="仿宋_GB2312" w:eastAsia="仿宋_GB2312" w:cs="仿宋_GB2312"/>
          <w:b/>
          <w:bCs/>
          <w:kern w:val="0"/>
          <w:sz w:val="32"/>
          <w:szCs w:val="20"/>
          <w:lang w:val="en-US" w:eastAsia="zh-CN" w:bidi="ar-SA"/>
        </w:rPr>
      </w:pPr>
      <w:r>
        <w:rPr>
          <w:rFonts w:hint="eastAsia" w:ascii="仿宋_GB2312" w:hAnsi="仿宋_GB2312" w:eastAsia="仿宋_GB2312" w:cs="仿宋_GB2312"/>
          <w:b/>
          <w:bCs/>
          <w:kern w:val="0"/>
          <w:sz w:val="32"/>
          <w:szCs w:val="20"/>
          <w:lang w:val="en-US" w:eastAsia="zh-CN" w:bidi="ar-SA"/>
        </w:rPr>
        <w:t>（三）锚定城乡建设，开创高质量发展新局</w:t>
      </w:r>
    </w:p>
    <w:p>
      <w:pPr>
        <w:keepNext w:val="0"/>
        <w:keepLines w:val="0"/>
        <w:pageBreakBefore w:val="0"/>
        <w:widowControl w:val="0"/>
        <w:pBdr>
          <w:bottom w:val="single" w:color="FFFFFF" w:sz="4" w:space="31"/>
        </w:pBdr>
        <w:kinsoku/>
        <w:wordWrap/>
        <w:topLinePunct w:val="0"/>
        <w:autoSpaceDE w:val="0"/>
        <w:autoSpaceDN/>
        <w:bidi w:val="0"/>
        <w:adjustRightInd/>
        <w:snapToGrid/>
        <w:spacing w:line="579"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kern w:val="0"/>
          <w:sz w:val="32"/>
          <w:szCs w:val="20"/>
          <w:lang w:val="en-US" w:eastAsia="zh-CN" w:bidi="ar-SA"/>
        </w:rPr>
        <w:t>加快城乡建设。积极推进北环路加宽改造、人民路西段铁路立交桥项目建设</w:t>
      </w:r>
      <w:r>
        <w:rPr>
          <w:rFonts w:hint="eastAsia" w:ascii="仿宋_GB2312" w:hAnsi="仿宋_GB2312" w:eastAsia="仿宋_GB2312" w:cs="仿宋_GB2312"/>
          <w:b w:val="0"/>
          <w:bCs w:val="0"/>
          <w:i w:val="0"/>
          <w:iCs w:val="0"/>
          <w:sz w:val="32"/>
          <w:szCs w:val="32"/>
          <w:lang w:val="en-US" w:eastAsia="zh-CN"/>
        </w:rPr>
        <w:t>，打通长兴路等一批断头路。抓好城区河道治理</w:t>
      </w:r>
      <w:r>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t>，推动</w:t>
      </w:r>
      <w:r>
        <w:rPr>
          <w:rFonts w:hint="eastAsia" w:ascii="仿宋_GB2312" w:hAnsi="仿宋_GB2312" w:eastAsia="仿宋_GB2312" w:cs="仿宋_GB2312"/>
          <w:b w:val="0"/>
          <w:bCs w:val="0"/>
          <w:sz w:val="32"/>
          <w:szCs w:val="32"/>
        </w:rPr>
        <w:t>城区市政雨污管网改造</w:t>
      </w:r>
      <w:r>
        <w:rPr>
          <w:rFonts w:hint="eastAsia" w:ascii="仿宋_GB2312" w:hAnsi="仿宋_GB2312" w:eastAsia="仿宋_GB2312" w:cs="仿宋_GB2312"/>
          <w:b w:val="0"/>
          <w:bCs w:val="0"/>
          <w:sz w:val="32"/>
          <w:szCs w:val="32"/>
          <w:lang w:eastAsia="zh-CN"/>
        </w:rPr>
        <w:t>项目尽快落地。继续打造沙河生态观光带，推进水街、</w:t>
      </w:r>
      <w:r>
        <w:rPr>
          <w:rFonts w:hint="eastAsia" w:ascii="仿宋_GB2312" w:hAnsi="仿宋_GB2312" w:eastAsia="仿宋_GB2312" w:cs="仿宋_GB2312"/>
          <w:color w:val="auto"/>
          <w:sz w:val="32"/>
          <w:szCs w:val="32"/>
        </w:rPr>
        <w:t>米奇王国动物园</w:t>
      </w:r>
      <w:r>
        <w:rPr>
          <w:rFonts w:hint="eastAsia" w:ascii="仿宋_GB2312" w:hAnsi="仿宋_GB2312" w:eastAsia="仿宋_GB2312" w:cs="仿宋_GB2312"/>
          <w:b w:val="0"/>
          <w:bCs w:val="0"/>
          <w:sz w:val="32"/>
          <w:szCs w:val="32"/>
          <w:lang w:eastAsia="zh-CN"/>
        </w:rPr>
        <w:t>等项目建设，打造宜居城市。</w:t>
      </w:r>
      <w:r>
        <w:rPr>
          <w:rFonts w:hint="eastAsia" w:ascii="仿宋_GB2312" w:hAnsi="仿宋_GB2312" w:eastAsia="仿宋_GB2312" w:cs="仿宋_GB2312"/>
          <w:b w:val="0"/>
          <w:bCs w:val="0"/>
          <w:i w:val="0"/>
          <w:iCs w:val="0"/>
          <w:sz w:val="32"/>
          <w:szCs w:val="32"/>
          <w:lang w:val="en-US" w:eastAsia="zh-CN"/>
        </w:rPr>
        <w:t>继续实施老旧小区改造工程，加快汇源棚户区改造、先进制造业开发区公租房项目建设。</w:t>
      </w:r>
      <w:r>
        <w:rPr>
          <w:rFonts w:hint="eastAsia" w:ascii="仿宋_GB2312" w:eastAsia="仿宋_GB2312"/>
          <w:kern w:val="0"/>
          <w:sz w:val="32"/>
          <w:szCs w:val="32"/>
          <w:lang w:eastAsia="zh-CN"/>
        </w:rPr>
        <w:t>推进</w:t>
      </w:r>
      <w:r>
        <w:rPr>
          <w:rFonts w:hint="eastAsia" w:ascii="仿宋_GB2312" w:eastAsia="仿宋_GB2312"/>
          <w:kern w:val="0"/>
          <w:sz w:val="32"/>
          <w:szCs w:val="32"/>
        </w:rPr>
        <w:t>城市垃圾分类工作和城区窨井盖专项整治工作</w:t>
      </w:r>
      <w:r>
        <w:rPr>
          <w:rFonts w:hint="eastAsia" w:ascii="仿宋_GB2312" w:eastAsia="仿宋_GB2312"/>
          <w:kern w:val="0"/>
          <w:sz w:val="32"/>
          <w:szCs w:val="32"/>
          <w:lang w:eastAsia="zh-CN"/>
        </w:rPr>
        <w:t>，</w:t>
      </w:r>
      <w:r>
        <w:rPr>
          <w:rFonts w:hint="eastAsia" w:ascii="仿宋_GB2312" w:eastAsia="仿宋_GB2312"/>
          <w:kern w:val="0"/>
          <w:sz w:val="32"/>
          <w:szCs w:val="32"/>
        </w:rPr>
        <w:t>再打造一批“零违法占道”严管示范街区。</w:t>
      </w:r>
      <w:r>
        <w:rPr>
          <w:rFonts w:hint="eastAsia" w:ascii="仿宋_GB2312" w:hAnsi="仿宋_GB2312" w:eastAsia="仿宋_GB2312" w:cs="仿宋_GB2312"/>
          <w:b w:val="0"/>
          <w:bCs w:val="0"/>
          <w:color w:val="0D0D0D" w:themeColor="text1" w:themeTint="F2"/>
          <w:sz w:val="32"/>
          <w:szCs w:val="32"/>
          <w:lang w:val="en-US" w:eastAsia="zh-CN"/>
          <w14:textFill>
            <w14:solidFill>
              <w14:schemeClr w14:val="tx1">
                <w14:lumMod w14:val="95000"/>
                <w14:lumOff w14:val="5000"/>
              </w14:schemeClr>
            </w14:solidFill>
          </w14:textFill>
        </w:rPr>
        <w:t>巩固提升国家园林城市、国家卫生县城创建成果，全力推进全国文明城市创建。</w:t>
      </w:r>
      <w:r>
        <w:rPr>
          <w:rFonts w:hint="eastAsia" w:ascii="仿宋_GB2312" w:hAnsi="仿宋_GB2312" w:eastAsia="仿宋_GB2312" w:cs="仿宋_GB2312"/>
          <w:b w:val="0"/>
          <w:bCs w:val="0"/>
          <w:sz w:val="32"/>
          <w:szCs w:val="32"/>
          <w:lang w:eastAsia="zh-CN"/>
        </w:rPr>
        <w:t>推动城乡贯通发展。开工建设游客综合服务中心，加快综合客运站、叶鲁高速、焦唐高速建设，推动</w:t>
      </w:r>
      <w:r>
        <w:rPr>
          <w:rFonts w:hint="eastAsia" w:ascii="仿宋_GB2312" w:hAnsi="仿宋_GB2312" w:eastAsia="仿宋_GB2312" w:cs="仿宋_GB2312"/>
          <w:sz w:val="32"/>
          <w:szCs w:val="32"/>
        </w:rPr>
        <w:t>郑尧高速鲁山西出口、郑尧高速尧山站东移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G329钢厂路沙河大桥、G311辛集至南王庄改建工程、G311宝丰周庄至鲁山漫</w:t>
      </w:r>
      <w:r>
        <w:rPr>
          <w:rFonts w:hint="eastAsia" w:ascii="仿宋_GB2312" w:hAnsi="仿宋_GB2312" w:eastAsia="仿宋_GB2312" w:cs="仿宋_GB2312"/>
          <w:sz w:val="32"/>
          <w:szCs w:val="32"/>
          <w:lang w:val="en-US" w:eastAsia="zh-CN"/>
        </w:rPr>
        <w:t>流</w:t>
      </w:r>
      <w:r>
        <w:rPr>
          <w:rFonts w:hint="eastAsia" w:ascii="仿宋_GB2312" w:hAnsi="仿宋_GB2312" w:eastAsia="仿宋_GB2312" w:cs="仿宋_GB2312"/>
          <w:sz w:val="32"/>
          <w:szCs w:val="32"/>
          <w:lang w:eastAsia="zh-CN"/>
        </w:rPr>
        <w:t>等项目。统筹推进</w:t>
      </w:r>
      <w:r>
        <w:rPr>
          <w:rFonts w:hint="eastAsia" w:ascii="仿宋_GB2312" w:hAnsi="仿宋_GB2312" w:eastAsia="仿宋_GB2312" w:cs="仿宋_GB2312"/>
          <w:sz w:val="32"/>
          <w:szCs w:val="32"/>
          <w:lang w:val="en-US" w:eastAsia="zh-CN"/>
        </w:rPr>
        <w:t>110千伏</w:t>
      </w:r>
      <w:r>
        <w:rPr>
          <w:rFonts w:hint="eastAsia" w:ascii="仿宋_GB2312" w:hAnsi="仿宋_GB2312" w:eastAsia="仿宋_GB2312" w:cs="仿宋_GB2312"/>
          <w:sz w:val="32"/>
          <w:szCs w:val="32"/>
          <w:lang w:eastAsia="zh-CN"/>
        </w:rPr>
        <w:t>漫流、下汤输变电工程建设。</w:t>
      </w:r>
      <w:r>
        <w:rPr>
          <w:rFonts w:hint="eastAsia" w:ascii="仿宋_GB2312" w:hAnsi="仿宋_GB2312" w:eastAsia="仿宋_GB2312" w:cs="仿宋_GB2312"/>
          <w:b w:val="0"/>
          <w:bCs w:val="0"/>
          <w:sz w:val="32"/>
          <w:szCs w:val="32"/>
          <w:lang w:val="en-US" w:eastAsia="zh-CN"/>
        </w:rPr>
        <w:t>加快马楼、瀼河撤乡建镇步伐。</w:t>
      </w:r>
    </w:p>
    <w:p>
      <w:pPr>
        <w:keepNext w:val="0"/>
        <w:keepLines w:val="0"/>
        <w:pageBreakBefore w:val="0"/>
        <w:widowControl w:val="0"/>
        <w:pBdr>
          <w:bottom w:val="single" w:color="FFFFFF" w:sz="4" w:space="31"/>
        </w:pBdr>
        <w:kinsoku/>
        <w:wordWrap/>
        <w:topLinePunct w:val="0"/>
        <w:autoSpaceDE w:val="0"/>
        <w:autoSpaceDN/>
        <w:bidi w:val="0"/>
        <w:adjustRightInd/>
        <w:snapToGrid/>
        <w:spacing w:line="579"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sz w:val="32"/>
          <w:szCs w:val="32"/>
          <w:lang w:val="en-US" w:eastAsia="zh-CN"/>
        </w:rPr>
        <w:t>促进乡村振兴。守牢耕地保护红线，全年粮食播种面积稳定在94万亩以</w:t>
      </w:r>
      <w:r>
        <w:rPr>
          <w:rFonts w:hint="eastAsia" w:ascii="仿宋_GB2312" w:hAnsi="仿宋_GB2312" w:eastAsia="仿宋_GB2312" w:cs="仿宋_GB2312"/>
          <w:sz w:val="32"/>
          <w:szCs w:val="32"/>
          <w:lang w:val="en-US" w:eastAsia="zh-CN"/>
        </w:rPr>
        <w:t>上。粮食产量稳定在24.5万吨以上。加强高标准农田建设，</w:t>
      </w:r>
      <w:r>
        <w:rPr>
          <w:rFonts w:hint="eastAsia" w:ascii="仿宋_GB2312" w:hAnsi="仿宋_GB2312" w:eastAsia="仿宋_GB2312" w:cs="仿宋_GB2312"/>
          <w:color w:val="auto"/>
          <w:sz w:val="32"/>
          <w:szCs w:val="32"/>
        </w:rPr>
        <w:t>新开工5.7万亩高标准农田和2.4万亩示范区项目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40"/>
          <w:lang w:val="en-US" w:eastAsia="zh-CN"/>
        </w:rPr>
        <w:t>统筹推进高效节水灌溉，</w:t>
      </w:r>
      <w:r>
        <w:rPr>
          <w:rFonts w:hint="eastAsia" w:ascii="仿宋_GB2312" w:hAnsi="仿宋_GB2312" w:eastAsia="仿宋_GB2312" w:cs="仿宋_GB2312"/>
          <w:color w:val="auto"/>
          <w:sz w:val="32"/>
          <w:szCs w:val="32"/>
          <w:lang w:eastAsia="zh-CN"/>
        </w:rPr>
        <w:t>推进五里岭提灌工程、张良磙子营南水北调水厂、张官营磙子营镇水系连通及水美乡村等重点水利项目加快实施。</w:t>
      </w:r>
      <w:r>
        <w:rPr>
          <w:rFonts w:hint="eastAsia" w:ascii="仿宋_GB2312" w:hAnsi="仿宋_GB2312" w:eastAsia="仿宋_GB2312" w:cs="仿宋_GB2312"/>
          <w:color w:val="auto"/>
          <w:sz w:val="32"/>
          <w:szCs w:val="32"/>
          <w:lang w:val="en-US" w:eastAsia="zh-CN"/>
        </w:rPr>
        <w:t>创建省市级“美丽公路”，改扩建“四好农村路”50公里。</w:t>
      </w:r>
      <w:r>
        <w:rPr>
          <w:rFonts w:hint="eastAsia" w:ascii="仿宋_GB2312" w:hAnsi="仿宋_GB2312" w:eastAsia="仿宋_GB2312" w:cs="仿宋_GB2312"/>
          <w:sz w:val="32"/>
          <w:szCs w:val="40"/>
          <w:lang w:val="en-US" w:eastAsia="zh-CN"/>
        </w:rPr>
        <w:t>健全长效管护机制，深入推进农业水价综合改革。以“治理六乱、开展六清”集中整治为抓手，接续开展人居环境整治五年提升行动。大力推</w:t>
      </w:r>
      <w:r>
        <w:rPr>
          <w:rFonts w:hint="eastAsia" w:ascii="仿宋_GB2312" w:hAnsi="仿宋_GB2312" w:eastAsia="仿宋_GB2312" w:cs="仿宋_GB2312"/>
          <w:color w:val="auto"/>
          <w:sz w:val="32"/>
          <w:szCs w:val="32"/>
          <w:lang w:val="en-US" w:eastAsia="zh-CN"/>
        </w:rPr>
        <w:t>进和美乡村创建，新改造农村户厕3700户，积极引导群众创建“和美庭院”。开展高价彩礼、大操大办等重点领域突出问题专项治理，推进农村丧葬习俗改革。进一步完善防返贫动态监测和帮扶机制，持续巩固脱贫攻坚成果。</w:t>
      </w:r>
    </w:p>
    <w:p>
      <w:pPr>
        <w:keepNext w:val="0"/>
        <w:keepLines w:val="0"/>
        <w:pageBreakBefore w:val="0"/>
        <w:widowControl w:val="0"/>
        <w:pBdr>
          <w:bottom w:val="single" w:color="FFFFFF" w:sz="4" w:space="31"/>
        </w:pBdr>
        <w:kinsoku/>
        <w:wordWrap/>
        <w:topLinePunct w:val="0"/>
        <w:autoSpaceDE w:val="0"/>
        <w:autoSpaceDN/>
        <w:bidi w:val="0"/>
        <w:adjustRightInd/>
        <w:snapToGrid/>
        <w:spacing w:line="579" w:lineRule="exact"/>
        <w:ind w:firstLine="643" w:firstLineChars="200"/>
        <w:outlineLvl w:val="1"/>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（四）锚定生态文明，塑造高质量发展优势</w:t>
      </w:r>
    </w:p>
    <w:p>
      <w:pPr>
        <w:keepNext w:val="0"/>
        <w:keepLines w:val="0"/>
        <w:pageBreakBefore w:val="0"/>
        <w:widowControl w:val="0"/>
        <w:pBdr>
          <w:bottom w:val="single" w:color="FFFFFF" w:sz="4" w:space="31"/>
        </w:pBdr>
        <w:kinsoku/>
        <w:wordWrap/>
        <w:topLinePunct w:val="0"/>
        <w:autoSpaceDE w:val="0"/>
        <w:autoSpaceDN/>
        <w:bidi w:val="0"/>
        <w:adjustRightInd/>
        <w:snapToGrid/>
        <w:spacing w:line="579"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打好污染防治攻坚战。着力改善空气质量，确保建筑工地严格落实“六个百分之百”要求，落实重污染天气管控措施，加快全县交通、建筑、公共机构低碳建设，持续实现空气质量二级达标。着力加强水质管理，</w:t>
      </w:r>
      <w:r>
        <w:rPr>
          <w:rFonts w:hint="eastAsia" w:ascii="仿宋_GB2312" w:hAnsi="仿宋_GB2312" w:eastAsia="仿宋_GB2312" w:cs="仿宋_GB2312"/>
          <w:color w:val="auto"/>
          <w:sz w:val="32"/>
          <w:szCs w:val="32"/>
        </w:rPr>
        <w:t>深入实施城乡黑臭水体消除行动，开展重点河流断面、饮用水水源地环境专项治理，</w:t>
      </w:r>
      <w:r>
        <w:rPr>
          <w:rFonts w:hint="eastAsia" w:ascii="仿宋_GB2312" w:hAnsi="仿宋_GB2312" w:eastAsia="仿宋_GB2312" w:cs="仿宋_GB2312"/>
          <w:color w:val="auto"/>
          <w:sz w:val="32"/>
          <w:szCs w:val="32"/>
          <w:lang w:val="en-US" w:eastAsia="zh-CN"/>
        </w:rPr>
        <w:t>加快推进将相河水污染治理及湿地项目建设，实施</w:t>
      </w:r>
      <w:r>
        <w:rPr>
          <w:rFonts w:hint="eastAsia" w:ascii="仿宋_GB2312" w:hAnsi="仿宋_GB2312" w:eastAsia="仿宋_GB2312" w:cs="仿宋_GB2312"/>
          <w:color w:val="auto"/>
          <w:sz w:val="32"/>
          <w:szCs w:val="32"/>
        </w:rPr>
        <w:t>大泥河、金鸭河等</w:t>
      </w:r>
      <w:r>
        <w:rPr>
          <w:rFonts w:hint="eastAsia" w:ascii="仿宋_GB2312" w:hAnsi="仿宋_GB2312" w:eastAsia="仿宋_GB2312" w:cs="仿宋_GB2312"/>
          <w:color w:val="auto"/>
          <w:sz w:val="32"/>
          <w:szCs w:val="32"/>
          <w:lang w:eastAsia="zh-CN"/>
        </w:rPr>
        <w:t>河道</w:t>
      </w:r>
      <w:r>
        <w:rPr>
          <w:rFonts w:hint="eastAsia" w:ascii="仿宋_GB2312" w:hAnsi="仿宋_GB2312" w:eastAsia="仿宋_GB2312" w:cs="仿宋_GB2312"/>
          <w:color w:val="auto"/>
          <w:sz w:val="32"/>
          <w:szCs w:val="32"/>
        </w:rPr>
        <w:t>上游环境综合整治</w:t>
      </w:r>
      <w:r>
        <w:rPr>
          <w:rFonts w:hint="eastAsia" w:ascii="仿宋_GB2312" w:hAnsi="仿宋_GB2312" w:eastAsia="仿宋_GB2312" w:cs="仿宋_GB2312"/>
          <w:color w:val="auto"/>
          <w:sz w:val="32"/>
          <w:szCs w:val="32"/>
          <w:lang w:val="en-US" w:eastAsia="zh-CN"/>
        </w:rPr>
        <w:t>。着力推进土壤污染防治，提</w:t>
      </w:r>
      <w:r>
        <w:rPr>
          <w:rFonts w:hint="eastAsia" w:ascii="仿宋_GB2312" w:hAnsi="仿宋_GB2312" w:eastAsia="仿宋_GB2312" w:cs="仿宋_GB2312"/>
          <w:color w:val="auto"/>
          <w:sz w:val="32"/>
          <w:szCs w:val="32"/>
          <w:highlight w:val="none"/>
          <w:lang w:val="en-US" w:eastAsia="zh-CN"/>
        </w:rPr>
        <w:t>高土地安全利用率，</w:t>
      </w:r>
      <w:r>
        <w:rPr>
          <w:rFonts w:hint="eastAsia" w:ascii="仿宋_GB2312" w:hAnsi="仿宋_GB2312" w:eastAsia="仿宋_GB2312" w:cs="仿宋_GB2312"/>
          <w:color w:val="auto"/>
          <w:sz w:val="32"/>
          <w:szCs w:val="32"/>
          <w:lang w:val="en-US" w:eastAsia="zh-CN"/>
        </w:rPr>
        <w:t>完成年度村庄污水治理任务。</w:t>
      </w:r>
    </w:p>
    <w:p>
      <w:pPr>
        <w:keepNext w:val="0"/>
        <w:keepLines w:val="0"/>
        <w:pageBreakBefore w:val="0"/>
        <w:widowControl w:val="0"/>
        <w:pBdr>
          <w:bottom w:val="single" w:color="FFFFFF" w:sz="4" w:space="31"/>
        </w:pBdr>
        <w:kinsoku/>
        <w:wordWrap/>
        <w:topLinePunct w:val="0"/>
        <w:autoSpaceDE w:val="0"/>
        <w:autoSpaceDN/>
        <w:bidi w:val="0"/>
        <w:adjustRightInd/>
        <w:snapToGrid/>
        <w:spacing w:line="579"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坚持生态优先、绿色发展。</w:t>
      </w:r>
      <w:r>
        <w:rPr>
          <w:rFonts w:hint="eastAsia" w:ascii="仿宋_GB2312" w:hAnsi="仿宋_GB2312" w:eastAsia="仿宋_GB2312" w:cs="仿宋_GB2312"/>
          <w:color w:val="auto"/>
          <w:sz w:val="32"/>
          <w:szCs w:val="32"/>
        </w:rPr>
        <w:t>推进恒海动力谷</w:t>
      </w:r>
      <w:r>
        <w:rPr>
          <w:rFonts w:hint="eastAsia" w:ascii="仿宋_GB2312" w:hAnsi="仿宋_GB2312" w:eastAsia="仿宋_GB2312" w:cs="仿宋_GB2312"/>
          <w:color w:val="auto"/>
          <w:sz w:val="32"/>
          <w:szCs w:val="32"/>
          <w:lang w:val="en-US" w:eastAsia="zh-CN"/>
        </w:rPr>
        <w:t>产业园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食用菌产业园、旅游装备产业园</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园区</w:t>
      </w:r>
      <w:r>
        <w:rPr>
          <w:rFonts w:hint="eastAsia" w:ascii="仿宋_GB2312" w:hAnsi="仿宋_GB2312" w:eastAsia="仿宋_GB2312" w:cs="仿宋_GB2312"/>
          <w:color w:val="auto"/>
          <w:sz w:val="32"/>
          <w:szCs w:val="32"/>
        </w:rPr>
        <w:t>低碳化发展</w:t>
      </w:r>
      <w:r>
        <w:rPr>
          <w:rFonts w:hint="eastAsia" w:ascii="仿宋_GB2312" w:hAnsi="仿宋_GB2312" w:eastAsia="仿宋_GB2312" w:cs="仿宋_GB2312"/>
          <w:color w:val="auto"/>
          <w:sz w:val="32"/>
          <w:szCs w:val="32"/>
        </w:rPr>
        <w:t>，建设</w:t>
      </w:r>
      <w:r>
        <w:rPr>
          <w:rFonts w:hint="eastAsia" w:ascii="仿宋_GB2312" w:hAnsi="仿宋_GB2312" w:eastAsia="仿宋_GB2312" w:cs="仿宋_GB2312"/>
          <w:color w:val="auto"/>
          <w:sz w:val="32"/>
          <w:szCs w:val="32"/>
          <w:lang w:val="en-US" w:eastAsia="zh-CN"/>
        </w:rPr>
        <w:t>绿色</w:t>
      </w:r>
      <w:r>
        <w:rPr>
          <w:rFonts w:hint="eastAsia" w:ascii="仿宋_GB2312" w:hAnsi="仿宋_GB2312" w:eastAsia="仿宋_GB2312" w:cs="仿宋_GB2312"/>
          <w:color w:val="auto"/>
          <w:sz w:val="32"/>
          <w:szCs w:val="32"/>
        </w:rPr>
        <w:t>园区、绿色工厂。</w:t>
      </w:r>
      <w:r>
        <w:rPr>
          <w:rFonts w:hint="eastAsia" w:ascii="仿宋_GB2312" w:hAnsi="仿宋_GB2312" w:eastAsia="仿宋_GB2312" w:cs="仿宋_GB2312"/>
          <w:color w:val="auto"/>
          <w:sz w:val="32"/>
          <w:szCs w:val="32"/>
          <w:highlight w:val="none"/>
          <w:lang w:val="en-US" w:eastAsia="zh-CN"/>
        </w:rPr>
        <w:t>贯彻落实“两山”理念，持续推进废弃矿山综合整治和生态修复工作</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333333"/>
          <w:spacing w:val="6"/>
          <w:kern w:val="2"/>
          <w:sz w:val="32"/>
          <w:szCs w:val="32"/>
          <w:shd w:val="clear" w:color="auto" w:fill="FFFFFF"/>
          <w:lang w:val="en-US" w:eastAsia="zh-CN" w:bidi="ar-SA"/>
        </w:rPr>
        <w:t>坚持</w:t>
      </w:r>
      <w:r>
        <w:rPr>
          <w:rFonts w:hint="eastAsia" w:ascii="仿宋_GB2312" w:hAnsi="仿宋_GB2312" w:eastAsia="仿宋_GB2312" w:cs="仿宋_GB2312"/>
          <w:color w:val="auto"/>
          <w:sz w:val="32"/>
          <w:szCs w:val="32"/>
          <w:highlight w:val="none"/>
          <w:lang w:eastAsia="zh-CN"/>
        </w:rPr>
        <w:t>科学发展，协同推进国土绿化，</w:t>
      </w:r>
      <w:r>
        <w:rPr>
          <w:rFonts w:hint="eastAsia" w:ascii="仿宋_GB2312" w:hAnsi="仿宋_GB2312" w:eastAsia="仿宋_GB2312" w:cs="仿宋_GB2312"/>
          <w:color w:val="auto"/>
          <w:sz w:val="32"/>
          <w:szCs w:val="32"/>
          <w:highlight w:val="none"/>
          <w:lang w:val="en-US" w:eastAsia="zh-CN"/>
        </w:rPr>
        <w:t>全年完成营造林8.6万亩。加快推动国家级森林城市创建工作，积极构建自然保护地体系，扩大湿地保护范围，加强候鸟动态监测及生物多样性保护，严厉打击破坏野生动物资源犯罪行为。认真落实中央和省生态环境保护督察反馈问题整改，确保整改成效扎实稳固，提升交办问题整改效率和质量。</w:t>
      </w:r>
    </w:p>
    <w:p>
      <w:pPr>
        <w:keepNext w:val="0"/>
        <w:keepLines w:val="0"/>
        <w:pageBreakBefore w:val="0"/>
        <w:widowControl w:val="0"/>
        <w:pBdr>
          <w:bottom w:val="single" w:color="FFFFFF" w:sz="4" w:space="31"/>
        </w:pBdr>
        <w:kinsoku/>
        <w:wordWrap/>
        <w:topLinePunct w:val="0"/>
        <w:autoSpaceDE w:val="0"/>
        <w:autoSpaceDN/>
        <w:bidi w:val="0"/>
        <w:adjustRightInd/>
        <w:snapToGrid/>
        <w:spacing w:line="579" w:lineRule="exact"/>
        <w:ind w:firstLine="643" w:firstLineChars="200"/>
        <w:outlineLvl w:val="1"/>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b/>
          <w:bCs/>
          <w:color w:val="auto"/>
          <w:sz w:val="32"/>
          <w:szCs w:val="32"/>
          <w:highlight w:val="none"/>
          <w:lang w:val="en-US" w:eastAsia="zh-CN"/>
        </w:rPr>
        <w:t>（五）锚定改革创新，优化高质量发展环境</w:t>
      </w:r>
    </w:p>
    <w:p>
      <w:pPr>
        <w:keepNext w:val="0"/>
        <w:keepLines w:val="0"/>
        <w:pageBreakBefore w:val="0"/>
        <w:widowControl w:val="0"/>
        <w:pBdr>
          <w:bottom w:val="single" w:color="FFFFFF" w:sz="4" w:space="31"/>
        </w:pBdr>
        <w:kinsoku/>
        <w:wordWrap/>
        <w:topLinePunct w:val="0"/>
        <w:autoSpaceDE w:val="0"/>
        <w:autoSpaceDN/>
        <w:bidi w:val="0"/>
        <w:adjustRightInd/>
        <w:snapToGrid/>
        <w:spacing w:line="579"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推进重点领域改革。持续深化“放管服效”改革，围绕打造审批最少、流程最优、体制最顺、机制最活、效率最高、服务最好的“六最”营商环境目标，全力做好河南省营商环境系统性改革任务和五项重点任务的贯彻落实，持续推进“万人助万企”活动，加快数字化赋能营商环境建设，深入开展营商环境创新示范创建，全面推行政务服务事项“不见面审批”、惠企政策“免申即享”，不断提高市场主体和人民群众获得感、满意度。</w:t>
      </w:r>
      <w:r>
        <w:rPr>
          <w:rFonts w:hint="eastAsia" w:ascii="仿宋_GB2312" w:hAnsi="仿宋_GB2312" w:eastAsia="仿宋_GB2312" w:cs="仿宋_GB2312"/>
          <w:b w:val="0"/>
          <w:bCs w:val="0"/>
          <w:sz w:val="32"/>
          <w:szCs w:val="32"/>
          <w:lang w:eastAsia="zh-CN"/>
        </w:rPr>
        <w:t>创新金融服务，</w:t>
      </w:r>
      <w:r>
        <w:rPr>
          <w:rFonts w:hint="eastAsia" w:ascii="仿宋_GB2312" w:hAnsi="仿宋_GB2312" w:eastAsia="仿宋_GB2312" w:cs="仿宋_GB2312"/>
          <w:sz w:val="32"/>
          <w:szCs w:val="32"/>
          <w:lang w:val="en-US" w:eastAsia="zh-CN"/>
        </w:rPr>
        <w:t>推广中小微企业信贷风险补偿机制等政策，帮助企业解决融资难、融资贵问题，为企业减轻负担。</w:t>
      </w:r>
      <w:r>
        <w:rPr>
          <w:rFonts w:hint="eastAsia" w:ascii="仿宋_GB2312" w:hAnsi="仿宋_GB2312" w:eastAsia="仿宋_GB2312" w:cs="仿宋_GB2312"/>
          <w:kern w:val="2"/>
          <w:sz w:val="32"/>
          <w:szCs w:val="32"/>
          <w:lang w:val="en-US" w:eastAsia="zh-CN" w:bidi="ar-SA"/>
        </w:rPr>
        <w:t>引导金融机</w:t>
      </w:r>
      <w:r>
        <w:rPr>
          <w:rFonts w:hint="eastAsia" w:ascii="仿宋_GB2312" w:hAnsi="仿宋_GB2312" w:eastAsia="仿宋_GB2312" w:cs="仿宋_GB2312"/>
          <w:b w:val="0"/>
          <w:bCs w:val="0"/>
          <w:sz w:val="32"/>
          <w:szCs w:val="32"/>
          <w:lang w:val="en-US" w:eastAsia="zh-CN"/>
        </w:rPr>
        <w:t>构加大信贷投放力度。</w:t>
      </w:r>
    </w:p>
    <w:p>
      <w:pPr>
        <w:keepNext w:val="0"/>
        <w:keepLines w:val="0"/>
        <w:pageBreakBefore w:val="0"/>
        <w:widowControl w:val="0"/>
        <w:pBdr>
          <w:bottom w:val="single" w:color="FFFFFF" w:sz="4" w:space="31"/>
        </w:pBdr>
        <w:kinsoku/>
        <w:wordWrap/>
        <w:topLinePunct w:val="0"/>
        <w:autoSpaceDE w:val="0"/>
        <w:autoSpaceDN/>
        <w:bidi w:val="0"/>
        <w:adjustRightInd/>
        <w:snapToGrid/>
        <w:spacing w:line="579"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开展精准招商。优化“四张图谱”“四个拜访”，转变招商理念，变“见企招企”为“集群集聚”,形成产业集群式发展。强化以商招商，商会招商，积极开展产业链招商、龙头企业招商、专班招商，精准引进优质项目，扶持龙头企业开展品牌培育、产品研发和市场开拓。重点围绕“两集群三基地六园区”，</w:t>
      </w:r>
      <w:r>
        <w:rPr>
          <w:rFonts w:hint="eastAsia" w:ascii="仿宋_GB2312" w:hAnsi="仿宋_GB2312" w:eastAsia="仿宋_GB2312" w:cs="仿宋_GB2312"/>
          <w:b w:val="0"/>
          <w:bCs w:val="0"/>
          <w:color w:val="auto"/>
          <w:sz w:val="32"/>
          <w:szCs w:val="32"/>
          <w:lang w:eastAsia="zh-CN"/>
        </w:rPr>
        <w:t>再谋划一批带动能力强、经济效益好的项目</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sz w:val="32"/>
          <w:szCs w:val="32"/>
          <w:lang w:eastAsia="zh-CN"/>
        </w:rPr>
        <w:t>重点跟进</w:t>
      </w:r>
      <w:r>
        <w:rPr>
          <w:rFonts w:hint="eastAsia" w:ascii="仿宋_GB2312" w:hAnsi="仿宋_GB2312" w:eastAsia="仿宋_GB2312" w:cs="仿宋_GB2312"/>
          <w:b w:val="0"/>
          <w:bCs w:val="0"/>
          <w:sz w:val="32"/>
          <w:szCs w:val="32"/>
          <w:lang w:val="en-US" w:eastAsia="zh-CN"/>
        </w:rPr>
        <w:t>杜鹃岭120万千瓦抽蓄工程、斯贝图卫星大数据中心等项目，推动取得实质性进展。</w:t>
      </w:r>
    </w:p>
    <w:p>
      <w:pPr>
        <w:keepNext w:val="0"/>
        <w:keepLines w:val="0"/>
        <w:pageBreakBefore w:val="0"/>
        <w:widowControl w:val="0"/>
        <w:numPr>
          <w:ilvl w:val="0"/>
          <w:numId w:val="0"/>
        </w:numPr>
        <w:pBdr>
          <w:bottom w:val="single" w:color="FFFFFF" w:sz="4" w:space="31"/>
        </w:pBdr>
        <w:kinsoku/>
        <w:wordWrap/>
        <w:topLinePunct w:val="0"/>
        <w:autoSpaceDE w:val="0"/>
        <w:autoSpaceDN/>
        <w:bidi w:val="0"/>
        <w:adjustRightInd/>
        <w:snapToGrid/>
        <w:spacing w:line="579" w:lineRule="exact"/>
        <w:ind w:firstLine="643" w:firstLineChars="200"/>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（六）锚定民生保障，共享高质量发展成果</w:t>
      </w:r>
    </w:p>
    <w:p>
      <w:pPr>
        <w:keepNext w:val="0"/>
        <w:keepLines w:val="0"/>
        <w:pageBreakBefore w:val="0"/>
        <w:widowControl w:val="0"/>
        <w:numPr>
          <w:ilvl w:val="0"/>
          <w:numId w:val="0"/>
        </w:numPr>
        <w:pBdr>
          <w:bottom w:val="single" w:color="FFFFFF" w:sz="4" w:space="31"/>
        </w:pBdr>
        <w:kinsoku/>
        <w:wordWrap/>
        <w:topLinePunct w:val="0"/>
        <w:autoSpaceDE w:val="0"/>
        <w:autoSpaceDN/>
        <w:bidi w:val="0"/>
        <w:adjustRightInd/>
        <w:snapToGrid/>
        <w:spacing w:line="579" w:lineRule="exact"/>
        <w:ind w:firstLine="640" w:firstLineChars="200"/>
        <w:outlineLvl w:val="1"/>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优化基本公共服务。完善公立医院绩效考核机制，加快推进信息化建设，进一步整合远程医疗资源，推进医共体信息化建设。全面落实重大传染病防治行动，继续开展重点癌症筛查和早诊早治，加快县精神病院、老年病医院等项目建设。推动“仙人洞”遗址申报全国文物保护单位，制定红佛寺保护规划，争取早日开工徐玉诺故居技防工程、吴镜堂故居修缮工程。规范基层综合文化服务中心图书管理、资源共享、活动组织等，完善基层文化管理人员的培训制度，提高公共文化服务水平。</w:t>
      </w:r>
    </w:p>
    <w:p>
      <w:pPr>
        <w:keepNext w:val="0"/>
        <w:keepLines w:val="0"/>
        <w:pageBreakBefore w:val="0"/>
        <w:widowControl w:val="0"/>
        <w:pBdr>
          <w:bottom w:val="single" w:color="FFFFFF" w:sz="4" w:space="31"/>
        </w:pBdr>
        <w:kinsoku/>
        <w:wordWrap/>
        <w:topLinePunct w:val="0"/>
        <w:autoSpaceDE w:val="0"/>
        <w:autoSpaceDN/>
        <w:bidi w:val="0"/>
        <w:adjustRightInd/>
        <w:snapToGrid/>
        <w:spacing w:line="579"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办好人民满意教育。整合优质教学资源，充分发挥名师、骨干教师、学科带头人在课程改革中的学科引领作用，</w:t>
      </w:r>
      <w:r>
        <w:rPr>
          <w:rFonts w:hint="eastAsia" w:ascii="仿宋_GB2312" w:eastAsia="仿宋_GB2312"/>
          <w:sz w:val="32"/>
          <w:szCs w:val="32"/>
          <w:lang w:eastAsia="zh-CN"/>
        </w:rPr>
        <w:t>培养经师和人师相统一的“大先生”。</w:t>
      </w:r>
      <w:r>
        <w:rPr>
          <w:rFonts w:hint="eastAsia" w:ascii="仿宋_GB2312" w:hAnsi="仿宋_GB2312" w:eastAsia="仿宋_GB2312" w:cs="仿宋_GB2312"/>
          <w:b w:val="0"/>
          <w:bCs w:val="0"/>
          <w:sz w:val="32"/>
          <w:szCs w:val="32"/>
          <w:lang w:val="en-US" w:eastAsia="zh-CN"/>
        </w:rPr>
        <w:t>扩大普惠性学前教育资源供给，推进城区4所幼儿园建设，加快构建普惠托育服务体系。优化义务教育质量，加快鲁兴小学教学楼、下汤实验学校智慧教室等教育薄弱环节改善与能力提升等项目建设进度，新（改）建5所寄宿制小学。启动县二高新校区建设。</w:t>
      </w:r>
    </w:p>
    <w:p>
      <w:pPr>
        <w:keepNext w:val="0"/>
        <w:keepLines w:val="0"/>
        <w:pageBreakBefore w:val="0"/>
        <w:widowControl w:val="0"/>
        <w:numPr>
          <w:ilvl w:val="0"/>
          <w:numId w:val="0"/>
        </w:numPr>
        <w:pBdr>
          <w:bottom w:val="single" w:color="FFFFFF" w:sz="4" w:space="31"/>
        </w:pBdr>
        <w:tabs>
          <w:tab w:val="left" w:pos="1440"/>
        </w:tabs>
        <w:kinsoku/>
        <w:wordWrap/>
        <w:overflowPunct w:val="0"/>
        <w:topLinePunct w:val="0"/>
        <w:autoSpaceDE/>
        <w:autoSpaceDN/>
        <w:bidi w:val="0"/>
        <w:adjustRightInd/>
        <w:snapToGrid/>
        <w:spacing w:line="570" w:lineRule="exact"/>
        <w:ind w:firstLine="640" w:firstLineChars="200"/>
        <w:textAlignment w:val="baseline"/>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全面加强社会保障。积极引导和鼓励外出务工人员返乡创业，坚持以创业促进就业，</w:t>
      </w:r>
      <w:r>
        <w:rPr>
          <w:rFonts w:hint="eastAsia" w:ascii="仿宋_GB2312" w:hAnsi="仿宋_GB2312" w:eastAsia="仿宋_GB2312" w:cs="仿宋_GB2312"/>
          <w:b w:val="0"/>
          <w:bCs w:val="0"/>
          <w:sz w:val="32"/>
          <w:szCs w:val="32"/>
          <w:lang w:eastAsia="zh-CN"/>
        </w:rPr>
        <w:t>持续提高劳动力转移就业率，</w:t>
      </w:r>
      <w:r>
        <w:rPr>
          <w:rFonts w:hint="eastAsia" w:ascii="仿宋_GB2312" w:hAnsi="仿宋_GB2312" w:eastAsia="仿宋_GB2312" w:cs="仿宋_GB2312"/>
          <w:b w:val="0"/>
          <w:bCs w:val="0"/>
          <w:sz w:val="32"/>
          <w:szCs w:val="32"/>
          <w:lang w:val="en-US" w:eastAsia="zh-CN"/>
        </w:rPr>
        <w:t>完成农村劳动力转移就业1.8万人</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做好高校毕业生、退役军人、农民工、残疾人、城镇困难人员等重点人群就业工作，全年新增城镇就业6100人。深入推进“人人持证、技能河南”建设，精准开展技能培训，推进公共实训基地建设项目取得实质性进展。开工建设中心养老院，加快农村敬老院转型为区域养老服务中心，推动未成年人保护中心项目落地，全面落实对残疾人员、空巢老人、失独（伤残）家庭、孤儿或留守儿童、重症患者等困难弱势群体的各项社会救助政策。开展高校残疾人毕业生招聘、就业援助等，提升残疾人就业服务质量；积极推进无障碍环境建设，继续实施困难重度残疾家庭无障碍改造。深入开展“</w:t>
      </w:r>
      <w:r>
        <w:rPr>
          <w:rFonts w:hint="eastAsia" w:ascii="仿宋_GB2312" w:hAnsi="仿宋_GB2312" w:eastAsia="仿宋_GB2312" w:cs="仿宋_GB2312"/>
          <w:b w:val="0"/>
          <w:bCs w:val="0"/>
          <w:sz w:val="32"/>
          <w:szCs w:val="32"/>
          <w:lang w:eastAsia="zh-CN"/>
        </w:rPr>
        <w:t>平安鲁山”</w:t>
      </w:r>
      <w:r>
        <w:rPr>
          <w:rFonts w:hint="eastAsia" w:ascii="仿宋_GB2312" w:hAnsi="仿宋_GB2312" w:eastAsia="仿宋_GB2312" w:cs="仿宋_GB2312"/>
          <w:b w:val="0"/>
          <w:bCs w:val="0"/>
          <w:sz w:val="32"/>
          <w:szCs w:val="32"/>
          <w:lang w:val="en-US" w:eastAsia="zh-CN"/>
        </w:rPr>
        <w:t>创建活动，深化全面依法治县，扎实推进法治建设，保持社会大局持续稳定。统筹做好安全、信访、双拥、质量、妇女儿童、民族宗教等工作。</w:t>
      </w:r>
    </w:p>
    <w:p>
      <w:pPr>
        <w:keepNext w:val="0"/>
        <w:keepLines w:val="0"/>
        <w:pageBreakBefore w:val="0"/>
        <w:widowControl w:val="0"/>
        <w:pBdr>
          <w:bottom w:val="single" w:color="FFFFFF" w:sz="4" w:space="31"/>
        </w:pBdr>
        <w:kinsoku/>
        <w:wordWrap/>
        <w:topLinePunct w:val="0"/>
        <w:autoSpaceDE w:val="0"/>
        <w:autoSpaceDN/>
        <w:bidi w:val="0"/>
        <w:adjustRightInd/>
        <w:snapToGrid/>
        <w:spacing w:line="579" w:lineRule="exact"/>
        <w:ind w:firstLine="640" w:firstLineChars="200"/>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b w:val="0"/>
          <w:bCs w:val="0"/>
          <w:sz w:val="32"/>
          <w:szCs w:val="32"/>
          <w:lang w:val="en-US" w:eastAsia="zh-CN"/>
        </w:rPr>
        <w:t>各位代表！新的一年、新的起点、新的挑战，我们要深入学习贯彻习近平新时代中国特色社会主义思想和党的二十大精神，聚焦高质量发展这个首要任务和构建新发展格局这个战略任务，更好统筹经济质的有效提升和量的合理增长，在县委坚强领导下</w:t>
      </w:r>
      <w:bookmarkStart w:id="0" w:name="_GoBack"/>
      <w:bookmarkEnd w:id="0"/>
      <w:r>
        <w:rPr>
          <w:rFonts w:hint="eastAsia" w:ascii="仿宋_GB2312" w:hAnsi="仿宋_GB2312" w:eastAsia="仿宋_GB2312" w:cs="仿宋_GB2312"/>
          <w:b w:val="0"/>
          <w:bCs w:val="0"/>
          <w:sz w:val="32"/>
          <w:szCs w:val="32"/>
          <w:lang w:val="en-US" w:eastAsia="zh-CN"/>
        </w:rPr>
        <w:t>，同力协心、接续奋斗，为</w:t>
      </w:r>
      <w:r>
        <w:rPr>
          <w:rFonts w:hint="eastAsia" w:ascii="仿宋_GB2312" w:hAnsi="仿宋_GB2312" w:eastAsia="仿宋_GB2312" w:cs="仿宋_GB2312"/>
          <w:b w:val="0"/>
          <w:bCs w:val="0"/>
          <w:sz w:val="32"/>
          <w:szCs w:val="32"/>
          <w:lang w:eastAsia="zh-CN"/>
        </w:rPr>
        <w:t>全面建设生态文化美丽富强现代</w:t>
      </w:r>
      <w:r>
        <w:rPr>
          <w:rFonts w:hint="eastAsia" w:ascii="仿宋_GB2312" w:eastAsia="仿宋_GB2312"/>
          <w:color w:val="auto"/>
          <w:sz w:val="32"/>
          <w:szCs w:val="32"/>
          <w:highlight w:val="none"/>
          <w:lang w:eastAsia="zh-CN"/>
        </w:rPr>
        <w:t>化新鲁山</w:t>
      </w:r>
      <w:r>
        <w:rPr>
          <w:rFonts w:hint="eastAsia" w:ascii="仿宋_GB2312" w:eastAsia="仿宋_GB2312"/>
          <w:color w:val="auto"/>
          <w:sz w:val="32"/>
          <w:szCs w:val="32"/>
          <w:highlight w:val="none"/>
          <w:lang w:val="en-US" w:eastAsia="zh-CN"/>
        </w:rPr>
        <w:t>聚势赋能。</w:t>
      </w:r>
    </w:p>
    <w:p>
      <w:pPr>
        <w:keepNext w:val="0"/>
        <w:keepLines w:val="0"/>
        <w:pageBreakBefore w:val="0"/>
        <w:widowControl w:val="0"/>
        <w:kinsoku/>
        <w:wordWrap/>
        <w:topLinePunct w:val="0"/>
        <w:autoSpaceDN/>
        <w:bidi w:val="0"/>
        <w:adjustRightInd/>
        <w:snapToGrid/>
        <w:spacing w:line="579" w:lineRule="exact"/>
        <w:rPr>
          <w:rFonts w:hint="eastAsia" w:ascii="仿宋_GB2312" w:eastAsia="仿宋_GB2312"/>
          <w:color w:val="auto"/>
          <w:sz w:val="32"/>
          <w:szCs w:val="32"/>
          <w:highlight w:val="none"/>
          <w:lang w:val="en-US" w:eastAsia="zh-CN"/>
        </w:rPr>
      </w:pPr>
    </w:p>
    <w:p>
      <w:pPr>
        <w:pStyle w:val="13"/>
        <w:keepNext w:val="0"/>
        <w:keepLines w:val="0"/>
        <w:pageBreakBefore w:val="0"/>
        <w:widowControl w:val="0"/>
        <w:kinsoku/>
        <w:wordWrap/>
        <w:topLinePunct w:val="0"/>
        <w:autoSpaceDN/>
        <w:bidi w:val="0"/>
        <w:adjustRightInd/>
        <w:snapToGrid/>
        <w:spacing w:line="579" w:lineRule="exact"/>
        <w:rPr>
          <w:rFonts w:hint="eastAsia" w:ascii="仿宋_GB2312" w:eastAsia="仿宋_GB2312"/>
          <w:color w:val="auto"/>
          <w:sz w:val="32"/>
          <w:szCs w:val="32"/>
          <w:highlight w:val="none"/>
          <w:lang w:val="en-US" w:eastAsia="zh-CN"/>
        </w:rPr>
      </w:pPr>
    </w:p>
    <w:p>
      <w:pPr>
        <w:keepNext w:val="0"/>
        <w:keepLines w:val="0"/>
        <w:pageBreakBefore w:val="0"/>
        <w:widowControl w:val="0"/>
        <w:kinsoku/>
        <w:wordWrap/>
        <w:topLinePunct w:val="0"/>
        <w:autoSpaceDN/>
        <w:bidi w:val="0"/>
        <w:adjustRightInd/>
        <w:snapToGrid/>
        <w:spacing w:line="579" w:lineRule="exact"/>
        <w:rPr>
          <w:rFonts w:hint="eastAsia" w:ascii="仿宋_GB2312" w:eastAsia="仿宋_GB2312"/>
          <w:color w:val="auto"/>
          <w:sz w:val="32"/>
          <w:szCs w:val="32"/>
          <w:highlight w:val="none"/>
          <w:lang w:val="en-US" w:eastAsia="zh-CN"/>
        </w:rPr>
      </w:pPr>
    </w:p>
    <w:p>
      <w:pPr>
        <w:pStyle w:val="13"/>
        <w:keepNext w:val="0"/>
        <w:keepLines w:val="0"/>
        <w:pageBreakBefore w:val="0"/>
        <w:widowControl w:val="0"/>
        <w:kinsoku/>
        <w:wordWrap/>
        <w:topLinePunct w:val="0"/>
        <w:autoSpaceDN/>
        <w:bidi w:val="0"/>
        <w:adjustRightInd/>
        <w:snapToGrid/>
        <w:spacing w:line="579" w:lineRule="exact"/>
        <w:rPr>
          <w:rFonts w:hint="eastAsia" w:ascii="仿宋_GB2312" w:eastAsia="仿宋_GB2312"/>
          <w:color w:val="auto"/>
          <w:sz w:val="32"/>
          <w:szCs w:val="32"/>
          <w:highlight w:val="none"/>
          <w:lang w:val="en-US" w:eastAsia="zh-CN"/>
        </w:rPr>
      </w:pPr>
    </w:p>
    <w:p>
      <w:pPr>
        <w:keepNext w:val="0"/>
        <w:keepLines w:val="0"/>
        <w:pageBreakBefore w:val="0"/>
        <w:widowControl w:val="0"/>
        <w:kinsoku/>
        <w:wordWrap/>
        <w:topLinePunct w:val="0"/>
        <w:autoSpaceDN/>
        <w:bidi w:val="0"/>
        <w:adjustRightInd/>
        <w:snapToGrid/>
        <w:spacing w:line="579" w:lineRule="exact"/>
        <w:rPr>
          <w:rFonts w:hint="eastAsia" w:ascii="仿宋_GB2312" w:eastAsia="仿宋_GB2312"/>
          <w:color w:val="auto"/>
          <w:sz w:val="32"/>
          <w:szCs w:val="32"/>
          <w:highlight w:val="none"/>
          <w:lang w:val="en-US" w:eastAsia="zh-CN"/>
        </w:rPr>
      </w:pPr>
    </w:p>
    <w:p>
      <w:pPr>
        <w:pStyle w:val="13"/>
        <w:keepNext w:val="0"/>
        <w:keepLines w:val="0"/>
        <w:pageBreakBefore w:val="0"/>
        <w:widowControl w:val="0"/>
        <w:kinsoku/>
        <w:wordWrap/>
        <w:topLinePunct w:val="0"/>
        <w:autoSpaceDN/>
        <w:bidi w:val="0"/>
        <w:adjustRightInd/>
        <w:snapToGrid/>
        <w:spacing w:line="579" w:lineRule="exact"/>
        <w:rPr>
          <w:rFonts w:hint="eastAsia" w:ascii="仿宋_GB2312" w:eastAsia="仿宋_GB2312"/>
          <w:color w:val="auto"/>
          <w:sz w:val="32"/>
          <w:szCs w:val="32"/>
          <w:highlight w:val="none"/>
          <w:lang w:val="en-US" w:eastAsia="zh-CN"/>
        </w:rPr>
      </w:pPr>
    </w:p>
    <w:p>
      <w:pPr>
        <w:rPr>
          <w:rFonts w:hint="eastAsia" w:ascii="仿宋_GB2312" w:eastAsia="仿宋_GB2312"/>
          <w:color w:val="auto"/>
          <w:sz w:val="32"/>
          <w:szCs w:val="32"/>
          <w:highlight w:val="none"/>
          <w:lang w:val="en-US" w:eastAsia="zh-CN"/>
        </w:rPr>
      </w:pPr>
    </w:p>
    <w:p>
      <w:pPr>
        <w:rPr>
          <w:rFonts w:hint="eastAsia" w:ascii="仿宋_GB2312" w:eastAsia="仿宋_GB2312"/>
          <w:color w:val="auto"/>
          <w:sz w:val="32"/>
          <w:szCs w:val="32"/>
          <w:highlight w:val="none"/>
          <w:lang w:val="en-US" w:eastAsia="zh-CN"/>
        </w:rPr>
      </w:pPr>
    </w:p>
    <w:p>
      <w:pPr>
        <w:rPr>
          <w:rFonts w:hint="eastAsia" w:ascii="仿宋_GB2312" w:eastAsia="仿宋_GB2312"/>
          <w:color w:val="auto"/>
          <w:sz w:val="32"/>
          <w:szCs w:val="32"/>
          <w:highlight w:val="none"/>
          <w:lang w:val="en-US" w:eastAsia="zh-CN"/>
        </w:rPr>
      </w:pPr>
    </w:p>
    <w:p>
      <w:pPr>
        <w:pStyle w:val="2"/>
        <w:rPr>
          <w:rFonts w:hint="eastAsia" w:ascii="仿宋_GB2312" w:eastAsia="仿宋_GB2312"/>
          <w:color w:val="auto"/>
          <w:sz w:val="32"/>
          <w:szCs w:val="32"/>
          <w:highlight w:val="none"/>
          <w:lang w:val="en-US" w:eastAsia="zh-CN"/>
        </w:rPr>
      </w:pPr>
    </w:p>
    <w:p>
      <w:pPr>
        <w:pStyle w:val="2"/>
        <w:ind w:left="0" w:leftChars="0" w:firstLine="0" w:firstLineChars="0"/>
        <w:rPr>
          <w:rFonts w:hint="eastAsia" w:ascii="仿宋_GB2312" w:eastAsia="仿宋_GB2312"/>
          <w:color w:val="auto"/>
          <w:sz w:val="32"/>
          <w:szCs w:val="32"/>
          <w:highlight w:val="none"/>
          <w:lang w:val="en-US" w:eastAsia="zh-CN"/>
        </w:rPr>
      </w:pPr>
    </w:p>
    <w:p>
      <w:pPr>
        <w:pStyle w:val="13"/>
        <w:keepNext w:val="0"/>
        <w:keepLines w:val="0"/>
        <w:pageBreakBefore w:val="0"/>
        <w:widowControl w:val="0"/>
        <w:kinsoku/>
        <w:wordWrap/>
        <w:topLinePunct w:val="0"/>
        <w:autoSpaceDN/>
        <w:bidi w:val="0"/>
        <w:adjustRightInd/>
        <w:snapToGrid/>
        <w:spacing w:line="579" w:lineRule="exact"/>
        <w:ind w:left="0" w:leftChars="0" w:firstLine="0" w:firstLineChars="0"/>
        <w:rPr>
          <w:rFonts w:hint="eastAsia"/>
          <w:lang w:val="en-US" w:eastAsia="zh-CN"/>
        </w:rPr>
      </w:pPr>
    </w:p>
    <w:p>
      <w:pPr>
        <w:rPr>
          <w:rFonts w:hint="eastAsia"/>
          <w:lang w:val="en-US" w:eastAsia="zh-CN"/>
        </w:rPr>
      </w:pPr>
    </w:p>
    <w:p>
      <w:pPr>
        <w:keepNext w:val="0"/>
        <w:keepLines w:val="0"/>
        <w:pageBreakBefore w:val="0"/>
        <w:widowControl w:val="0"/>
        <w:kinsoku/>
        <w:wordWrap/>
        <w:topLinePunct w:val="0"/>
        <w:autoSpaceDN/>
        <w:bidi w:val="0"/>
        <w:adjustRightInd/>
        <w:snapToGrid/>
        <w:spacing w:line="579" w:lineRule="exact"/>
        <w:rPr>
          <w:rFonts w:hint="eastAsia"/>
        </w:rPr>
      </w:pPr>
    </w:p>
    <w:p>
      <w:pPr>
        <w:keepNext w:val="0"/>
        <w:keepLines w:val="0"/>
        <w:pageBreakBefore w:val="0"/>
        <w:widowControl w:val="0"/>
        <w:kinsoku/>
        <w:wordWrap/>
        <w:overflowPunct/>
        <w:topLinePunct w:val="0"/>
        <w:autoSpaceDN/>
        <w:bidi w:val="0"/>
        <w:adjustRightInd/>
        <w:snapToGrid/>
        <w:spacing w:beforeAutospacing="0" w:afterAutospacing="0" w:line="579" w:lineRule="exact"/>
        <w:rPr>
          <w:rFonts w:hint="eastAsia"/>
          <w:color w:val="auto"/>
        </w:rPr>
      </w:pPr>
      <w:r>
        <w:rPr>
          <w:color w:val="auto"/>
          <w:sz w:val="32"/>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99695</wp:posOffset>
                </wp:positionV>
                <wp:extent cx="5819775" cy="9525"/>
                <wp:effectExtent l="0" t="4445" r="1905" b="8890"/>
                <wp:wrapNone/>
                <wp:docPr id="2" name="直接连接符 2"/>
                <wp:cNvGraphicFramePr/>
                <a:graphic xmlns:a="http://schemas.openxmlformats.org/drawingml/2006/main">
                  <a:graphicData uri="http://schemas.microsoft.com/office/word/2010/wordprocessingShape">
                    <wps:wsp>
                      <wps:cNvCnPr/>
                      <wps:spPr>
                        <a:xfrm>
                          <a:off x="0" y="0"/>
                          <a:ext cx="5819775" cy="9525"/>
                        </a:xfrm>
                        <a:prstGeom prst="line">
                          <a:avLst/>
                        </a:prstGeom>
                        <a:ln w="9525"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0.3pt;margin-top:7.85pt;height:0.75pt;width:458.25pt;z-index:251661312;mso-width-relative:page;mso-height-relative:page;" filled="f" stroked="t" coordsize="21600,21600" o:gfxdata="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vN08/VAAAABwEAAA8AAAAAAAAAAQAgAAAAIgAAAGRycy9kb3ducmV2LnhtbFBLAQIUABQA&#10;AAAIAIdO4kBQ+kcb8wEAAOcDAAAOAAAAAAAAAAEAIAAAACQBAABkcnMvZTJvRG9jLnhtbFBLBQYA&#10;AAAABgAGAFkBAACJBQAAAAA=&#10;">
                <v:fill on="f" focussize="0,0"/>
                <v:stroke color="#000000" joinstyle="round"/>
                <v:imagedata o:title=""/>
                <o:lock v:ext="edit" aspectratio="f"/>
              </v:line>
            </w:pict>
          </mc:Fallback>
        </mc:AlternateContent>
      </w:r>
    </w:p>
    <w:p>
      <w:pPr>
        <w:pStyle w:val="18"/>
        <w:keepNext w:val="0"/>
        <w:keepLines w:val="0"/>
        <w:pageBreakBefore w:val="0"/>
        <w:widowControl w:val="0"/>
        <w:kinsoku/>
        <w:wordWrap/>
        <w:topLinePunct w:val="0"/>
        <w:autoSpaceDN/>
        <w:bidi w:val="0"/>
        <w:adjustRightInd/>
        <w:snapToGrid/>
        <w:spacing w:line="579" w:lineRule="exact"/>
        <w:ind w:left="0" w:leftChars="0" w:firstLine="0" w:firstLineChars="0"/>
        <w:rPr>
          <w:rFonts w:hint="eastAsia" w:ascii="仿宋_GB2312" w:eastAsia="仿宋_GB2312"/>
          <w:color w:val="auto"/>
          <w:sz w:val="32"/>
          <w:szCs w:val="32"/>
          <w:highlight w:val="none"/>
          <w:lang w:val="en-US" w:eastAsia="zh-CN"/>
        </w:rPr>
      </w:pPr>
      <w:r>
        <w:rPr>
          <w:color w:val="auto"/>
          <w:sz w:val="32"/>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433070</wp:posOffset>
                </wp:positionV>
                <wp:extent cx="5819775" cy="9525"/>
                <wp:effectExtent l="0" t="4445" r="1905" b="8890"/>
                <wp:wrapNone/>
                <wp:docPr id="4" name="直接连接符 4"/>
                <wp:cNvGraphicFramePr/>
                <a:graphic xmlns:a="http://schemas.openxmlformats.org/drawingml/2006/main">
                  <a:graphicData uri="http://schemas.microsoft.com/office/word/2010/wordprocessingShape">
                    <wps:wsp>
                      <wps:cNvCnPr/>
                      <wps:spPr>
                        <a:xfrm>
                          <a:off x="0" y="0"/>
                          <a:ext cx="581977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5pt;margin-top:34.1pt;height:0.75pt;width:458.25pt;z-index:251662336;mso-width-relative:page;mso-height-relative:page;" filled="f" stroked="t" coordsize="21600,21600" o:gfxdata="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n2vIrXAAAACAEAAA8AAAAAAAAAAQAgAAAAIgAAAGRycy9kb3ducmV2LnhtbFBLAQIU&#10;ABQAAAAIAIdO4kDl5tCI9AEAAOcDAAAOAAAAAAAAAAEAIAAAACYBAABkcnMvZTJvRG9jLnhtbFBL&#10;BQYAAAAABgAGAFkBAACMBQAAAAA=&#10;">
                <v:fill on="f" focussize="0,0"/>
                <v:stroke color="#000000" joinstyle="round"/>
                <v:imagedata o:title=""/>
                <o:lock v:ext="edit" aspectratio="f"/>
              </v:line>
            </w:pict>
          </mc:Fallback>
        </mc:AlternateContent>
      </w:r>
      <w:r>
        <w:rPr>
          <w:color w:val="auto"/>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753100" cy="12700"/>
                <wp:effectExtent l="0" t="4445" r="7620" b="5715"/>
                <wp:wrapNone/>
                <wp:docPr id="5" name="直接连接符 5"/>
                <wp:cNvGraphicFramePr/>
                <a:graphic xmlns:a="http://schemas.openxmlformats.org/drawingml/2006/main">
                  <a:graphicData uri="http://schemas.microsoft.com/office/word/2010/wordprocessingShape">
                    <wps:wsp>
                      <wps:cNvCnPr/>
                      <wps:spPr>
                        <a:xfrm>
                          <a:off x="0" y="381000"/>
                          <a:ext cx="5753100" cy="12700"/>
                        </a:xfrm>
                        <a:prstGeom prst="line">
                          <a:avLst/>
                        </a:prstGeom>
                        <a:ln>
                          <a:solidFill>
                            <a:prstClr val="white"/>
                          </a:solidFill>
                        </a:ln>
                        <a:effectLst/>
                      </wps:spPr>
                      <wps:bodyPr rot="0" vert="horz" wrap="square" lIns="0" tIns="0" rIns="0" bIns="0" anchor="t" anchorCtr="0" upright="0"/>
                    </wps:wsp>
                  </a:graphicData>
                </a:graphic>
              </wp:anchor>
            </w:drawing>
          </mc:Choice>
          <mc:Fallback>
            <w:pict>
              <v:line id="_x0000_s1026" o:spid="_x0000_s1026" o:spt="20" style="position:absolute;left:0pt;margin-left:0pt;margin-top:0pt;height:1pt;width:453pt;z-index:251659264;mso-width-relative:page;mso-height-relative:page;" filled="f" stroked="t" coordsize="21600,21600" o:gfxdata="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4z85nSAAAAAwEAAA8AAAAAAAAAAQAgAAAAIgAAAGRycy9kb3ducmV2LnhtbFBLAQIUABQAAAAI&#10;AIdO4kDOQPLv8wEAAM0DAAAOAAAAAAAAAAEAIAAAACEBAABkcnMvZTJvRG9jLnhtbFBLBQYAAAAA&#10;BgAGAFkBAACGBQAAAAA=&#10;">
                <v:fill on="f" focussize="0,0"/>
                <v:stroke color="#FFFFFF" joinstyle="round"/>
                <v:imagedata o:title=""/>
                <o:lock v:ext="edit" aspectratio="f"/>
              </v:line>
            </w:pict>
          </mc:Fallback>
        </mc:AlternateContent>
      </w:r>
      <w:r>
        <w:rPr>
          <w:color w:val="auto"/>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765800" cy="12700"/>
                <wp:effectExtent l="0" t="4445" r="10160" b="5715"/>
                <wp:wrapNone/>
                <wp:docPr id="6" name="直接连接符 6"/>
                <wp:cNvGraphicFramePr/>
                <a:graphic xmlns:a="http://schemas.openxmlformats.org/drawingml/2006/main">
                  <a:graphicData uri="http://schemas.microsoft.com/office/word/2010/wordprocessingShape">
                    <wps:wsp>
                      <wps:cNvCnPr/>
                      <wps:spPr>
                        <a:xfrm>
                          <a:off x="0" y="12700"/>
                          <a:ext cx="5765800" cy="12700"/>
                        </a:xfrm>
                        <a:prstGeom prst="line">
                          <a:avLst/>
                        </a:prstGeom>
                        <a:ln>
                          <a:solidFill>
                            <a:prstClr val="white"/>
                          </a:solidFill>
                        </a:ln>
                        <a:effectLst/>
                      </wps:spPr>
                      <wps:bodyPr rot="0" vert="horz" wrap="square" lIns="0" tIns="0" rIns="0" bIns="0" anchor="t" anchorCtr="0" upright="0"/>
                    </wps:wsp>
                  </a:graphicData>
                </a:graphic>
              </wp:anchor>
            </w:drawing>
          </mc:Choice>
          <mc:Fallback>
            <w:pict>
              <v:line id="_x0000_s1026" o:spid="_x0000_s1026" o:spt="20" style="position:absolute;left:0pt;margin-left:0pt;margin-top:0pt;height:1pt;width:454pt;z-index:251660288;mso-width-relative:page;mso-height-relative:page;" filled="f" stroked="t" coordsize="21600,21600" o:gfxdata="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TuCjn&#10;0gAAAAMBAAAPAAAAAAAAAAEAIAAAACIAAABkcnMvZG93bnJldi54bWxQSwECFAAUAAAACACHTuJA&#10;33/n9u4BAADMAwAADgAAAAAAAAABACAAAAAhAQAAZHJzL2Uyb0RvYy54bWxQSwUGAAAAAAYABgBZ&#10;AQAAgQUAAAAA&#10;">
                <v:fill on="f" focussize="0,0"/>
                <v:stroke color="#FFFFFF" joinstyle="round"/>
                <v:imagedata o:title=""/>
                <o:lock v:ext="edit" aspectratio="f"/>
              </v:line>
            </w:pict>
          </mc:Fallback>
        </mc:AlternateContent>
      </w:r>
      <w:r>
        <w:rPr>
          <w:rFonts w:hint="eastAsia" w:ascii="仿宋_GB2312" w:hAnsi="仿宋_GB2312" w:eastAsia="仿宋_GB2312"/>
          <w:color w:val="auto"/>
          <w:sz w:val="28"/>
          <w:szCs w:val="28"/>
          <w:lang w:val="en-US" w:eastAsia="zh-CN"/>
        </w:rPr>
        <w:t xml:space="preserve">  </w:t>
      </w:r>
      <w:r>
        <w:rPr>
          <w:rFonts w:hint="eastAsia" w:ascii="仿宋_GB2312" w:hAnsi="仿宋_GB2312" w:eastAsia="仿宋_GB2312"/>
          <w:color w:val="auto"/>
          <w:sz w:val="32"/>
          <w:szCs w:val="32"/>
          <w:lang w:eastAsia="zh-CN"/>
        </w:rPr>
        <w:t>鲁山县</w:t>
      </w:r>
      <w:r>
        <w:rPr>
          <w:rFonts w:hint="eastAsia" w:ascii="仿宋_GB2312" w:hAnsi="仿宋_GB2312" w:eastAsia="仿宋_GB2312"/>
          <w:color w:val="auto"/>
          <w:sz w:val="32"/>
          <w:szCs w:val="32"/>
        </w:rPr>
        <w:t>十</w:t>
      </w:r>
      <w:r>
        <w:rPr>
          <w:rFonts w:hint="eastAsia" w:ascii="仿宋_GB2312" w:hAnsi="仿宋_GB2312" w:eastAsia="仿宋_GB2312"/>
          <w:color w:val="auto"/>
          <w:sz w:val="32"/>
          <w:szCs w:val="32"/>
          <w:lang w:eastAsia="zh-CN"/>
        </w:rPr>
        <w:t>六</w:t>
      </w:r>
      <w:r>
        <w:rPr>
          <w:rFonts w:hint="eastAsia" w:ascii="仿宋_GB2312" w:hAnsi="仿宋_GB2312" w:eastAsia="仿宋_GB2312"/>
          <w:color w:val="auto"/>
          <w:sz w:val="32"/>
          <w:szCs w:val="32"/>
        </w:rPr>
        <w:t>届人大</w:t>
      </w:r>
      <w:r>
        <w:rPr>
          <w:rFonts w:hint="eastAsia" w:ascii="仿宋_GB2312" w:hAnsi="仿宋_GB2312" w:eastAsia="仿宋_GB2312"/>
          <w:color w:val="auto"/>
          <w:sz w:val="32"/>
          <w:szCs w:val="32"/>
          <w:lang w:val="en-US" w:eastAsia="zh-CN"/>
        </w:rPr>
        <w:t>四</w:t>
      </w:r>
      <w:r>
        <w:rPr>
          <w:rFonts w:hint="eastAsia" w:ascii="仿宋_GB2312" w:hAnsi="仿宋_GB2312" w:eastAsia="仿宋_GB2312"/>
          <w:color w:val="auto"/>
          <w:sz w:val="32"/>
          <w:szCs w:val="32"/>
        </w:rPr>
        <w:t xml:space="preserve">次会议秘书处 </w:t>
      </w:r>
      <w:r>
        <w:rPr>
          <w:rFonts w:hint="eastAsia" w:ascii="仿宋_GB2312" w:hAnsi="仿宋_GB2312" w:eastAsia="仿宋_GB2312"/>
          <w:color w:val="auto"/>
          <w:sz w:val="32"/>
          <w:szCs w:val="32"/>
          <w:lang w:val="en-US" w:eastAsia="zh-CN"/>
        </w:rPr>
        <w:t xml:space="preserve">    </w:t>
      </w:r>
      <w:r>
        <w:rPr>
          <w:rFonts w:hint="eastAsia" w:ascii="仿宋_GB2312" w:hAnsi="仿宋_GB2312" w:eastAsia="仿宋_GB2312"/>
          <w:color w:val="auto"/>
          <w:sz w:val="32"/>
          <w:szCs w:val="32"/>
        </w:rPr>
        <w:t xml:space="preserve"> </w:t>
      </w:r>
      <w:r>
        <w:rPr>
          <w:rFonts w:hint="eastAsia" w:ascii="仿宋_GB2312" w:hAnsi="仿宋_GB2312" w:eastAsia="仿宋_GB2312"/>
          <w:color w:val="auto"/>
          <w:sz w:val="32"/>
          <w:szCs w:val="32"/>
          <w:lang w:val="en-US" w:eastAsia="zh-CN"/>
        </w:rPr>
        <w:t xml:space="preserve">  </w:t>
      </w:r>
      <w:r>
        <w:rPr>
          <w:rFonts w:hint="eastAsia" w:ascii="仿宋_GB2312" w:hAnsi="仿宋_GB2312" w:eastAsia="仿宋_GB2312"/>
          <w:color w:val="auto"/>
          <w:sz w:val="32"/>
          <w:szCs w:val="32"/>
        </w:rPr>
        <w:t>20</w:t>
      </w:r>
      <w:r>
        <w:rPr>
          <w:rFonts w:hint="eastAsia" w:ascii="仿宋_GB2312" w:hAnsi="仿宋_GB2312" w:eastAsia="仿宋_GB2312"/>
          <w:color w:val="auto"/>
          <w:sz w:val="32"/>
          <w:szCs w:val="32"/>
          <w:lang w:val="en-US" w:eastAsia="zh-CN"/>
        </w:rPr>
        <w:t>24</w:t>
      </w:r>
      <w:r>
        <w:rPr>
          <w:rFonts w:hint="eastAsia" w:ascii="仿宋_GB2312" w:hAnsi="仿宋_GB2312" w:eastAsia="仿宋_GB2312"/>
          <w:color w:val="auto"/>
          <w:sz w:val="32"/>
          <w:szCs w:val="32"/>
        </w:rPr>
        <w:t>年</w:t>
      </w:r>
      <w:r>
        <w:rPr>
          <w:rFonts w:hint="eastAsia" w:ascii="仿宋_GB2312" w:hAnsi="仿宋_GB2312" w:eastAsia="仿宋_GB2312"/>
          <w:color w:val="auto"/>
          <w:sz w:val="32"/>
          <w:szCs w:val="32"/>
          <w:lang w:val="en-US" w:eastAsia="zh-CN"/>
        </w:rPr>
        <w:t>1</w:t>
      </w:r>
      <w:r>
        <w:rPr>
          <w:rFonts w:hint="eastAsia" w:ascii="仿宋_GB2312" w:hAnsi="仿宋_GB2312" w:eastAsia="仿宋_GB2312"/>
          <w:color w:val="auto"/>
          <w:sz w:val="32"/>
          <w:szCs w:val="32"/>
        </w:rPr>
        <w:t xml:space="preserve">月印 </w:t>
      </w:r>
      <w:r>
        <w:rPr>
          <w:rFonts w:hint="eastAsia" w:ascii="仿宋_GB2312" w:hAnsi="仿宋_GB2312" w:eastAsia="仿宋_GB2312"/>
          <w:color w:val="auto"/>
          <w:sz w:val="32"/>
          <w:szCs w:val="3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iYTg4OWFhZTg2ODhiMTdkNzM3MDIyOTYyMWU5OWUifQ=="/>
  </w:docVars>
  <w:rsids>
    <w:rsidRoot w:val="00000000"/>
    <w:rsid w:val="00084144"/>
    <w:rsid w:val="00546CDE"/>
    <w:rsid w:val="006E6810"/>
    <w:rsid w:val="00AF157E"/>
    <w:rsid w:val="014245F4"/>
    <w:rsid w:val="020362D9"/>
    <w:rsid w:val="03C8534F"/>
    <w:rsid w:val="056527F6"/>
    <w:rsid w:val="059A3C03"/>
    <w:rsid w:val="059B7441"/>
    <w:rsid w:val="059F6268"/>
    <w:rsid w:val="07280DFC"/>
    <w:rsid w:val="07B340C2"/>
    <w:rsid w:val="0866304B"/>
    <w:rsid w:val="090B4B9C"/>
    <w:rsid w:val="098573ED"/>
    <w:rsid w:val="09A92B34"/>
    <w:rsid w:val="09B10137"/>
    <w:rsid w:val="0AC54EB8"/>
    <w:rsid w:val="0AD044DD"/>
    <w:rsid w:val="0AD81455"/>
    <w:rsid w:val="0B364677"/>
    <w:rsid w:val="0BCB2A5E"/>
    <w:rsid w:val="0C7F490F"/>
    <w:rsid w:val="0F323EBB"/>
    <w:rsid w:val="0F837E80"/>
    <w:rsid w:val="105528B5"/>
    <w:rsid w:val="10594CCA"/>
    <w:rsid w:val="10790FE5"/>
    <w:rsid w:val="10876594"/>
    <w:rsid w:val="11116F53"/>
    <w:rsid w:val="11292A0B"/>
    <w:rsid w:val="128536A6"/>
    <w:rsid w:val="132F0BD3"/>
    <w:rsid w:val="13AE5449"/>
    <w:rsid w:val="15A10F61"/>
    <w:rsid w:val="17AD67D5"/>
    <w:rsid w:val="184F4BCF"/>
    <w:rsid w:val="19247F1D"/>
    <w:rsid w:val="19355CC5"/>
    <w:rsid w:val="1A0654CA"/>
    <w:rsid w:val="1B6D07D8"/>
    <w:rsid w:val="1B9757D2"/>
    <w:rsid w:val="1C485D0F"/>
    <w:rsid w:val="1CD371AB"/>
    <w:rsid w:val="1D90796E"/>
    <w:rsid w:val="1DA30EAE"/>
    <w:rsid w:val="1E002D45"/>
    <w:rsid w:val="1EFE2F13"/>
    <w:rsid w:val="1FC34AC4"/>
    <w:rsid w:val="20B56069"/>
    <w:rsid w:val="21617F9F"/>
    <w:rsid w:val="2392648C"/>
    <w:rsid w:val="23C742C2"/>
    <w:rsid w:val="25250D33"/>
    <w:rsid w:val="25B82157"/>
    <w:rsid w:val="26373DC4"/>
    <w:rsid w:val="263B1E7B"/>
    <w:rsid w:val="27297642"/>
    <w:rsid w:val="273D0B66"/>
    <w:rsid w:val="277072C8"/>
    <w:rsid w:val="27CE17BE"/>
    <w:rsid w:val="28084F6F"/>
    <w:rsid w:val="28475245"/>
    <w:rsid w:val="2927387C"/>
    <w:rsid w:val="2B72415A"/>
    <w:rsid w:val="2BAF1907"/>
    <w:rsid w:val="2C164D53"/>
    <w:rsid w:val="2C7843EE"/>
    <w:rsid w:val="2CDA38A5"/>
    <w:rsid w:val="2D4F514F"/>
    <w:rsid w:val="2D735973"/>
    <w:rsid w:val="2D7828F8"/>
    <w:rsid w:val="2EBE45D9"/>
    <w:rsid w:val="2FD951A4"/>
    <w:rsid w:val="30505705"/>
    <w:rsid w:val="3053603B"/>
    <w:rsid w:val="306929CC"/>
    <w:rsid w:val="32E1103B"/>
    <w:rsid w:val="331D35FA"/>
    <w:rsid w:val="331F7372"/>
    <w:rsid w:val="333D5A4A"/>
    <w:rsid w:val="340547BA"/>
    <w:rsid w:val="3538296D"/>
    <w:rsid w:val="35993A81"/>
    <w:rsid w:val="35D54660"/>
    <w:rsid w:val="367A26E9"/>
    <w:rsid w:val="36F03B2E"/>
    <w:rsid w:val="37532F5B"/>
    <w:rsid w:val="38E55977"/>
    <w:rsid w:val="38E86458"/>
    <w:rsid w:val="38FC1E4E"/>
    <w:rsid w:val="39FA28E7"/>
    <w:rsid w:val="3A3E27D3"/>
    <w:rsid w:val="3A8747AC"/>
    <w:rsid w:val="3B442094"/>
    <w:rsid w:val="3B7C4E4E"/>
    <w:rsid w:val="3CB25D5B"/>
    <w:rsid w:val="3CBB45AF"/>
    <w:rsid w:val="3E714ABA"/>
    <w:rsid w:val="3EFD1540"/>
    <w:rsid w:val="40FA5420"/>
    <w:rsid w:val="414F3518"/>
    <w:rsid w:val="41661714"/>
    <w:rsid w:val="4206695E"/>
    <w:rsid w:val="43A6110A"/>
    <w:rsid w:val="441B3B85"/>
    <w:rsid w:val="44EE3048"/>
    <w:rsid w:val="455D4065"/>
    <w:rsid w:val="457E1344"/>
    <w:rsid w:val="472D60AA"/>
    <w:rsid w:val="47431429"/>
    <w:rsid w:val="479C4FDD"/>
    <w:rsid w:val="47A43841"/>
    <w:rsid w:val="48B17623"/>
    <w:rsid w:val="4A8C7951"/>
    <w:rsid w:val="4C1A4454"/>
    <w:rsid w:val="4C1E60E2"/>
    <w:rsid w:val="4CB83DE1"/>
    <w:rsid w:val="4DDF039C"/>
    <w:rsid w:val="4E487C6D"/>
    <w:rsid w:val="4F880AFE"/>
    <w:rsid w:val="5449030C"/>
    <w:rsid w:val="587003DF"/>
    <w:rsid w:val="589E6E07"/>
    <w:rsid w:val="58E460CF"/>
    <w:rsid w:val="593367DA"/>
    <w:rsid w:val="5A090DAD"/>
    <w:rsid w:val="5A7B0A82"/>
    <w:rsid w:val="5B0942E0"/>
    <w:rsid w:val="5B8F10D5"/>
    <w:rsid w:val="5BEC7E8A"/>
    <w:rsid w:val="5C6A5252"/>
    <w:rsid w:val="5D02548B"/>
    <w:rsid w:val="5E4B7A14"/>
    <w:rsid w:val="5E945227"/>
    <w:rsid w:val="611D79BA"/>
    <w:rsid w:val="61AE798F"/>
    <w:rsid w:val="61C3343B"/>
    <w:rsid w:val="6200202F"/>
    <w:rsid w:val="622F6E6B"/>
    <w:rsid w:val="626D784A"/>
    <w:rsid w:val="63ED29F1"/>
    <w:rsid w:val="643C1282"/>
    <w:rsid w:val="663F505A"/>
    <w:rsid w:val="66A95E12"/>
    <w:rsid w:val="66C7069D"/>
    <w:rsid w:val="674B65C3"/>
    <w:rsid w:val="67E81E4D"/>
    <w:rsid w:val="68210EBB"/>
    <w:rsid w:val="6A165180"/>
    <w:rsid w:val="6AC45DE2"/>
    <w:rsid w:val="6D77233A"/>
    <w:rsid w:val="6DF21700"/>
    <w:rsid w:val="6E511DCE"/>
    <w:rsid w:val="6E6B55E4"/>
    <w:rsid w:val="6EF472F7"/>
    <w:rsid w:val="6FAF14A2"/>
    <w:rsid w:val="705626DB"/>
    <w:rsid w:val="73AA6208"/>
    <w:rsid w:val="743B1556"/>
    <w:rsid w:val="74FE3782"/>
    <w:rsid w:val="752124FA"/>
    <w:rsid w:val="765E1B5A"/>
    <w:rsid w:val="766A6123"/>
    <w:rsid w:val="76F2263F"/>
    <w:rsid w:val="776E1C43"/>
    <w:rsid w:val="78C57641"/>
    <w:rsid w:val="7A2C5F9D"/>
    <w:rsid w:val="7A9D28C1"/>
    <w:rsid w:val="7B15612E"/>
    <w:rsid w:val="7C3C1C66"/>
    <w:rsid w:val="7C80044E"/>
    <w:rsid w:val="7D3E79C1"/>
    <w:rsid w:val="7D796C4C"/>
    <w:rsid w:val="7D9F5875"/>
    <w:rsid w:val="7DFC399A"/>
    <w:rsid w:val="7EC31E95"/>
    <w:rsid w:val="7F3E1EFB"/>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列出段落1"/>
    <w:basedOn w:val="1"/>
    <w:autoRedefine/>
    <w:qFormat/>
    <w:uiPriority w:val="99"/>
    <w:pPr>
      <w:ind w:firstLine="420"/>
    </w:pPr>
  </w:style>
  <w:style w:type="paragraph" w:styleId="3">
    <w:name w:val="Body Text"/>
    <w:basedOn w:val="1"/>
    <w:next w:val="1"/>
    <w:autoRedefine/>
    <w:qFormat/>
    <w:uiPriority w:val="0"/>
  </w:style>
  <w:style w:type="paragraph" w:styleId="4">
    <w:name w:val="Body Text Indent"/>
    <w:basedOn w:val="1"/>
    <w:next w:val="5"/>
    <w:autoRedefine/>
    <w:qFormat/>
    <w:uiPriority w:val="0"/>
    <w:pPr>
      <w:spacing w:after="120"/>
      <w:ind w:left="420" w:leftChars="200"/>
    </w:pPr>
    <w:rPr>
      <w:rFonts w:ascii="Calibri" w:hAnsi="Calibri" w:eastAsia="宋体" w:cs="Times New Roman"/>
    </w:rPr>
  </w:style>
  <w:style w:type="paragraph" w:styleId="5">
    <w:name w:val="footer"/>
    <w:basedOn w:val="1"/>
    <w:next w:val="1"/>
    <w:autoRedefine/>
    <w:qFormat/>
    <w:uiPriority w:val="0"/>
    <w:pPr>
      <w:tabs>
        <w:tab w:val="center" w:pos="4153"/>
        <w:tab w:val="right" w:pos="8306"/>
      </w:tabs>
      <w:snapToGrid w:val="0"/>
      <w:jc w:val="left"/>
    </w:pPr>
    <w:rPr>
      <w:sz w:val="18"/>
      <w:szCs w:val="18"/>
    </w:rPr>
  </w:style>
  <w:style w:type="paragraph" w:styleId="6">
    <w:name w:val="Block Text"/>
    <w:basedOn w:val="1"/>
    <w:autoRedefine/>
    <w:qFormat/>
    <w:uiPriority w:val="0"/>
    <w:pPr>
      <w:spacing w:after="120" w:afterLines="0" w:afterAutospacing="0"/>
      <w:ind w:left="1440" w:leftChars="700" w:rightChars="700"/>
    </w:p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100" w:beforeAutospacing="1" w:after="100" w:afterAutospacing="1"/>
    </w:pPr>
    <w:rPr>
      <w:rFonts w:ascii="Times New Roman" w:hAnsi="Times New Roman" w:eastAsia="宋体" w:cs="Times New Roman"/>
      <w:sz w:val="24"/>
      <w:lang w:val="en-US" w:eastAsia="zh-CN" w:bidi="ar-SA"/>
    </w:rPr>
  </w:style>
  <w:style w:type="paragraph" w:styleId="9">
    <w:name w:val="Body Text First Indent 2"/>
    <w:basedOn w:val="4"/>
    <w:next w:val="3"/>
    <w:autoRedefine/>
    <w:qFormat/>
    <w:uiPriority w:val="0"/>
    <w:pPr>
      <w:adjustRightInd w:val="0"/>
      <w:snapToGrid w:val="0"/>
      <w:spacing w:beforeAutospacing="1" w:afterAutospacing="1" w:line="360" w:lineRule="auto"/>
      <w:ind w:left="480" w:firstLine="562"/>
      <w:jc w:val="left"/>
    </w:pPr>
    <w:rPr>
      <w:rFonts w:hint="eastAsia" w:ascii="仿宋_GB2312" w:hAnsi="仿宋_GB2312"/>
      <w:szCs w:val="30"/>
      <w:lang w:eastAsia="en-US"/>
    </w:rPr>
  </w:style>
  <w:style w:type="paragraph" w:customStyle="1" w:styleId="12">
    <w:name w:val="BodyText"/>
    <w:basedOn w:val="1"/>
    <w:next w:val="1"/>
    <w:autoRedefine/>
    <w:qFormat/>
    <w:uiPriority w:val="0"/>
    <w:pPr>
      <w:jc w:val="both"/>
      <w:textAlignment w:val="baseline"/>
    </w:pPr>
  </w:style>
  <w:style w:type="paragraph" w:customStyle="1" w:styleId="13">
    <w:name w:val="Body Text First Indent1"/>
    <w:basedOn w:val="3"/>
    <w:next w:val="1"/>
    <w:autoRedefine/>
    <w:qFormat/>
    <w:uiPriority w:val="0"/>
    <w:pPr>
      <w:tabs>
        <w:tab w:val="left" w:pos="2250"/>
      </w:tabs>
      <w:ind w:firstLine="420" w:firstLineChars="100"/>
    </w:pPr>
    <w:rPr>
      <w:rFonts w:ascii="Times New Roman" w:hAnsi="Times New Roman"/>
      <w:szCs w:val="20"/>
    </w:rPr>
  </w:style>
  <w:style w:type="character" w:customStyle="1" w:styleId="14">
    <w:name w:val="NormalCharacter"/>
    <w:link w:val="15"/>
    <w:autoRedefine/>
    <w:qFormat/>
    <w:uiPriority w:val="0"/>
    <w:rPr>
      <w:rFonts w:ascii="Calibri" w:hAnsi="Calibri" w:eastAsia="宋体" w:cs="Times New Roman"/>
    </w:rPr>
  </w:style>
  <w:style w:type="paragraph" w:customStyle="1" w:styleId="15">
    <w:name w:val="UserStyle_1"/>
    <w:basedOn w:val="1"/>
    <w:link w:val="14"/>
    <w:autoRedefine/>
    <w:qFormat/>
    <w:uiPriority w:val="0"/>
    <w:rPr>
      <w:rFonts w:ascii="Calibri" w:hAnsi="Calibri" w:eastAsia="宋体" w:cs="Times New Roman"/>
    </w:rPr>
  </w:style>
  <w:style w:type="paragraph" w:customStyle="1" w:styleId="16">
    <w:name w:val="正文文本 21"/>
    <w:basedOn w:val="1"/>
    <w:autoRedefine/>
    <w:qFormat/>
    <w:uiPriority w:val="0"/>
    <w:pPr>
      <w:spacing w:after="120" w:line="480" w:lineRule="auto"/>
    </w:pPr>
  </w:style>
  <w:style w:type="paragraph" w:styleId="17">
    <w:name w:val="List Paragraph"/>
    <w:basedOn w:val="1"/>
    <w:autoRedefine/>
    <w:unhideWhenUsed/>
    <w:qFormat/>
    <w:uiPriority w:val="99"/>
    <w:pPr>
      <w:ind w:firstLine="420" w:firstLineChars="200"/>
    </w:pPr>
  </w:style>
  <w:style w:type="paragraph" w:customStyle="1" w:styleId="18">
    <w:name w:val="正文文本1"/>
    <w:basedOn w:val="1"/>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胜达文印7036688</cp:lastModifiedBy>
  <cp:lastPrinted>2024-01-21T01:36:00Z</cp:lastPrinted>
  <dcterms:modified xsi:type="dcterms:W3CDTF">2024-01-21T08:36:14Z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DF9F952C3C90446B8FBC64D5EF9B9509_13</vt:lpwstr>
  </property>
</Properties>
</file>