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eastAsia="zh-CN"/>
        </w:rPr>
        <w:t>鲁山县下汤镇人民政府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 w:cs="方正小标宋简体"/>
          <w:color w:val="auto"/>
          <w:w w:val="10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eastAsia="zh-CN"/>
        </w:rPr>
        <w:t>年法治政府建设情况的报告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年以来，下汤镇在县委、县政府的坚强领导下，坚决贯彻落实法治政府建设的系列部署，锚定创建法治政府的总目标，紧密围绕中心工作，全力服务发展大局，多措并举推动法治政府建设工作扎实落地取得新进展。现将工作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一、</w:t>
      </w:r>
      <w:r>
        <w:rPr>
          <w:rFonts w:hint="default" w:ascii="Times New Roman" w:hAnsi="Times New Roman" w:eastAsia="黑体" w:cs="黑体"/>
          <w:color w:val="auto"/>
          <w:lang w:val="en-US" w:eastAsia="zh-CN"/>
        </w:rPr>
        <w:t>2024</w:t>
      </w:r>
      <w:r>
        <w:rPr>
          <w:rFonts w:hint="eastAsia" w:ascii="黑体" w:hAnsi="黑体" w:eastAsia="黑体" w:cs="黑体"/>
          <w:color w:val="auto"/>
          <w:lang w:val="en-US" w:eastAsia="zh-CN"/>
        </w:rPr>
        <w:t>年度党政负责人履行推进法治建设第一责任人职责，加强法治政府建设的有关情况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一是扛稳政治责任。党政主要负责人高度重视法治政府建设，坚持党对法治工作的领导，通过党委中心组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、党委会、专题讲座等形式，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深入学习领会党的二十大及二十届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中全会精神，钻研习近平新时代中国特色社会主义思想的本质含义和现实意义，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将习近平法治思想作为学习重点，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把依法治镇、依法执政与依法行政统一起来，全力推动法治政府建设各项工作落实。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严格依法依规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以法治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建设为基础，不断提升依法行政能力。严格遵守国家法律法规，切实做到依法行政，有法必依。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召开党政班子会议，集体讨论决定全镇重大事项决策、干部任免、资金使用等工作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三是深化普法宣传。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以“八五”普法宣传为主线，充分利用国家宪法日、宪法宣传周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民俗活动节庆等时间节点，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依托镇、村新时代文明实践所（站）以及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法治文化游园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等场所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深入开展法治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教育进校园、乡村法治夜话、反电信诈骗培训、法律明白人培训以及邀请律师开展“一村一堂普法课”法律服务等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普法宣传活动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二、</w:t>
      </w:r>
      <w:r>
        <w:rPr>
          <w:rFonts w:hint="default" w:ascii="Times New Roman" w:hAnsi="Times New Roman" w:eastAsia="黑体" w:cs="黑体"/>
          <w:color w:val="auto"/>
          <w:lang w:val="en-US" w:eastAsia="zh-CN"/>
        </w:rPr>
        <w:t>2024</w:t>
      </w:r>
      <w:r>
        <w:rPr>
          <w:rFonts w:hint="eastAsia" w:ascii="黑体" w:hAnsi="黑体" w:eastAsia="黑体" w:cs="黑体"/>
          <w:color w:val="auto"/>
          <w:lang w:val="en-US" w:eastAsia="zh-CN"/>
        </w:rPr>
        <w:t>年度推进法治政府建设的主要举措和成效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（一）强化组织领导，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聚力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成立了以党委书记任组长的依法治镇工作领导小组，将法治政府建设重点工作分解量化，责任到人，保证法治政府建设深入开展、取得实效。将法治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建设纳入镇年度工作计划，为法治工作提供坚实的制度保障与人力、物力、财力支持。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习近平总书记依法治国重要论述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和习近平法治思想列入中心组理论学习内容，每月一次组织班子成员、机关干部、村（社区）两委干部、驻村工作队开展法治知识理论宣讲（扩大）课。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坚守法治底线，全力维护社会安定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注重培育村“两委”干部、法律明白人和镇、村调解员，围绕习近平法治思想、人民调解等重点内容组织开展法律专题培训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一步完善“一村（社区）三员（民警辅警、法律顾问、人民调解员）”矛盾纠纷排查化解工作机制，发挥矛盾调解作用。对于涉及司法诉讼的纠纷，由村（社区）“三员”向司法所上报，司法所提供无偿法律援助，帮助群众撰写诉讼文书、提起网上诉讼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调处各类矛盾纠纷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起，对群众提供无偿法律援助20余人次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真正做到了“小事不出村，大事不出镇，矛盾不上交”，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全面打通法律服务“最后一公里”。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（三）深化普法宣传，营造浓厚法治氛围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防未成年人溺亡。成立防溺亡领导小组，制定实施方案、应急预案，定期召开预防未成年人溺亡专项治理会议，全面开展防溺亡工作。利用悬挂横幅、发放宣传单、出动宣传车等多渠道、多方式大力宣传防溺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今年举办防溺亡现场会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在河道坑塘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警示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标识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余处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营造反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。采用“线上+线下”的方式，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通过村级微信群、广播、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微信公众号、视频号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向群众讲解防范电信诈骗知识，介绍电信诈骗的惯用手法、作案方式以及识别、防范技巧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深入开展法治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教育进校园、乡村法治夜话、反电信诈骗培训、法律明白人培训以及邀请律师开展“一村一堂普法课”法律服务等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普法宣传活动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100余次，制作普法宣传版面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8块，发放宣传彩页7000余份，发放法治书籍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000余本。在2024年的“宪法宣传周”主题活动中，先后组织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党政办、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司法所、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综治办、自然资源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所、应急办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等部门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宣传与群众生产生活密切相关的法律法规知识，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发放宣传册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00余份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，在全镇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营造了学法、尊法、守法、用法的良好氛围。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这一系列的举措，下汤镇法治政府建设工作取得了显著进展。一方面，法治意识深入人心，广大干部群众对法治政府建设的认识更加深刻，遵守法律法规的自觉性明显增强。另一方面，政府行为更加规范，依法行政成为政府工作的常态，公正文明执法水平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三、</w:t>
      </w:r>
      <w:r>
        <w:rPr>
          <w:rFonts w:hint="default" w:ascii="Times New Roman" w:hAnsi="Times New Roman" w:eastAsia="黑体" w:cs="黑体"/>
          <w:color w:val="auto"/>
          <w:lang w:val="en-US" w:eastAsia="zh-CN"/>
        </w:rPr>
        <w:t>2024</w:t>
      </w:r>
      <w:r>
        <w:rPr>
          <w:rFonts w:hint="eastAsia" w:ascii="黑体" w:hAnsi="黑体" w:eastAsia="黑体" w:cs="黑体"/>
          <w:color w:val="auto"/>
          <w:lang w:val="en-US" w:eastAsia="zh-CN"/>
        </w:rPr>
        <w:t>年度推进法治政府建设存在的不足、原因和问题整改情况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（一）法治宣传教育有待进一步深入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尽管镇政府在法治宣传教育方面取得了一定的成绩，但仍然存在宣传覆盖面不够广、宣传内容不够深入等问题。对此，我们进一步拓展宣传渠道，创新宣传方式，加强对重点群体的宣传力度，提高法律宣传的覆盖率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（二）法治队伍建设有待进一步强化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法治专业人才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力量还不够强，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工作人员中法律专业的人员占比较低，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行政执法队伍业务水平和素质有待提高。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对此，我们组织司法所、综合行政执法大队加强法律知识学习、培训，强化法治思想，依法工作，逐步打造一支强有力的法治队伍。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规范性文件审核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有待进一步完善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对规范性文件的备案审查重视不够，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备案不及时、材料不齐全等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现象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，未能充分发挥备案审查的监督作用。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对此，我们根据规范性文件审核标准，由专人负责跟进、完善相关流程、补充相关资料，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年规范性文件整理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（四）</w:t>
      </w:r>
      <w:bookmarkStart w:id="0" w:name="OLE_LINK1"/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法律顾问作用的发挥需进一步加强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法律顾问参与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决策和工作的深度、广度不够，在重大决策咨询、规范性文件审核、行政复议诉讼等方面征求法律顾问意见的意识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需强化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对此，我们</w:t>
      </w:r>
      <w:r>
        <w:rPr>
          <w:rFonts w:hint="default" w:cs="Times New Roman"/>
          <w:color w:val="auto"/>
          <w:sz w:val="32"/>
          <w:szCs w:val="32"/>
          <w:lang w:val="en-US" w:eastAsia="zh-CN"/>
        </w:rPr>
        <w:t>根据需要及时安排法律顾问组织法律知识和法律实务讲座，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参加联席会议，充分发挥法律顾问作用。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四、下一年度推进法治政府建设的初步安排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2025年，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下汤镇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法治政府建设将继续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紧紧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围绕县委、县政府的相关文件要求和会议精神，加大法治政府建设工作力度，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找不足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补差距，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认真贯彻落实习近平总书记关于法治政府建设的重要指示精神，完善法治政府和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法治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队伍建设，加强行政执法人员培训，强化督导检查，切实推进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下汤镇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法治政府建设再上新台阶。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一是持续强化法治宣传教育。坚持宣传教育不放松，营造浓厚法治氛围。下汤镇将继续加强法治宣传教育工作，丰富线下宣传形式，扩大宣传覆盖面，提高宣传内容的针对性和实效性，推动形成全民尊法学法守法用法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二是明确分工夯实责任。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坚持将法治建设与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全镇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工作同研究、同部署、同考核。进一步细化工作任务、明确工作措施，真正使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全镇党员干部群众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成为法治建设的重要组织者、推动者和实践者。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三是优化执法队伍建设。坚持重视法治素养和法治能力的用人导向，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定期组织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开展涵盖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常用法律法规、行政执法程序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等内容的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法治专题培训，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法律顾问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的合</w:t>
      </w:r>
      <w:bookmarkStart w:id="1" w:name="_GoBack"/>
      <w:bookmarkEnd w:id="1"/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作机制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以及干部依法履职情况考核制度，确保法治队伍坚实有力。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right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鲁山县下汤镇人民政府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640" w:rightChars="200" w:firstLine="640" w:firstLineChars="200"/>
        <w:jc w:val="righ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月</w:t>
      </w:r>
    </w:p>
    <w:sectPr>
      <w:footerReference r:id="rId5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mRlNzBhMWY3MzRkZjM3NjM4ZDgyNjkxM2E1NDcifQ=="/>
    <w:docVar w:name="KSO_WPS_MARK_KEY" w:val="c7e6c31a-ccce-4de6-a8bb-d610d3ab7e7b"/>
  </w:docVars>
  <w:rsids>
    <w:rsidRoot w:val="22A67540"/>
    <w:rsid w:val="055A51DF"/>
    <w:rsid w:val="0A0B33DF"/>
    <w:rsid w:val="0B6727D9"/>
    <w:rsid w:val="0C30706F"/>
    <w:rsid w:val="0E445AF8"/>
    <w:rsid w:val="18567E5D"/>
    <w:rsid w:val="1D656662"/>
    <w:rsid w:val="1FAC6C85"/>
    <w:rsid w:val="22A67540"/>
    <w:rsid w:val="233D40F4"/>
    <w:rsid w:val="2B0D18CA"/>
    <w:rsid w:val="2C756E8C"/>
    <w:rsid w:val="2EAD72BF"/>
    <w:rsid w:val="2EDF3252"/>
    <w:rsid w:val="304D30AA"/>
    <w:rsid w:val="31C81C74"/>
    <w:rsid w:val="33723565"/>
    <w:rsid w:val="33835108"/>
    <w:rsid w:val="376469F8"/>
    <w:rsid w:val="384B0B27"/>
    <w:rsid w:val="39447B32"/>
    <w:rsid w:val="3DF25C7A"/>
    <w:rsid w:val="3FB452E6"/>
    <w:rsid w:val="3FF62227"/>
    <w:rsid w:val="40264AD1"/>
    <w:rsid w:val="402E13D0"/>
    <w:rsid w:val="420B67AF"/>
    <w:rsid w:val="44497D79"/>
    <w:rsid w:val="47EA5D49"/>
    <w:rsid w:val="4A6A2BA8"/>
    <w:rsid w:val="4AF76E89"/>
    <w:rsid w:val="4BE8158F"/>
    <w:rsid w:val="4FF359B6"/>
    <w:rsid w:val="50ED0658"/>
    <w:rsid w:val="540F18B6"/>
    <w:rsid w:val="56903F5F"/>
    <w:rsid w:val="587F0686"/>
    <w:rsid w:val="5D4B1245"/>
    <w:rsid w:val="60000A2B"/>
    <w:rsid w:val="609547B7"/>
    <w:rsid w:val="6237000E"/>
    <w:rsid w:val="665705F5"/>
    <w:rsid w:val="67CA2958"/>
    <w:rsid w:val="6C8842FE"/>
    <w:rsid w:val="6E6F57F8"/>
    <w:rsid w:val="6F760188"/>
    <w:rsid w:val="70887C14"/>
    <w:rsid w:val="72902837"/>
    <w:rsid w:val="75805DA5"/>
    <w:rsid w:val="7AA031B7"/>
    <w:rsid w:val="7AE161ED"/>
    <w:rsid w:val="7DEF6C8B"/>
    <w:rsid w:val="7F7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2024-03-24T11:13:00Z</dcterms:created>
  <dc:creator>hnwtd</dc:creator>
  <cp:lastModifiedBy>86177</cp:lastModifiedBy>
  <dcterms:modified xsi:type="dcterms:W3CDTF">2025-03-04T02:51:22Z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7E47085993D7412281803F8F3DAF885E_11</vt:lpwstr>
  </property>
</Properties>
</file>