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1F2329"/>
          <w:spacing w:val="0"/>
          <w:sz w:val="44"/>
          <w:szCs w:val="44"/>
          <w:shd w:val="clear" w:fill="FFFFFF"/>
        </w:rPr>
      </w:pPr>
      <w:r>
        <w:rPr>
          <w:rFonts w:hint="eastAsia" w:ascii="方正小标宋简体" w:hAnsi="方正小标宋简体" w:eastAsia="方正小标宋简体" w:cs="方正小标宋简体"/>
          <w:i w:val="0"/>
          <w:iCs w:val="0"/>
          <w:caps w:val="0"/>
          <w:color w:val="1F2329"/>
          <w:spacing w:val="0"/>
          <w:sz w:val="44"/>
          <w:szCs w:val="44"/>
          <w:shd w:val="clear" w:fill="FFFFFF"/>
        </w:rPr>
        <w:t>鲁山县</w:t>
      </w:r>
      <w:r>
        <w:rPr>
          <w:rFonts w:hint="eastAsia" w:ascii="方正小标宋简体" w:hAnsi="方正小标宋简体" w:eastAsia="方正小标宋简体" w:cs="方正小标宋简体"/>
          <w:i w:val="0"/>
          <w:iCs w:val="0"/>
          <w:caps w:val="0"/>
          <w:color w:val="1F2329"/>
          <w:spacing w:val="0"/>
          <w:sz w:val="44"/>
          <w:szCs w:val="44"/>
          <w:shd w:val="clear" w:fill="FFFFFF"/>
          <w:lang w:val="en-US" w:eastAsia="zh-CN"/>
        </w:rPr>
        <w:t>团城</w:t>
      </w:r>
      <w:r>
        <w:rPr>
          <w:rFonts w:hint="eastAsia" w:ascii="方正小标宋简体" w:hAnsi="方正小标宋简体" w:eastAsia="方正小标宋简体" w:cs="方正小标宋简体"/>
          <w:i w:val="0"/>
          <w:iCs w:val="0"/>
          <w:caps w:val="0"/>
          <w:color w:val="1F2329"/>
          <w:spacing w:val="0"/>
          <w:sz w:val="44"/>
          <w:szCs w:val="44"/>
          <w:shd w:val="clear" w:fill="FFFFFF"/>
        </w:rPr>
        <w:t>乡人民政府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Segoe UI" w:hAnsi="Segoe UI" w:eastAsia="Segoe UI" w:cs="Segoe UI"/>
          <w:i w:val="0"/>
          <w:iCs w:val="0"/>
          <w:caps w:val="0"/>
          <w:color w:val="1F2329"/>
          <w:spacing w:val="0"/>
          <w:sz w:val="27"/>
          <w:szCs w:val="27"/>
          <w:shd w:val="clear" w:fill="FFFFFF"/>
        </w:rPr>
      </w:pPr>
      <w:r>
        <w:rPr>
          <w:rFonts w:hint="eastAsia" w:ascii="方正小标宋简体" w:hAnsi="方正小标宋简体" w:eastAsia="方正小标宋简体" w:cs="方正小标宋简体"/>
          <w:i w:val="0"/>
          <w:iCs w:val="0"/>
          <w:caps w:val="0"/>
          <w:color w:val="1F2329"/>
          <w:spacing w:val="0"/>
          <w:sz w:val="44"/>
          <w:szCs w:val="44"/>
          <w:shd w:val="clear" w:fill="FFFFFF"/>
        </w:rPr>
        <w:t>关于2024年法治政府建设情况的报告</w:t>
      </w:r>
    </w:p>
    <w:p>
      <w:pPr>
        <w:rPr>
          <w:rFonts w:hint="eastAsia" w:ascii="仿宋_GB2312" w:hAnsi="仿宋_GB2312" w:eastAsia="仿宋_GB2312" w:cs="仿宋_GB2312"/>
          <w:i w:val="0"/>
          <w:iCs w:val="0"/>
          <w:caps w:val="0"/>
          <w:color w:val="1F2329"/>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2024年</w:t>
      </w:r>
      <w:r>
        <w:rPr>
          <w:rFonts w:hint="eastAsia" w:ascii="仿宋_GB2312" w:hAnsi="仿宋_GB2312" w:eastAsia="仿宋_GB2312" w:cs="仿宋_GB2312"/>
          <w:i w:val="0"/>
          <w:iCs w:val="0"/>
          <w:caps w:val="0"/>
          <w:color w:val="auto"/>
          <w:spacing w:val="0"/>
          <w:sz w:val="32"/>
          <w:szCs w:val="32"/>
          <w:shd w:val="clear" w:fill="FFFFFF"/>
          <w:lang w:val="en-US" w:eastAsia="zh-CN"/>
        </w:rPr>
        <w:t>以来</w:t>
      </w:r>
      <w:r>
        <w:rPr>
          <w:rFonts w:hint="eastAsia" w:ascii="仿宋_GB2312" w:hAnsi="仿宋_GB2312" w:eastAsia="仿宋_GB2312" w:cs="仿宋_GB2312"/>
          <w:i w:val="0"/>
          <w:iCs w:val="0"/>
          <w:caps w:val="0"/>
          <w:color w:val="auto"/>
          <w:spacing w:val="0"/>
          <w:sz w:val="32"/>
          <w:szCs w:val="32"/>
          <w:shd w:val="clear" w:fill="FFFFFF"/>
        </w:rPr>
        <w:t>，在县委、</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政府的坚强领导下，</w:t>
      </w:r>
      <w:r>
        <w:rPr>
          <w:rFonts w:hint="eastAsia" w:ascii="仿宋_GB2312" w:hAnsi="仿宋_GB2312" w:eastAsia="仿宋_GB2312" w:cs="仿宋_GB2312"/>
          <w:i w:val="0"/>
          <w:iCs w:val="0"/>
          <w:caps w:val="0"/>
          <w:color w:val="auto"/>
          <w:spacing w:val="0"/>
          <w:sz w:val="32"/>
          <w:szCs w:val="32"/>
          <w:shd w:val="clear" w:fill="FFFFFF"/>
          <w:lang w:val="en-US" w:eastAsia="zh-CN"/>
        </w:rPr>
        <w:t>团城乡</w:t>
      </w:r>
      <w:r>
        <w:rPr>
          <w:rFonts w:hint="eastAsia" w:ascii="仿宋_GB2312" w:hAnsi="仿宋_GB2312" w:eastAsia="仿宋_GB2312" w:cs="仿宋_GB2312"/>
          <w:i w:val="0"/>
          <w:iCs w:val="0"/>
          <w:caps w:val="0"/>
          <w:color w:val="auto"/>
          <w:spacing w:val="0"/>
          <w:sz w:val="32"/>
          <w:szCs w:val="32"/>
          <w:shd w:val="clear" w:fill="FFFFFF"/>
        </w:rPr>
        <w:t>坚持以习近平新时代中国特色社会主义思想为指导，深入学习贯彻习近平法治思想，全面贯彻落实党的二十大和二十届三中全会关于法治政府建设的部署决策</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，法治政府建设各项工作扎实推进，依法治</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取得积极成效。现将工作情况汇报如下：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一、2024年度党政负责人履行推进法治建设第一责任人职责，加强法治政府建设的有关情况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（一）</w:t>
      </w:r>
      <w:r>
        <w:rPr>
          <w:rFonts w:hint="eastAsia" w:ascii="楷体" w:hAnsi="楷体" w:eastAsia="楷体" w:cs="楷体"/>
          <w:i w:val="0"/>
          <w:iCs w:val="0"/>
          <w:caps w:val="0"/>
          <w:color w:val="auto"/>
          <w:spacing w:val="0"/>
          <w:sz w:val="32"/>
          <w:szCs w:val="32"/>
          <w:shd w:val="clear" w:fill="FFFFFF"/>
        </w:rPr>
        <w:t>恪守政治原则，坚定支持“两个维护”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乡党政主要负责人高度重视法治建设工作，将其纳入重要议事日程和年度工作计划。</w:t>
      </w:r>
      <w:r>
        <w:rPr>
          <w:rFonts w:hint="eastAsia" w:ascii="仿宋_GB2312" w:hAnsi="仿宋_GB2312" w:eastAsia="仿宋_GB2312" w:cs="仿宋_GB2312"/>
          <w:i w:val="0"/>
          <w:iCs w:val="0"/>
          <w:caps w:val="0"/>
          <w:color w:val="auto"/>
          <w:spacing w:val="0"/>
          <w:sz w:val="32"/>
          <w:szCs w:val="32"/>
          <w:shd w:val="clear" w:fill="FFFFFF"/>
          <w:lang w:val="en-US" w:eastAsia="zh-CN"/>
        </w:rPr>
        <w:t>2024</w:t>
      </w:r>
      <w:r>
        <w:rPr>
          <w:rFonts w:hint="eastAsia" w:ascii="仿宋_GB2312" w:hAnsi="仿宋_GB2312" w:eastAsia="仿宋_GB2312" w:cs="仿宋_GB2312"/>
          <w:i w:val="0"/>
          <w:iCs w:val="0"/>
          <w:caps w:val="0"/>
          <w:color w:val="auto"/>
          <w:spacing w:val="0"/>
          <w:sz w:val="32"/>
          <w:szCs w:val="32"/>
          <w:shd w:val="clear" w:fill="FFFFFF"/>
        </w:rPr>
        <w:t>年召开专题会议</w:t>
      </w:r>
      <w:r>
        <w:rPr>
          <w:rFonts w:hint="eastAsia" w:ascii="仿宋_GB2312" w:hAnsi="仿宋_GB2312" w:eastAsia="仿宋_GB2312" w:cs="仿宋_GB2312"/>
          <w:i w:val="0"/>
          <w:iCs w:val="0"/>
          <w:caps w:val="0"/>
          <w:color w:val="auto"/>
          <w:spacing w:val="0"/>
          <w:sz w:val="32"/>
          <w:szCs w:val="32"/>
          <w:shd w:val="clear" w:fill="FFFFFF"/>
          <w:lang w:val="en-US" w:eastAsia="zh-CN"/>
        </w:rPr>
        <w:t>4次</w:t>
      </w:r>
      <w:r>
        <w:rPr>
          <w:rFonts w:hint="eastAsia" w:ascii="仿宋_GB2312" w:hAnsi="仿宋_GB2312" w:eastAsia="仿宋_GB2312" w:cs="仿宋_GB2312"/>
          <w:i w:val="0"/>
          <w:iCs w:val="0"/>
          <w:caps w:val="0"/>
          <w:color w:val="auto"/>
          <w:spacing w:val="0"/>
          <w:sz w:val="32"/>
          <w:szCs w:val="32"/>
          <w:shd w:val="clear" w:fill="FFFFFF"/>
        </w:rPr>
        <w:t>，研究部署法治政府建设任务，明确各部门职责分工，确保工作有序推进。带头学习法律法规知识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组织乡村干部开展法治</w:t>
      </w:r>
      <w:r>
        <w:rPr>
          <w:rFonts w:hint="eastAsia" w:ascii="仿宋_GB2312" w:hAnsi="仿宋_GB2312" w:eastAsia="仿宋_GB2312" w:cs="仿宋_GB2312"/>
          <w:i w:val="0"/>
          <w:iCs w:val="0"/>
          <w:caps w:val="0"/>
          <w:color w:val="auto"/>
          <w:spacing w:val="0"/>
          <w:sz w:val="32"/>
          <w:szCs w:val="32"/>
          <w:shd w:val="clear" w:fill="FFFFFF"/>
          <w:lang w:val="en-US" w:eastAsia="zh-CN"/>
        </w:rPr>
        <w:t>知识培训11</w:t>
      </w:r>
      <w:r>
        <w:rPr>
          <w:rFonts w:hint="eastAsia" w:ascii="仿宋_GB2312" w:hAnsi="仿宋_GB2312" w:eastAsia="仿宋_GB2312" w:cs="仿宋_GB2312"/>
          <w:i w:val="0"/>
          <w:iCs w:val="0"/>
          <w:caps w:val="0"/>
          <w:color w:val="auto"/>
          <w:spacing w:val="0"/>
          <w:sz w:val="32"/>
          <w:szCs w:val="32"/>
          <w:shd w:val="clear" w:fill="FFFFFF"/>
        </w:rPr>
        <w:t>次，培训人员达</w:t>
      </w:r>
      <w:r>
        <w:rPr>
          <w:rFonts w:hint="eastAsia" w:ascii="仿宋_GB2312" w:hAnsi="仿宋_GB2312" w:eastAsia="仿宋_GB2312" w:cs="仿宋_GB2312"/>
          <w:i w:val="0"/>
          <w:iCs w:val="0"/>
          <w:caps w:val="0"/>
          <w:color w:val="auto"/>
          <w:spacing w:val="0"/>
          <w:sz w:val="32"/>
          <w:szCs w:val="32"/>
          <w:shd w:val="clear" w:fill="FFFFFF"/>
          <w:lang w:val="en-US" w:eastAsia="zh-CN"/>
        </w:rPr>
        <w:t>120</w:t>
      </w:r>
      <w:r>
        <w:rPr>
          <w:rFonts w:hint="eastAsia" w:ascii="仿宋_GB2312" w:hAnsi="仿宋_GB2312" w:eastAsia="仿宋_GB2312" w:cs="仿宋_GB2312"/>
          <w:i w:val="0"/>
          <w:iCs w:val="0"/>
          <w:caps w:val="0"/>
          <w:color w:val="auto"/>
          <w:spacing w:val="0"/>
          <w:sz w:val="32"/>
          <w:szCs w:val="32"/>
          <w:shd w:val="clear" w:fill="FFFFFF"/>
        </w:rPr>
        <w:t>余人次，有效提升了干部队伍的法治素养。持续培养法治思维，努力将学习成果转化为推动法治政府建设的动力和责任感，转变为清晰的工作思路和具体举措，确保中央、省市</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的各项决策部署得到有效落实。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 w:leftChars="0" w:firstLine="640" w:firstLineChars="0"/>
        <w:textAlignment w:val="auto"/>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（二）</w:t>
      </w:r>
      <w:r>
        <w:rPr>
          <w:rFonts w:hint="eastAsia" w:ascii="楷体" w:hAnsi="楷体" w:eastAsia="楷体" w:cs="楷体"/>
          <w:i w:val="0"/>
          <w:iCs w:val="0"/>
          <w:caps w:val="0"/>
          <w:color w:val="auto"/>
          <w:spacing w:val="0"/>
          <w:sz w:val="32"/>
          <w:szCs w:val="32"/>
          <w:shd w:val="clear" w:fill="FFFFFF"/>
        </w:rPr>
        <w:t>加强理论武装，强化理论基础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党委书记、乡长</w:t>
      </w:r>
      <w:r>
        <w:rPr>
          <w:rFonts w:hint="eastAsia" w:ascii="仿宋_GB2312" w:hAnsi="仿宋_GB2312" w:eastAsia="仿宋_GB2312" w:cs="仿宋_GB2312"/>
          <w:i w:val="0"/>
          <w:iCs w:val="0"/>
          <w:caps w:val="0"/>
          <w:color w:val="auto"/>
          <w:spacing w:val="0"/>
          <w:sz w:val="32"/>
          <w:szCs w:val="32"/>
          <w:shd w:val="clear" w:fill="FFFFFF"/>
        </w:rPr>
        <w:t>带头研读原著、学习原文、领悟原理，依托党组织带头学、</w:t>
      </w:r>
      <w:r>
        <w:rPr>
          <w:rFonts w:hint="eastAsia" w:ascii="仿宋_GB2312" w:hAnsi="仿宋_GB2312" w:eastAsia="仿宋_GB2312" w:cs="仿宋_GB2312"/>
          <w:i w:val="0"/>
          <w:iCs w:val="0"/>
          <w:caps w:val="0"/>
          <w:color w:val="auto"/>
          <w:spacing w:val="0"/>
          <w:sz w:val="32"/>
          <w:szCs w:val="32"/>
          <w:shd w:val="clear" w:fill="FFFFFF"/>
          <w:lang w:val="en-US" w:eastAsia="zh-CN"/>
        </w:rPr>
        <w:t>理论学习中心组</w:t>
      </w:r>
      <w:r>
        <w:rPr>
          <w:rFonts w:hint="eastAsia" w:ascii="仿宋_GB2312" w:hAnsi="仿宋_GB2312" w:eastAsia="仿宋_GB2312" w:cs="仿宋_GB2312"/>
          <w:i w:val="0"/>
          <w:iCs w:val="0"/>
          <w:caps w:val="0"/>
          <w:color w:val="auto"/>
          <w:spacing w:val="0"/>
          <w:sz w:val="32"/>
          <w:szCs w:val="32"/>
          <w:shd w:val="clear" w:fill="FFFFFF"/>
        </w:rPr>
        <w:t>集体学习、“学习强国”</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河南干部网络学院</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等</w:t>
      </w:r>
      <w:r>
        <w:rPr>
          <w:rFonts w:hint="eastAsia" w:ascii="仿宋_GB2312" w:hAnsi="仿宋_GB2312" w:eastAsia="仿宋_GB2312" w:cs="仿宋_GB2312"/>
          <w:i w:val="0"/>
          <w:iCs w:val="0"/>
          <w:caps w:val="0"/>
          <w:color w:val="auto"/>
          <w:spacing w:val="0"/>
          <w:sz w:val="32"/>
          <w:szCs w:val="32"/>
          <w:shd w:val="clear" w:fill="FFFFFF"/>
        </w:rPr>
        <w:t>平台自主学习等方法，常态化地开展法治教育活动。并结合具体工作要求，学习了《民法典</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保密法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国家安全法》等相关法律，提高运用法律手段及法治思维解决问题的能力。</w:t>
      </w:r>
      <w:r>
        <w:rPr>
          <w:rFonts w:hint="eastAsia" w:ascii="仿宋_GB2312" w:hAnsi="仿宋_GB2312" w:eastAsia="仿宋_GB2312" w:cs="仿宋_GB2312"/>
          <w:i w:val="0"/>
          <w:iCs w:val="0"/>
          <w:caps w:val="0"/>
          <w:color w:val="auto"/>
          <w:spacing w:val="0"/>
          <w:sz w:val="32"/>
          <w:szCs w:val="32"/>
          <w:shd w:val="clear" w:fill="FFFFFF"/>
          <w:lang w:val="en-US" w:eastAsia="zh-CN"/>
        </w:rPr>
        <w:t>2024年</w:t>
      </w:r>
      <w:r>
        <w:rPr>
          <w:rFonts w:hint="eastAsia" w:ascii="仿宋_GB2312" w:hAnsi="仿宋_GB2312" w:eastAsia="仿宋_GB2312" w:cs="仿宋_GB2312"/>
          <w:i w:val="0"/>
          <w:iCs w:val="0"/>
          <w:caps w:val="0"/>
          <w:color w:val="auto"/>
          <w:spacing w:val="0"/>
          <w:sz w:val="32"/>
          <w:szCs w:val="32"/>
          <w:shd w:val="clear" w:fill="FFFFFF"/>
        </w:rPr>
        <w:t>已</w:t>
      </w:r>
      <w:r>
        <w:rPr>
          <w:rFonts w:hint="eastAsia" w:ascii="仿宋_GB2312" w:hAnsi="仿宋_GB2312" w:eastAsia="仿宋_GB2312" w:cs="仿宋_GB2312"/>
          <w:i w:val="0"/>
          <w:iCs w:val="0"/>
          <w:caps w:val="0"/>
          <w:color w:val="auto"/>
          <w:spacing w:val="0"/>
          <w:sz w:val="32"/>
          <w:szCs w:val="32"/>
          <w:shd w:val="clear" w:fill="FFFFFF"/>
          <w:lang w:val="en-US" w:eastAsia="zh-CN"/>
        </w:rPr>
        <w:t>开展</w:t>
      </w:r>
      <w:r>
        <w:rPr>
          <w:rFonts w:hint="eastAsia" w:ascii="仿宋_GB2312" w:hAnsi="仿宋_GB2312" w:eastAsia="仿宋_GB2312" w:cs="仿宋_GB2312"/>
          <w:i w:val="0"/>
          <w:iCs w:val="0"/>
          <w:caps w:val="0"/>
          <w:color w:val="auto"/>
          <w:spacing w:val="0"/>
          <w:sz w:val="32"/>
          <w:szCs w:val="32"/>
          <w:shd w:val="clear" w:fill="FFFFFF"/>
        </w:rPr>
        <w:t>党组</w:t>
      </w:r>
      <w:r>
        <w:rPr>
          <w:rFonts w:hint="eastAsia" w:ascii="仿宋_GB2312" w:hAnsi="仿宋_GB2312" w:eastAsia="仿宋_GB2312" w:cs="仿宋_GB2312"/>
          <w:i w:val="0"/>
          <w:iCs w:val="0"/>
          <w:caps w:val="0"/>
          <w:color w:val="auto"/>
          <w:spacing w:val="0"/>
          <w:sz w:val="32"/>
          <w:szCs w:val="32"/>
          <w:shd w:val="clear" w:fill="FFFFFF"/>
          <w:lang w:eastAsia="zh-CN"/>
        </w:rPr>
        <w:t>理论学习中心组</w:t>
      </w:r>
      <w:r>
        <w:rPr>
          <w:rFonts w:hint="eastAsia" w:ascii="仿宋_GB2312" w:hAnsi="仿宋_GB2312" w:eastAsia="仿宋_GB2312" w:cs="仿宋_GB2312"/>
          <w:i w:val="0"/>
          <w:iCs w:val="0"/>
          <w:caps w:val="0"/>
          <w:color w:val="auto"/>
          <w:spacing w:val="0"/>
          <w:sz w:val="32"/>
          <w:szCs w:val="32"/>
          <w:shd w:val="clear" w:fill="FFFFFF"/>
        </w:rPr>
        <w:t>学习12次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组织召开习近平法治思想集中培训4次，党员集中轮训</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次，</w:t>
      </w:r>
      <w:r>
        <w:rPr>
          <w:rFonts w:hint="eastAsia" w:ascii="仿宋_GB2312" w:hAnsi="仿宋_GB2312" w:eastAsia="仿宋_GB2312" w:cs="仿宋_GB2312"/>
          <w:i w:val="0"/>
          <w:iCs w:val="0"/>
          <w:caps w:val="0"/>
          <w:color w:val="auto"/>
          <w:spacing w:val="0"/>
          <w:sz w:val="32"/>
          <w:szCs w:val="32"/>
          <w:shd w:val="clear" w:fill="FFFFFF"/>
          <w:lang w:val="en-US" w:eastAsia="zh-CN"/>
        </w:rPr>
        <w:t>机关</w:t>
      </w:r>
      <w:r>
        <w:rPr>
          <w:rFonts w:hint="eastAsia" w:ascii="仿宋_GB2312" w:hAnsi="仿宋_GB2312" w:eastAsia="仿宋_GB2312" w:cs="仿宋_GB2312"/>
          <w:i w:val="0"/>
          <w:iCs w:val="0"/>
          <w:caps w:val="0"/>
          <w:color w:val="auto"/>
          <w:spacing w:val="0"/>
          <w:sz w:val="32"/>
          <w:szCs w:val="32"/>
          <w:shd w:val="clear" w:fill="FFFFFF"/>
        </w:rPr>
        <w:t>全体参加普法知识能力测试</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（三）</w:t>
      </w:r>
      <w:r>
        <w:rPr>
          <w:rFonts w:hint="eastAsia" w:ascii="楷体" w:hAnsi="楷体" w:eastAsia="楷体" w:cs="楷体"/>
          <w:i w:val="0"/>
          <w:iCs w:val="0"/>
          <w:caps w:val="0"/>
          <w:color w:val="auto"/>
          <w:spacing w:val="0"/>
          <w:sz w:val="32"/>
          <w:szCs w:val="32"/>
          <w:shd w:val="clear" w:fill="FFFFFF"/>
        </w:rPr>
        <w:t>廉洁奉公扬正气，巩固风清气正的政治生态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始终将坚守廉洁作为从政根本，严格遵守法律和廉政规定，</w:t>
      </w:r>
      <w:r>
        <w:rPr>
          <w:rFonts w:hint="eastAsia" w:ascii="仿宋_GB2312" w:hAnsi="仿宋_GB2312" w:eastAsia="仿宋_GB2312" w:cs="仿宋_GB2312"/>
          <w:i w:val="0"/>
          <w:iCs w:val="0"/>
          <w:caps w:val="0"/>
          <w:color w:val="auto"/>
          <w:spacing w:val="0"/>
          <w:sz w:val="32"/>
          <w:szCs w:val="32"/>
          <w:shd w:val="clear" w:fill="FFFFFF"/>
          <w:lang w:val="en-US" w:eastAsia="zh-CN"/>
        </w:rPr>
        <w:t>2024</w:t>
      </w:r>
      <w:r>
        <w:rPr>
          <w:rFonts w:hint="eastAsia" w:ascii="仿宋_GB2312" w:hAnsi="仿宋_GB2312" w:eastAsia="仿宋_GB2312" w:cs="仿宋_GB2312"/>
          <w:i w:val="0"/>
          <w:iCs w:val="0"/>
          <w:caps w:val="0"/>
          <w:color w:val="auto"/>
          <w:spacing w:val="0"/>
          <w:sz w:val="32"/>
          <w:szCs w:val="32"/>
          <w:shd w:val="clear" w:fill="FFFFFF"/>
        </w:rPr>
        <w:t>年组织机关、农村干部廉政谈话</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0</w:t>
      </w:r>
      <w:r>
        <w:rPr>
          <w:rFonts w:hint="eastAsia" w:ascii="仿宋_GB2312" w:hAnsi="仿宋_GB2312" w:eastAsia="仿宋_GB2312" w:cs="仿宋_GB2312"/>
          <w:i w:val="0"/>
          <w:iCs w:val="0"/>
          <w:caps w:val="0"/>
          <w:color w:val="auto"/>
          <w:spacing w:val="0"/>
          <w:sz w:val="32"/>
          <w:szCs w:val="32"/>
          <w:shd w:val="clear" w:fill="FFFFFF"/>
          <w:lang w:val="en-US" w:eastAsia="zh-CN"/>
        </w:rPr>
        <w:t>余</w:t>
      </w:r>
      <w:r>
        <w:rPr>
          <w:rFonts w:hint="eastAsia" w:ascii="仿宋_GB2312" w:hAnsi="仿宋_GB2312" w:eastAsia="仿宋_GB2312" w:cs="仿宋_GB2312"/>
          <w:i w:val="0"/>
          <w:iCs w:val="0"/>
          <w:caps w:val="0"/>
          <w:color w:val="auto"/>
          <w:spacing w:val="0"/>
          <w:sz w:val="32"/>
          <w:szCs w:val="32"/>
          <w:shd w:val="clear" w:fill="FFFFFF"/>
        </w:rPr>
        <w:t>人次，召开警示教育大会</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次，守住廉洁底线，避免法律红线，做到依法决策、依法行政</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通过案例学习，营造浓厚的法治氛围</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集中观看廉政警示教育片</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次，督促</w:t>
      </w:r>
      <w:r>
        <w:rPr>
          <w:rFonts w:hint="eastAsia" w:ascii="仿宋_GB2312" w:hAnsi="仿宋_GB2312" w:eastAsia="仿宋_GB2312" w:cs="仿宋_GB2312"/>
          <w:i w:val="0"/>
          <w:iCs w:val="0"/>
          <w:caps w:val="0"/>
          <w:color w:val="auto"/>
          <w:spacing w:val="0"/>
          <w:sz w:val="32"/>
          <w:szCs w:val="32"/>
          <w:shd w:val="clear" w:fill="FFFFFF"/>
          <w:lang w:val="en-US" w:eastAsia="zh-CN"/>
        </w:rPr>
        <w:t>全乡</w:t>
      </w:r>
      <w:r>
        <w:rPr>
          <w:rFonts w:hint="eastAsia" w:ascii="仿宋_GB2312" w:hAnsi="仿宋_GB2312" w:eastAsia="仿宋_GB2312" w:cs="仿宋_GB2312"/>
          <w:i w:val="0"/>
          <w:iCs w:val="0"/>
          <w:caps w:val="0"/>
          <w:color w:val="auto"/>
          <w:spacing w:val="0"/>
          <w:sz w:val="32"/>
          <w:szCs w:val="32"/>
          <w:shd w:val="clear" w:fill="FFFFFF"/>
        </w:rPr>
        <w:t>党员干部全面覆盖党纪学习教育。以案例为基础进行法治宣传教育，进一步提升干部的保密法治观念及保密工作能力水平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约束自身言行，接受各方监督</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维护良好的政治生态。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黑体" w:cs="仿宋_GB2312"/>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rPr>
        <w:t>二、2024年度推进法治政府建设的主要举措与成效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（一）</w:t>
      </w:r>
      <w:r>
        <w:rPr>
          <w:rFonts w:hint="eastAsia" w:ascii="楷体" w:hAnsi="楷体" w:eastAsia="楷体" w:cs="楷体"/>
          <w:i w:val="0"/>
          <w:iCs w:val="0"/>
          <w:caps w:val="0"/>
          <w:color w:val="auto"/>
          <w:spacing w:val="0"/>
          <w:sz w:val="32"/>
          <w:szCs w:val="32"/>
          <w:shd w:val="clear" w:fill="FFFFFF"/>
        </w:rPr>
        <w:t>强化组织领导，健全法治建设保障机制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坚持党对法治工作的领导，把依法治</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、依法执政与依法行政统一起来，全力推动法治政府建设各项工作落实。成立以</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党委书记为</w:t>
      </w:r>
      <w:r>
        <w:rPr>
          <w:rFonts w:hint="eastAsia" w:ascii="仿宋_GB2312" w:hAnsi="仿宋_GB2312" w:eastAsia="仿宋_GB2312" w:cs="仿宋_GB2312"/>
          <w:i w:val="0"/>
          <w:iCs w:val="0"/>
          <w:caps w:val="0"/>
          <w:color w:val="auto"/>
          <w:spacing w:val="0"/>
          <w:sz w:val="32"/>
          <w:szCs w:val="32"/>
          <w:shd w:val="clear" w:fill="FFFFFF"/>
          <w:lang w:val="en-US" w:eastAsia="zh-CN"/>
        </w:rPr>
        <w:t>第一</w:t>
      </w:r>
      <w:r>
        <w:rPr>
          <w:rFonts w:hint="eastAsia" w:ascii="仿宋_GB2312" w:hAnsi="仿宋_GB2312" w:eastAsia="仿宋_GB2312" w:cs="仿宋_GB2312"/>
          <w:i w:val="0"/>
          <w:iCs w:val="0"/>
          <w:caps w:val="0"/>
          <w:color w:val="auto"/>
          <w:spacing w:val="0"/>
          <w:sz w:val="32"/>
          <w:szCs w:val="32"/>
          <w:shd w:val="clear" w:fill="FFFFFF"/>
        </w:rPr>
        <w:t>组长、</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长为组长，</w:t>
      </w:r>
      <w:r>
        <w:rPr>
          <w:rFonts w:hint="eastAsia" w:ascii="仿宋_GB2312" w:hAnsi="仿宋_GB2312" w:eastAsia="仿宋_GB2312" w:cs="仿宋_GB2312"/>
          <w:i w:val="0"/>
          <w:iCs w:val="0"/>
          <w:caps w:val="0"/>
          <w:color w:val="auto"/>
          <w:spacing w:val="0"/>
          <w:sz w:val="32"/>
          <w:szCs w:val="32"/>
          <w:shd w:val="clear" w:fill="FFFFFF"/>
          <w:lang w:val="en-US" w:eastAsia="zh-CN"/>
        </w:rPr>
        <w:t>班子成员为副组长，</w:t>
      </w:r>
      <w:r>
        <w:rPr>
          <w:rFonts w:hint="eastAsia" w:ascii="仿宋_GB2312" w:hAnsi="仿宋_GB2312" w:eastAsia="仿宋_GB2312" w:cs="仿宋_GB2312"/>
          <w:i w:val="0"/>
          <w:iCs w:val="0"/>
          <w:caps w:val="0"/>
          <w:color w:val="auto"/>
          <w:spacing w:val="0"/>
          <w:sz w:val="32"/>
          <w:szCs w:val="32"/>
          <w:shd w:val="clear" w:fill="FFFFFF"/>
        </w:rPr>
        <w:t>各相关部门负责人为成员的法治政府建设工作领导小组，明确职责分工，形成“一把手”负总责、分管领导具体抓、各部门协同推进的工作格局。将法治建设纳入</w:t>
      </w:r>
      <w:r>
        <w:rPr>
          <w:rFonts w:hint="eastAsia" w:ascii="仿宋_GB2312" w:hAnsi="仿宋_GB2312" w:eastAsia="仿宋_GB2312" w:cs="仿宋_GB2312"/>
          <w:i w:val="0"/>
          <w:iCs w:val="0"/>
          <w:caps w:val="0"/>
          <w:color w:val="auto"/>
          <w:spacing w:val="0"/>
          <w:sz w:val="32"/>
          <w:szCs w:val="32"/>
          <w:shd w:val="clear" w:fill="FFFFFF"/>
          <w:lang w:val="en-US" w:eastAsia="zh-CN"/>
        </w:rPr>
        <w:t>全乡</w:t>
      </w:r>
      <w:r>
        <w:rPr>
          <w:rFonts w:hint="eastAsia" w:ascii="仿宋_GB2312" w:hAnsi="仿宋_GB2312" w:eastAsia="仿宋_GB2312" w:cs="仿宋_GB2312"/>
          <w:i w:val="0"/>
          <w:iCs w:val="0"/>
          <w:caps w:val="0"/>
          <w:color w:val="auto"/>
          <w:spacing w:val="0"/>
          <w:sz w:val="32"/>
          <w:szCs w:val="32"/>
          <w:shd w:val="clear" w:fill="FFFFFF"/>
        </w:rPr>
        <w:t>年度工作计划和绩效考核体系，激发各部门参与法治建设的积极性与主动性。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楷体" w:cs="仿宋_GB2312"/>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kern w:val="2"/>
          <w:sz w:val="32"/>
          <w:szCs w:val="32"/>
          <w:shd w:val="clear" w:fill="FFFFFF"/>
          <w:lang w:val="en-US" w:eastAsia="zh-CN" w:bidi="ar-SA"/>
        </w:rPr>
        <w:t>（二）</w:t>
      </w:r>
      <w:r>
        <w:rPr>
          <w:rFonts w:hint="eastAsia" w:ascii="楷体" w:hAnsi="楷体" w:eastAsia="楷体" w:cs="楷体"/>
          <w:i w:val="0"/>
          <w:iCs w:val="0"/>
          <w:caps w:val="0"/>
          <w:color w:val="auto"/>
          <w:spacing w:val="0"/>
          <w:sz w:val="32"/>
          <w:szCs w:val="32"/>
          <w:shd w:val="clear" w:fill="FFFFFF"/>
        </w:rPr>
        <w:t>深化普法宣传，营造浓厚法治氛围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抓住领导干部“关键少数”，通过党委中心组学法，组织领导干部深入学习习近平法治思想、宪法、法律法规以及与本职工作相关的政策法规，开展集中学法活动，有效提升领导干部法治思维和依法办事能力，发挥模范带头作用。针对广大群众，充分利用“国家宪法宣传周”、民俗活动节庆等重要时间节点，组织开展形式多样、丰富多彩的法治宣传活动。</w:t>
      </w:r>
      <w:r>
        <w:rPr>
          <w:rFonts w:hint="eastAsia" w:ascii="仿宋_GB2312" w:hAnsi="仿宋_GB2312" w:eastAsia="仿宋_GB2312" w:cs="仿宋_GB2312"/>
          <w:i w:val="0"/>
          <w:iCs w:val="0"/>
          <w:caps w:val="0"/>
          <w:color w:val="auto"/>
          <w:spacing w:val="0"/>
          <w:sz w:val="32"/>
          <w:szCs w:val="32"/>
          <w:shd w:val="clear" w:fill="FFFFFF"/>
          <w:lang w:val="en-US" w:eastAsia="zh-CN"/>
        </w:rPr>
        <w:t>2024年以来，组织</w:t>
      </w:r>
      <w:r>
        <w:rPr>
          <w:rFonts w:hint="eastAsia" w:ascii="仿宋_GB2312" w:hAnsi="仿宋_GB2312" w:eastAsia="仿宋_GB2312" w:cs="仿宋_GB2312"/>
          <w:i w:val="0"/>
          <w:iCs w:val="0"/>
          <w:caps w:val="0"/>
          <w:color w:val="auto"/>
          <w:spacing w:val="0"/>
          <w:sz w:val="32"/>
          <w:szCs w:val="32"/>
          <w:shd w:val="clear" w:fill="FFFFFF"/>
        </w:rPr>
        <w:t>司法所、派出所等单位，深入村、学校，开展法治宣传</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0余次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悬挂</w:t>
      </w:r>
      <w:r>
        <w:rPr>
          <w:rFonts w:hint="eastAsia" w:ascii="仿宋_GB2312" w:hAnsi="仿宋_GB2312" w:eastAsia="仿宋_GB2312" w:cs="仿宋_GB2312"/>
          <w:i w:val="0"/>
          <w:iCs w:val="0"/>
          <w:caps w:val="0"/>
          <w:color w:val="auto"/>
          <w:spacing w:val="0"/>
          <w:sz w:val="32"/>
          <w:szCs w:val="32"/>
          <w:shd w:val="clear" w:fill="FFFFFF"/>
          <w:lang w:val="en-US" w:eastAsia="zh-CN"/>
        </w:rPr>
        <w:t>法治</w:t>
      </w:r>
      <w:r>
        <w:rPr>
          <w:rFonts w:hint="eastAsia" w:ascii="仿宋_GB2312" w:hAnsi="仿宋_GB2312" w:eastAsia="仿宋_GB2312" w:cs="仿宋_GB2312"/>
          <w:i w:val="0"/>
          <w:iCs w:val="0"/>
          <w:caps w:val="0"/>
          <w:color w:val="auto"/>
          <w:spacing w:val="0"/>
          <w:sz w:val="32"/>
          <w:szCs w:val="32"/>
          <w:shd w:val="clear" w:fill="FFFFFF"/>
        </w:rPr>
        <w:t>宣传版面、</w:t>
      </w:r>
      <w:r>
        <w:rPr>
          <w:rFonts w:hint="eastAsia" w:ascii="仿宋_GB2312" w:hAnsi="仿宋_GB2312" w:eastAsia="仿宋_GB2312" w:cs="仿宋_GB2312"/>
          <w:i w:val="0"/>
          <w:iCs w:val="0"/>
          <w:caps w:val="0"/>
          <w:color w:val="auto"/>
          <w:spacing w:val="0"/>
          <w:sz w:val="32"/>
          <w:szCs w:val="32"/>
          <w:shd w:val="clear" w:fill="FFFFFF"/>
          <w:lang w:val="en-US" w:eastAsia="zh-CN"/>
        </w:rPr>
        <w:t>条幅</w:t>
      </w:r>
      <w:r>
        <w:rPr>
          <w:rFonts w:hint="eastAsia" w:ascii="仿宋_GB2312" w:hAnsi="仿宋_GB2312" w:eastAsia="仿宋_GB2312" w:cs="仿宋_GB2312"/>
          <w:i w:val="0"/>
          <w:iCs w:val="0"/>
          <w:caps w:val="0"/>
          <w:color w:val="auto"/>
          <w:spacing w:val="0"/>
          <w:sz w:val="32"/>
          <w:szCs w:val="32"/>
          <w:shd w:val="clear" w:fill="FFFFFF"/>
        </w:rPr>
        <w:t>40</w:t>
      </w:r>
      <w:r>
        <w:rPr>
          <w:rFonts w:hint="eastAsia" w:ascii="仿宋_GB2312" w:hAnsi="仿宋_GB2312" w:eastAsia="仿宋_GB2312" w:cs="仿宋_GB2312"/>
          <w:i w:val="0"/>
          <w:iCs w:val="0"/>
          <w:caps w:val="0"/>
          <w:color w:val="auto"/>
          <w:spacing w:val="0"/>
          <w:sz w:val="32"/>
          <w:szCs w:val="32"/>
          <w:shd w:val="clear" w:fill="FFFFFF"/>
          <w:lang w:val="en-US" w:eastAsia="zh-CN"/>
        </w:rPr>
        <w:t>余</w:t>
      </w:r>
      <w:r>
        <w:rPr>
          <w:rFonts w:hint="eastAsia" w:ascii="仿宋_GB2312" w:hAnsi="仿宋_GB2312" w:eastAsia="仿宋_GB2312" w:cs="仿宋_GB2312"/>
          <w:i w:val="0"/>
          <w:iCs w:val="0"/>
          <w:caps w:val="0"/>
          <w:color w:val="auto"/>
          <w:spacing w:val="0"/>
          <w:sz w:val="32"/>
          <w:szCs w:val="32"/>
          <w:shd w:val="clear" w:fill="FFFFFF"/>
        </w:rPr>
        <w:t>幅，发放法律法规宣传资料</w:t>
      </w:r>
      <w:r>
        <w:rPr>
          <w:rFonts w:hint="eastAsia" w:ascii="仿宋_GB2312" w:hAnsi="仿宋_GB2312" w:eastAsia="仿宋_GB2312" w:cs="仿宋_GB2312"/>
          <w:i w:val="0"/>
          <w:iCs w:val="0"/>
          <w:caps w:val="0"/>
          <w:color w:val="auto"/>
          <w:spacing w:val="0"/>
          <w:sz w:val="32"/>
          <w:szCs w:val="32"/>
          <w:shd w:val="clear" w:fill="FFFFFF"/>
          <w:lang w:val="en-US" w:eastAsia="zh-CN"/>
        </w:rPr>
        <w:t>23</w:t>
      </w:r>
      <w:r>
        <w:rPr>
          <w:rFonts w:hint="eastAsia" w:ascii="仿宋_GB2312" w:hAnsi="仿宋_GB2312" w:eastAsia="仿宋_GB2312" w:cs="仿宋_GB2312"/>
          <w:i w:val="0"/>
          <w:iCs w:val="0"/>
          <w:caps w:val="0"/>
          <w:color w:val="auto"/>
          <w:spacing w:val="0"/>
          <w:sz w:val="32"/>
          <w:szCs w:val="32"/>
          <w:shd w:val="clear" w:fill="FFFFFF"/>
        </w:rPr>
        <w:t>00余份，广泛宣传与群众生产生活密切相关的法律法规知识，切实增强群众尊法学法守法用法意识，在全</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营造出浓厚的法治氛围。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楷体" w:cs="仿宋_GB2312"/>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kern w:val="2"/>
          <w:sz w:val="32"/>
          <w:szCs w:val="32"/>
          <w:shd w:val="clear" w:fill="FFFFFF"/>
          <w:lang w:val="en-US" w:eastAsia="zh-CN" w:bidi="ar-SA"/>
        </w:rPr>
        <w:t>（三）</w:t>
      </w:r>
      <w:r>
        <w:rPr>
          <w:rFonts w:hint="eastAsia" w:ascii="楷体" w:hAnsi="楷体" w:eastAsia="楷体" w:cs="楷体"/>
          <w:i w:val="0"/>
          <w:iCs w:val="0"/>
          <w:caps w:val="0"/>
          <w:color w:val="auto"/>
          <w:spacing w:val="0"/>
          <w:sz w:val="32"/>
          <w:szCs w:val="32"/>
          <w:shd w:val="clear" w:fill="FFFFFF"/>
        </w:rPr>
        <w:t>加强行政执法监督，规范行政执法行为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严格落实行政执法人员持证上岗和资格管理制度，组织全</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行政执法人员参加综合法律知识培训和执法资格考试，确保执法人员具备扎实的法律知识和专业素养。积极推动政务公开，健全主动公开目录体系，做到政务公开为常态，不公开为例外，通过县政府网站、政务公开栏等渠道，及时更新动态信息，有效提升行政执法的透明度和公信力，主动接受社会监督。</w:t>
      </w:r>
      <w:r>
        <w:rPr>
          <w:rFonts w:hint="eastAsia" w:ascii="仿宋_GB2312" w:hAnsi="仿宋_GB2312" w:eastAsia="仿宋_GB2312" w:cs="仿宋_GB2312"/>
          <w:i w:val="0"/>
          <w:iCs w:val="0"/>
          <w:caps w:val="0"/>
          <w:color w:val="auto"/>
          <w:spacing w:val="0"/>
          <w:sz w:val="32"/>
          <w:szCs w:val="32"/>
          <w:shd w:val="clear" w:fill="FFFFFF"/>
          <w:lang w:val="en-US" w:eastAsia="zh-CN"/>
        </w:rPr>
        <w:t>完善</w:t>
      </w:r>
      <w:r>
        <w:rPr>
          <w:rFonts w:hint="eastAsia" w:ascii="仿宋_GB2312" w:hAnsi="仿宋_GB2312" w:eastAsia="仿宋_GB2312" w:cs="仿宋_GB2312"/>
          <w:i w:val="0"/>
          <w:iCs w:val="0"/>
          <w:caps w:val="0"/>
          <w:color w:val="auto"/>
          <w:spacing w:val="0"/>
          <w:sz w:val="32"/>
          <w:szCs w:val="32"/>
          <w:shd w:val="clear" w:fill="FFFFFF"/>
        </w:rPr>
        <w:t>村务监督，确保村级公共权力阳光下运行，增进工作透明度。决策落地过程中充分运用法律顾问制度，保证决策公开透明，程序合理合规，内容科学可行。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楷体" w:cs="仿宋_GB2312"/>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kern w:val="2"/>
          <w:sz w:val="32"/>
          <w:szCs w:val="32"/>
          <w:shd w:val="clear" w:fill="FFFFFF"/>
          <w:lang w:val="en-US" w:eastAsia="zh-CN" w:bidi="ar-SA"/>
        </w:rPr>
        <w:t>（四）</w:t>
      </w:r>
      <w:r>
        <w:rPr>
          <w:rFonts w:hint="eastAsia" w:ascii="楷体" w:hAnsi="楷体" w:eastAsia="楷体" w:cs="楷体"/>
          <w:i w:val="0"/>
          <w:iCs w:val="0"/>
          <w:caps w:val="0"/>
          <w:color w:val="auto"/>
          <w:spacing w:val="0"/>
          <w:sz w:val="32"/>
          <w:szCs w:val="32"/>
          <w:shd w:val="clear" w:fill="FFFFFF"/>
        </w:rPr>
        <w:t>依法化解社会矛盾纠纷，维护社会和谐稳定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依托</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、村两级人民调解组织，充分发挥人民调解员扎根基层、熟悉情况的优势，及时排查化解各类矛盾纠纷。全</w:t>
      </w:r>
      <w:r>
        <w:rPr>
          <w:rFonts w:hint="eastAsia" w:ascii="仿宋_GB2312" w:hAnsi="仿宋_GB2312" w:eastAsia="仿宋_GB2312" w:cs="仿宋_GB2312"/>
          <w:i w:val="0"/>
          <w:iCs w:val="0"/>
          <w:caps w:val="0"/>
          <w:color w:val="auto"/>
          <w:spacing w:val="0"/>
          <w:sz w:val="32"/>
          <w:szCs w:val="32"/>
          <w:shd w:val="clear" w:fill="FFFFFF"/>
          <w:lang w:val="en-US" w:eastAsia="zh-CN"/>
        </w:rPr>
        <w:t>乡11</w:t>
      </w:r>
      <w:r>
        <w:rPr>
          <w:rFonts w:hint="eastAsia" w:ascii="仿宋_GB2312" w:hAnsi="仿宋_GB2312" w:eastAsia="仿宋_GB2312" w:cs="仿宋_GB2312"/>
          <w:i w:val="0"/>
          <w:iCs w:val="0"/>
          <w:caps w:val="0"/>
          <w:color w:val="auto"/>
          <w:spacing w:val="0"/>
          <w:sz w:val="32"/>
          <w:szCs w:val="32"/>
          <w:shd w:val="clear" w:fill="FFFFFF"/>
        </w:rPr>
        <w:t>个村均建立了调委会，各村配备人民调解员</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学习借鉴新时代“枫桥经验”“六尺巷精神”，依托农村网格员、矛调员队伍，用好“七晚工作法”，把人民调解、行政调解、司法调解有机结合，做到提前介入、抓早抓小、防微杜渐，将矛盾解决在基层。</w:t>
      </w:r>
      <w:r>
        <w:rPr>
          <w:rFonts w:hint="eastAsia" w:ascii="仿宋_GB2312" w:hAnsi="仿宋_GB2312" w:eastAsia="仿宋_GB2312" w:cs="仿宋_GB2312"/>
          <w:i w:val="0"/>
          <w:iCs w:val="0"/>
          <w:caps w:val="0"/>
          <w:color w:val="auto"/>
          <w:spacing w:val="0"/>
          <w:sz w:val="32"/>
          <w:szCs w:val="32"/>
          <w:shd w:val="clear" w:fill="FFFFFF"/>
          <w:lang w:val="en-US" w:eastAsia="zh-CN"/>
        </w:rPr>
        <w:t>2024</w:t>
      </w:r>
      <w:r>
        <w:rPr>
          <w:rFonts w:hint="eastAsia" w:ascii="仿宋_GB2312" w:hAnsi="仿宋_GB2312" w:eastAsia="仿宋_GB2312" w:cs="仿宋_GB2312"/>
          <w:i w:val="0"/>
          <w:iCs w:val="0"/>
          <w:caps w:val="0"/>
          <w:color w:val="auto"/>
          <w:spacing w:val="0"/>
          <w:sz w:val="32"/>
          <w:szCs w:val="32"/>
          <w:shd w:val="clear" w:fill="FFFFFF"/>
        </w:rPr>
        <w:t>年以来，网格员、矛调员累计走访群众1.2万人次，小到村民邻里琐事，大到劳务债务纠纷，成功调处矛盾纠纷90余起。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黑体" w:cs="仿宋_GB2312"/>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rPr>
        <w:t>三、2024年度推进法治政府建设存在的不足、原因和问题整改情况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（一）</w:t>
      </w:r>
      <w:r>
        <w:rPr>
          <w:rFonts w:hint="eastAsia" w:ascii="楷体" w:hAnsi="楷体" w:eastAsia="楷体" w:cs="楷体"/>
          <w:i w:val="0"/>
          <w:iCs w:val="0"/>
          <w:caps w:val="0"/>
          <w:color w:val="auto"/>
          <w:spacing w:val="0"/>
          <w:sz w:val="32"/>
          <w:szCs w:val="32"/>
          <w:shd w:val="clear" w:fill="FFFFFF"/>
        </w:rPr>
        <w:t>存在的不足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一是</w:t>
      </w:r>
      <w:r>
        <w:rPr>
          <w:rFonts w:hint="eastAsia" w:ascii="仿宋_GB2312" w:hAnsi="仿宋_GB2312" w:eastAsia="仿宋_GB2312" w:cs="仿宋_GB2312"/>
          <w:i w:val="0"/>
          <w:iCs w:val="0"/>
          <w:caps w:val="0"/>
          <w:color w:val="auto"/>
          <w:spacing w:val="0"/>
          <w:sz w:val="32"/>
          <w:szCs w:val="32"/>
          <w:shd w:val="clear" w:fill="FFFFFF"/>
        </w:rPr>
        <w:t>部分干部法治意识仍有待进一步提高，在处理复杂问题时运用法治思维和法治方式的能力不足；</w:t>
      </w:r>
      <w:r>
        <w:rPr>
          <w:rFonts w:hint="eastAsia" w:ascii="仿宋_GB2312" w:hAnsi="仿宋_GB2312" w:eastAsia="仿宋_GB2312" w:cs="仿宋_GB2312"/>
          <w:i w:val="0"/>
          <w:iCs w:val="0"/>
          <w:caps w:val="0"/>
          <w:color w:val="auto"/>
          <w:spacing w:val="0"/>
          <w:sz w:val="32"/>
          <w:szCs w:val="32"/>
          <w:shd w:val="clear" w:fill="FFFFFF"/>
          <w:lang w:val="en-US" w:eastAsia="zh-CN"/>
        </w:rPr>
        <w:t>二是</w:t>
      </w:r>
      <w:r>
        <w:rPr>
          <w:rFonts w:hint="eastAsia" w:ascii="仿宋_GB2312" w:hAnsi="仿宋_GB2312" w:eastAsia="仿宋_GB2312" w:cs="仿宋_GB2312"/>
          <w:i w:val="0"/>
          <w:iCs w:val="0"/>
          <w:caps w:val="0"/>
          <w:color w:val="auto"/>
          <w:spacing w:val="0"/>
          <w:sz w:val="32"/>
          <w:szCs w:val="32"/>
          <w:shd w:val="clear" w:fill="FFFFFF"/>
        </w:rPr>
        <w:t>法治宣传教育的形式和内容还不够丰富多样，针对性和实效性有待增强；</w:t>
      </w:r>
      <w:r>
        <w:rPr>
          <w:rFonts w:hint="eastAsia" w:ascii="仿宋_GB2312" w:hAnsi="仿宋_GB2312" w:eastAsia="仿宋_GB2312" w:cs="仿宋_GB2312"/>
          <w:i w:val="0"/>
          <w:iCs w:val="0"/>
          <w:caps w:val="0"/>
          <w:color w:val="auto"/>
          <w:spacing w:val="0"/>
          <w:sz w:val="32"/>
          <w:szCs w:val="32"/>
          <w:shd w:val="clear" w:fill="FFFFFF"/>
          <w:lang w:val="en-US" w:eastAsia="zh-CN"/>
        </w:rPr>
        <w:t>三是</w:t>
      </w:r>
      <w:r>
        <w:rPr>
          <w:rFonts w:hint="eastAsia" w:ascii="仿宋_GB2312" w:hAnsi="仿宋_GB2312" w:eastAsia="仿宋_GB2312" w:cs="仿宋_GB2312"/>
          <w:i w:val="0"/>
          <w:iCs w:val="0"/>
          <w:caps w:val="0"/>
          <w:color w:val="auto"/>
          <w:spacing w:val="0"/>
          <w:sz w:val="32"/>
          <w:szCs w:val="32"/>
          <w:shd w:val="clear" w:fill="FFFFFF"/>
        </w:rPr>
        <w:t>行政执法规范化水平仍有提升空间，执法人员在执法细节上还存在一些瑕疵。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i w:val="0"/>
          <w:iCs w:val="0"/>
          <w:caps w:val="0"/>
          <w:color w:val="auto"/>
          <w:spacing w:val="0"/>
          <w:kern w:val="2"/>
          <w:sz w:val="32"/>
          <w:szCs w:val="32"/>
          <w:shd w:val="clear" w:fill="FFFFFF"/>
          <w:lang w:val="en-US" w:eastAsia="zh-CN" w:bidi="ar-SA"/>
        </w:rPr>
      </w:pPr>
      <w:r>
        <w:rPr>
          <w:rFonts w:hint="eastAsia" w:ascii="楷体" w:hAnsi="楷体" w:eastAsia="楷体" w:cs="楷体"/>
          <w:i w:val="0"/>
          <w:iCs w:val="0"/>
          <w:caps w:val="0"/>
          <w:color w:val="auto"/>
          <w:spacing w:val="0"/>
          <w:kern w:val="2"/>
          <w:sz w:val="32"/>
          <w:szCs w:val="32"/>
          <w:shd w:val="clear" w:fill="FFFFFF"/>
          <w:lang w:val="en-US" w:eastAsia="zh-CN" w:bidi="ar-SA"/>
        </w:rPr>
        <w:t>（二）原因分析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一是</w:t>
      </w:r>
      <w:r>
        <w:rPr>
          <w:rFonts w:hint="eastAsia" w:ascii="仿宋_GB2312" w:hAnsi="仿宋_GB2312" w:eastAsia="仿宋_GB2312" w:cs="仿宋_GB2312"/>
          <w:i w:val="0"/>
          <w:iCs w:val="0"/>
          <w:caps w:val="0"/>
          <w:color w:val="auto"/>
          <w:spacing w:val="0"/>
          <w:sz w:val="32"/>
          <w:szCs w:val="32"/>
          <w:shd w:val="clear" w:fill="FFFFFF"/>
        </w:rPr>
        <w:t>法治培训的深度和广度不够，未能充分满足干部在实际工作中的法治需求；</w:t>
      </w:r>
      <w:r>
        <w:rPr>
          <w:rFonts w:hint="eastAsia" w:ascii="仿宋_GB2312" w:hAnsi="仿宋_GB2312" w:eastAsia="仿宋_GB2312" w:cs="仿宋_GB2312"/>
          <w:i w:val="0"/>
          <w:iCs w:val="0"/>
          <w:caps w:val="0"/>
          <w:color w:val="auto"/>
          <w:spacing w:val="0"/>
          <w:sz w:val="32"/>
          <w:szCs w:val="32"/>
          <w:shd w:val="clear" w:fill="FFFFFF"/>
          <w:lang w:val="en-US" w:eastAsia="zh-CN"/>
        </w:rPr>
        <w:t>二是</w:t>
      </w:r>
      <w:r>
        <w:rPr>
          <w:rFonts w:hint="eastAsia" w:ascii="仿宋_GB2312" w:hAnsi="仿宋_GB2312" w:eastAsia="仿宋_GB2312" w:cs="仿宋_GB2312"/>
          <w:i w:val="0"/>
          <w:iCs w:val="0"/>
          <w:caps w:val="0"/>
          <w:color w:val="auto"/>
          <w:spacing w:val="0"/>
          <w:sz w:val="32"/>
          <w:szCs w:val="32"/>
          <w:shd w:val="clear" w:fill="FFFFFF"/>
        </w:rPr>
        <w:t>法治宣传工作创新不足，对群众的法律需求和接受习惯研究不够深入；</w:t>
      </w:r>
      <w:r>
        <w:rPr>
          <w:rFonts w:hint="eastAsia" w:ascii="仿宋_GB2312" w:hAnsi="仿宋_GB2312" w:eastAsia="仿宋_GB2312" w:cs="仿宋_GB2312"/>
          <w:i w:val="0"/>
          <w:iCs w:val="0"/>
          <w:caps w:val="0"/>
          <w:color w:val="auto"/>
          <w:spacing w:val="0"/>
          <w:sz w:val="32"/>
          <w:szCs w:val="32"/>
          <w:shd w:val="clear" w:fill="FFFFFF"/>
          <w:lang w:val="en-US" w:eastAsia="zh-CN"/>
        </w:rPr>
        <w:t>三是</w:t>
      </w:r>
      <w:r>
        <w:rPr>
          <w:rFonts w:hint="eastAsia" w:ascii="仿宋_GB2312" w:hAnsi="仿宋_GB2312" w:eastAsia="仿宋_GB2312" w:cs="仿宋_GB2312"/>
          <w:i w:val="0"/>
          <w:iCs w:val="0"/>
          <w:caps w:val="0"/>
          <w:color w:val="auto"/>
          <w:spacing w:val="0"/>
          <w:sz w:val="32"/>
          <w:szCs w:val="32"/>
          <w:shd w:val="clear" w:fill="FFFFFF"/>
        </w:rPr>
        <w:t>行政执法监督机制不够完善，对执法过程的实时监督和纠错力度不够。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i w:val="0"/>
          <w:iCs w:val="0"/>
          <w:caps w:val="0"/>
          <w:color w:val="auto"/>
          <w:spacing w:val="0"/>
          <w:kern w:val="2"/>
          <w:sz w:val="32"/>
          <w:szCs w:val="32"/>
          <w:shd w:val="clear" w:fill="FFFFFF"/>
          <w:lang w:val="en-US" w:eastAsia="zh-CN" w:bidi="ar-SA"/>
        </w:rPr>
      </w:pPr>
      <w:r>
        <w:rPr>
          <w:rFonts w:hint="eastAsia" w:ascii="楷体" w:hAnsi="楷体" w:eastAsia="楷体" w:cs="楷体"/>
          <w:i w:val="0"/>
          <w:iCs w:val="0"/>
          <w:caps w:val="0"/>
          <w:color w:val="auto"/>
          <w:spacing w:val="0"/>
          <w:kern w:val="2"/>
          <w:sz w:val="32"/>
          <w:szCs w:val="32"/>
          <w:shd w:val="clear" w:fill="FFFFFF"/>
          <w:lang w:val="en-US" w:eastAsia="zh-CN" w:bidi="ar-SA"/>
        </w:rPr>
        <w:t>（三）整改情况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一是</w:t>
      </w:r>
      <w:r>
        <w:rPr>
          <w:rFonts w:hint="eastAsia" w:ascii="仿宋_GB2312" w:hAnsi="仿宋_GB2312" w:eastAsia="仿宋_GB2312" w:cs="仿宋_GB2312"/>
          <w:i w:val="0"/>
          <w:iCs w:val="0"/>
          <w:caps w:val="0"/>
          <w:color w:val="auto"/>
          <w:spacing w:val="0"/>
          <w:sz w:val="32"/>
          <w:szCs w:val="32"/>
          <w:shd w:val="clear" w:fill="FFFFFF"/>
        </w:rPr>
        <w:t>加大法治培训力度，邀请法律专家进行专题讲座和案例分析，组织干部开展法律知识竞赛和模拟执法等活动，提高干部法治实践能力；</w:t>
      </w:r>
      <w:r>
        <w:rPr>
          <w:rFonts w:hint="eastAsia" w:ascii="仿宋_GB2312" w:hAnsi="仿宋_GB2312" w:eastAsia="仿宋_GB2312" w:cs="仿宋_GB2312"/>
          <w:i w:val="0"/>
          <w:iCs w:val="0"/>
          <w:caps w:val="0"/>
          <w:color w:val="auto"/>
          <w:spacing w:val="0"/>
          <w:sz w:val="32"/>
          <w:szCs w:val="32"/>
          <w:shd w:val="clear" w:fill="FFFFFF"/>
          <w:lang w:val="en-US" w:eastAsia="zh-CN"/>
        </w:rPr>
        <w:t>二是</w:t>
      </w:r>
      <w:r>
        <w:rPr>
          <w:rFonts w:hint="eastAsia" w:ascii="仿宋_GB2312" w:hAnsi="仿宋_GB2312" w:eastAsia="仿宋_GB2312" w:cs="仿宋_GB2312"/>
          <w:i w:val="0"/>
          <w:iCs w:val="0"/>
          <w:caps w:val="0"/>
          <w:color w:val="auto"/>
          <w:spacing w:val="0"/>
          <w:sz w:val="32"/>
          <w:szCs w:val="32"/>
          <w:shd w:val="clear" w:fill="FFFFFF"/>
        </w:rPr>
        <w:t>创新法治宣传形式，利用短视频</w:t>
      </w:r>
      <w:r>
        <w:rPr>
          <w:rFonts w:hint="eastAsia" w:ascii="仿宋_GB2312" w:hAnsi="仿宋_GB2312" w:eastAsia="仿宋_GB2312" w:cs="仿宋_GB2312"/>
          <w:i w:val="0"/>
          <w:iCs w:val="0"/>
          <w:caps w:val="0"/>
          <w:color w:val="auto"/>
          <w:spacing w:val="0"/>
          <w:sz w:val="32"/>
          <w:szCs w:val="32"/>
          <w:shd w:val="clear" w:fill="FFFFFF"/>
          <w:lang w:val="en-US" w:eastAsia="zh-CN"/>
        </w:rPr>
        <w:t>等</w:t>
      </w:r>
      <w:r>
        <w:rPr>
          <w:rFonts w:hint="eastAsia" w:ascii="仿宋_GB2312" w:hAnsi="仿宋_GB2312" w:eastAsia="仿宋_GB2312" w:cs="仿宋_GB2312"/>
          <w:i w:val="0"/>
          <w:iCs w:val="0"/>
          <w:caps w:val="0"/>
          <w:color w:val="auto"/>
          <w:spacing w:val="0"/>
          <w:sz w:val="32"/>
          <w:szCs w:val="32"/>
          <w:shd w:val="clear" w:fill="FFFFFF"/>
        </w:rPr>
        <w:t>新媒体、</w:t>
      </w:r>
      <w:r>
        <w:rPr>
          <w:rFonts w:hint="eastAsia" w:ascii="仿宋_GB2312" w:hAnsi="仿宋_GB2312" w:eastAsia="仿宋_GB2312" w:cs="仿宋_GB2312"/>
          <w:i w:val="0"/>
          <w:iCs w:val="0"/>
          <w:caps w:val="0"/>
          <w:color w:val="auto"/>
          <w:spacing w:val="0"/>
          <w:sz w:val="32"/>
          <w:szCs w:val="32"/>
          <w:shd w:val="clear" w:fill="FFFFFF"/>
          <w:lang w:val="en-US" w:eastAsia="zh-CN"/>
        </w:rPr>
        <w:t>公众号</w:t>
      </w:r>
      <w:r>
        <w:rPr>
          <w:rFonts w:hint="eastAsia" w:ascii="仿宋_GB2312" w:hAnsi="仿宋_GB2312" w:eastAsia="仿宋_GB2312" w:cs="仿宋_GB2312"/>
          <w:i w:val="0"/>
          <w:iCs w:val="0"/>
          <w:caps w:val="0"/>
          <w:color w:val="auto"/>
          <w:spacing w:val="0"/>
          <w:sz w:val="32"/>
          <w:szCs w:val="32"/>
          <w:shd w:val="clear" w:fill="FFFFFF"/>
        </w:rPr>
        <w:t>等</w:t>
      </w:r>
      <w:r>
        <w:rPr>
          <w:rFonts w:hint="eastAsia" w:ascii="仿宋_GB2312" w:hAnsi="仿宋_GB2312" w:eastAsia="仿宋_GB2312" w:cs="仿宋_GB2312"/>
          <w:i w:val="0"/>
          <w:iCs w:val="0"/>
          <w:caps w:val="0"/>
          <w:color w:val="auto"/>
          <w:spacing w:val="0"/>
          <w:sz w:val="32"/>
          <w:szCs w:val="32"/>
          <w:shd w:val="clear" w:fill="FFFFFF"/>
          <w:lang w:val="en-US" w:eastAsia="zh-CN"/>
        </w:rPr>
        <w:t>平台</w:t>
      </w:r>
      <w:r>
        <w:rPr>
          <w:rFonts w:hint="eastAsia" w:ascii="仿宋_GB2312" w:hAnsi="仿宋_GB2312" w:eastAsia="仿宋_GB2312" w:cs="仿宋_GB2312"/>
          <w:i w:val="0"/>
          <w:iCs w:val="0"/>
          <w:caps w:val="0"/>
          <w:color w:val="auto"/>
          <w:spacing w:val="0"/>
          <w:sz w:val="32"/>
          <w:szCs w:val="32"/>
          <w:shd w:val="clear" w:fill="FFFFFF"/>
        </w:rPr>
        <w:t>，结合</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宪法日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等</w:t>
      </w:r>
      <w:r>
        <w:rPr>
          <w:rFonts w:hint="eastAsia" w:ascii="仿宋_GB2312" w:hAnsi="仿宋_GB2312" w:eastAsia="仿宋_GB2312" w:cs="仿宋_GB2312"/>
          <w:i w:val="0"/>
          <w:iCs w:val="0"/>
          <w:caps w:val="0"/>
          <w:color w:val="auto"/>
          <w:spacing w:val="0"/>
          <w:sz w:val="32"/>
          <w:szCs w:val="32"/>
          <w:shd w:val="clear" w:fill="FFFFFF"/>
        </w:rPr>
        <w:t>重要时间节点开展主题宣传活动，增强宣传效果；</w:t>
      </w:r>
      <w:r>
        <w:rPr>
          <w:rFonts w:hint="eastAsia" w:ascii="仿宋_GB2312" w:hAnsi="仿宋_GB2312" w:eastAsia="仿宋_GB2312" w:cs="仿宋_GB2312"/>
          <w:i w:val="0"/>
          <w:iCs w:val="0"/>
          <w:caps w:val="0"/>
          <w:color w:val="auto"/>
          <w:spacing w:val="0"/>
          <w:sz w:val="32"/>
          <w:szCs w:val="32"/>
          <w:shd w:val="clear" w:fill="FFFFFF"/>
          <w:lang w:val="en-US" w:eastAsia="zh-CN"/>
        </w:rPr>
        <w:t>三是</w:t>
      </w:r>
      <w:r>
        <w:rPr>
          <w:rFonts w:hint="eastAsia" w:ascii="仿宋_GB2312" w:hAnsi="仿宋_GB2312" w:eastAsia="仿宋_GB2312" w:cs="仿宋_GB2312"/>
          <w:i w:val="0"/>
          <w:iCs w:val="0"/>
          <w:caps w:val="0"/>
          <w:color w:val="auto"/>
          <w:spacing w:val="0"/>
          <w:sz w:val="32"/>
          <w:szCs w:val="32"/>
          <w:shd w:val="clear" w:fill="FFFFFF"/>
        </w:rPr>
        <w:t>完善行政执法监督机制，建立执法全过程监督台账，加强对执法案卷的评查和抽查，及时发现并纠正执法问题，对违规执法人员进行严肃问责。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黑体" w:cs="仿宋_GB2312"/>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kern w:val="2"/>
          <w:sz w:val="32"/>
          <w:szCs w:val="32"/>
          <w:shd w:val="clear" w:fill="FFFFFF"/>
          <w:lang w:val="en-US" w:eastAsia="zh-CN" w:bidi="ar-SA"/>
        </w:rPr>
        <w:t>四、</w:t>
      </w:r>
      <w:r>
        <w:rPr>
          <w:rFonts w:hint="eastAsia" w:ascii="黑体" w:hAnsi="黑体" w:eastAsia="黑体" w:cs="黑体"/>
          <w:i w:val="0"/>
          <w:iCs w:val="0"/>
          <w:caps w:val="0"/>
          <w:color w:val="auto"/>
          <w:spacing w:val="0"/>
          <w:sz w:val="32"/>
          <w:szCs w:val="32"/>
          <w:shd w:val="clear" w:fill="FFFFFF"/>
        </w:rPr>
        <w:t>下一年度推进法治政府建设的初步安排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2025年，我</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法治政府建设将</w:t>
      </w:r>
      <w:r>
        <w:rPr>
          <w:rFonts w:hint="eastAsia" w:ascii="仿宋_GB2312" w:hAnsi="仿宋_GB2312" w:eastAsia="仿宋_GB2312" w:cs="仿宋_GB2312"/>
          <w:i w:val="0"/>
          <w:iCs w:val="0"/>
          <w:caps w:val="0"/>
          <w:color w:val="auto"/>
          <w:spacing w:val="0"/>
          <w:sz w:val="32"/>
          <w:szCs w:val="32"/>
          <w:shd w:val="clear" w:fill="FFFFFF"/>
          <w:lang w:val="en-US" w:eastAsia="zh-CN"/>
        </w:rPr>
        <w:t>继续</w:t>
      </w:r>
      <w:r>
        <w:rPr>
          <w:rFonts w:hint="eastAsia" w:ascii="仿宋_GB2312" w:hAnsi="仿宋_GB2312" w:eastAsia="仿宋_GB2312" w:cs="仿宋_GB2312"/>
          <w:i w:val="0"/>
          <w:iCs w:val="0"/>
          <w:caps w:val="0"/>
          <w:color w:val="auto"/>
          <w:spacing w:val="0"/>
          <w:sz w:val="32"/>
          <w:szCs w:val="32"/>
          <w:shd w:val="clear" w:fill="FFFFFF"/>
        </w:rPr>
        <w:t>认真贯彻落实习近平总书记关于法治政府建设的重要指示精神，围绕县委、县政府的相关文件要求和会议精神，加大法治政府建设工作力度，寻找差距，弥补不足，努力推动我</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依法行政和法治政府建设再上新台阶。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（一）</w:t>
      </w:r>
      <w:r>
        <w:rPr>
          <w:rFonts w:hint="eastAsia" w:ascii="楷体" w:hAnsi="楷体" w:eastAsia="楷体" w:cs="楷体"/>
          <w:i w:val="0"/>
          <w:iCs w:val="0"/>
          <w:caps w:val="0"/>
          <w:color w:val="auto"/>
          <w:spacing w:val="0"/>
          <w:sz w:val="32"/>
          <w:szCs w:val="32"/>
          <w:shd w:val="clear" w:fill="FFFFFF"/>
        </w:rPr>
        <w:t>持续强化宣传教育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坚持宣传教育不放松，营造浓厚法治氛围</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一方面，丰富线下宣传形式，加大普法力度</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利用春节、“五一、十一”，</w:t>
      </w:r>
      <w:r>
        <w:rPr>
          <w:rFonts w:hint="eastAsia" w:ascii="仿宋_GB2312" w:hAnsi="仿宋_GB2312" w:eastAsia="仿宋_GB2312" w:cs="仿宋_GB2312"/>
          <w:i w:val="0"/>
          <w:iCs w:val="0"/>
          <w:caps w:val="0"/>
          <w:color w:val="auto"/>
          <w:spacing w:val="0"/>
          <w:sz w:val="32"/>
          <w:szCs w:val="32"/>
          <w:shd w:val="clear" w:fill="FFFFFF"/>
        </w:rPr>
        <w:t>在人员密集处开展法治宣传活动，通过发放宣传手册、举办法律知识讲座、设置法律咨询台等方式，向群众普及与日常生活息息相关的法律法规，如民法典、劳动法等，切实增强群众法治观念。另一方面，拓展线上宣传渠道，借助微信公众号、抖音短视频等新媒体平台，定期推送法治资讯、典型案例分析等内容，以通俗易懂、生动有趣的形式让法治知识深入人心，引导群众自觉守法、遇事找法。计划开展各类法治宣传活动不少于</w:t>
      </w:r>
      <w:r>
        <w:rPr>
          <w:rFonts w:hint="eastAsia" w:ascii="仿宋_GB2312" w:hAnsi="仿宋_GB2312" w:eastAsia="仿宋_GB2312" w:cs="仿宋_GB2312"/>
          <w:i w:val="0"/>
          <w:iCs w:val="0"/>
          <w:caps w:val="0"/>
          <w:color w:val="auto"/>
          <w:spacing w:val="0"/>
          <w:sz w:val="32"/>
          <w:szCs w:val="32"/>
          <w:shd w:val="clear" w:fill="FFFFFF"/>
          <w:lang w:val="en-US" w:eastAsia="zh-CN"/>
        </w:rPr>
        <w:t>15</w:t>
      </w:r>
      <w:r>
        <w:rPr>
          <w:rFonts w:hint="eastAsia" w:ascii="仿宋_GB2312" w:hAnsi="仿宋_GB2312" w:eastAsia="仿宋_GB2312" w:cs="仿宋_GB2312"/>
          <w:i w:val="0"/>
          <w:iCs w:val="0"/>
          <w:caps w:val="0"/>
          <w:color w:val="auto"/>
          <w:spacing w:val="0"/>
          <w:sz w:val="32"/>
          <w:szCs w:val="32"/>
          <w:shd w:val="clear" w:fill="FFFFFF"/>
        </w:rPr>
        <w:t>场次。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（二）</w:t>
      </w:r>
      <w:r>
        <w:rPr>
          <w:rFonts w:hint="eastAsia" w:ascii="楷体" w:hAnsi="楷体" w:eastAsia="楷体" w:cs="楷体"/>
          <w:i w:val="0"/>
          <w:iCs w:val="0"/>
          <w:caps w:val="0"/>
          <w:color w:val="auto"/>
          <w:spacing w:val="0"/>
          <w:sz w:val="32"/>
          <w:szCs w:val="32"/>
          <w:shd w:val="clear" w:fill="FFFFFF"/>
        </w:rPr>
        <w:t>着力打造专业法治队伍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领导干部带头尊崇法治、敬畏法律，了解法律、掌握法律，遵纪守法、捍卫法治，厉行法治、依法办事，增强法治观念、法律意识，坚持有法必依，不断提高运用法治思维和法治方式推动发展、化解矛盾、维护稳定的能力。同时，强化内部培训提升，定期组织行政执法人员参加业务培训，邀请法律专家、资深法官等进行授课，重点培训行政处罚法、行政许可法等专业法律法规，以及执法程序、证据收集等实操技能，同时鼓励执法人员参加法律职业资格考试等继续教育，不断提升专业素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（三）</w:t>
      </w:r>
      <w:r>
        <w:rPr>
          <w:rFonts w:hint="eastAsia" w:ascii="楷体" w:hAnsi="楷体" w:eastAsia="楷体" w:cs="楷体"/>
          <w:i w:val="0"/>
          <w:iCs w:val="0"/>
          <w:caps w:val="0"/>
          <w:color w:val="auto"/>
          <w:spacing w:val="0"/>
          <w:sz w:val="32"/>
          <w:szCs w:val="32"/>
          <w:shd w:val="clear" w:fill="FFFFFF"/>
        </w:rPr>
        <w:t>全面加强制度建设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一是深入贯彻落实习近平法治思想，以改革创新为动力，以基本建成法治政府为目标，在新常态下全面推进依法行政。突出程序优先原则，牢固树立处理正确，程序违法，其结果也是行政的违法的意识。二是加强规范性文件管理，建立规范性文件制定、审查、备案、清理全流程制度，定期对现行规范性文件进行梳理，及时废止或修订与上位法抵触、不适应发展需求的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（四）</w:t>
      </w:r>
      <w:r>
        <w:rPr>
          <w:rFonts w:hint="eastAsia" w:ascii="楷体" w:hAnsi="楷体" w:eastAsia="楷体" w:cs="楷体"/>
          <w:i w:val="0"/>
          <w:iCs w:val="0"/>
          <w:caps w:val="0"/>
          <w:color w:val="auto"/>
          <w:spacing w:val="0"/>
          <w:sz w:val="32"/>
          <w:szCs w:val="32"/>
          <w:shd w:val="clear" w:fill="FFFFFF"/>
        </w:rPr>
        <w:t>进一步完善矛盾纠纷多元化解机制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加强调解组织建设和调解员培训，提高矛盾纠纷化解效率和质量，努力将矛盾纠纷化解在基层、消除在萌芽状态，确保全乡社会和谐稳定。把法律服务进村工作纳入行政村规范化建设内容，</w:t>
      </w:r>
      <w:r>
        <w:rPr>
          <w:rFonts w:hint="eastAsia" w:ascii="仿宋_GB2312" w:hAnsi="仿宋_GB2312" w:eastAsia="仿宋_GB2312" w:cs="仿宋_GB2312"/>
          <w:i w:val="0"/>
          <w:iCs w:val="0"/>
          <w:caps w:val="0"/>
          <w:color w:val="auto"/>
          <w:spacing w:val="0"/>
          <w:sz w:val="32"/>
          <w:szCs w:val="32"/>
          <w:shd w:val="clear" w:fill="FFFFFF"/>
          <w:lang w:val="en-US" w:eastAsia="zh-CN"/>
        </w:rPr>
        <w:t>持</w:t>
      </w:r>
      <w:r>
        <w:rPr>
          <w:rFonts w:hint="eastAsia" w:ascii="仿宋_GB2312" w:hAnsi="仿宋_GB2312" w:eastAsia="仿宋_GB2312" w:cs="仿宋_GB2312"/>
          <w:i w:val="0"/>
          <w:iCs w:val="0"/>
          <w:caps w:val="0"/>
          <w:color w:val="auto"/>
          <w:spacing w:val="0"/>
          <w:sz w:val="32"/>
          <w:szCs w:val="32"/>
          <w:shd w:val="clear" w:fill="FFFFFF"/>
        </w:rPr>
        <w:t>续加强各村法律服务志愿者队伍、社团建设，</w:t>
      </w:r>
      <w:r>
        <w:rPr>
          <w:rFonts w:hint="eastAsia" w:ascii="仿宋_GB2312" w:hAnsi="仿宋_GB2312" w:eastAsia="仿宋_GB2312" w:cs="仿宋_GB2312"/>
          <w:i w:val="0"/>
          <w:iCs w:val="0"/>
          <w:caps w:val="0"/>
          <w:color w:val="auto"/>
          <w:spacing w:val="0"/>
          <w:sz w:val="32"/>
          <w:szCs w:val="32"/>
          <w:shd w:val="clear" w:fill="FFFFFF"/>
          <w:lang w:val="en-US" w:eastAsia="zh-CN"/>
        </w:rPr>
        <w:t>推动法治延伸到基层治理的“最后一公里”。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4480" w:firstLineChars="14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2025年1月</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F51443-A2EE-403D-871B-A70194CA16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231EC44-6367-47EE-88CF-37558CBDEB14}"/>
  </w:font>
  <w:font w:name="Segoe UI">
    <w:panose1 w:val="020B0502040204020203"/>
    <w:charset w:val="00"/>
    <w:family w:val="auto"/>
    <w:pitch w:val="default"/>
    <w:sig w:usb0="E4002EFF" w:usb1="C000E47F" w:usb2="00000009" w:usb3="00000000" w:csb0="200001FF" w:csb1="00000000"/>
    <w:embedRegular r:id="rId3" w:fontKey="{1ACA4D43-C879-4F8F-8741-5FD7485F9499}"/>
  </w:font>
  <w:font w:name="仿宋_GB2312">
    <w:panose1 w:val="02010609030101010101"/>
    <w:charset w:val="86"/>
    <w:family w:val="auto"/>
    <w:pitch w:val="default"/>
    <w:sig w:usb0="00000001" w:usb1="080E0000" w:usb2="00000000" w:usb3="00000000" w:csb0="00040000" w:csb1="00000000"/>
    <w:embedRegular r:id="rId4" w:fontKey="{56CC2FDC-D1AB-4D26-ACF3-1D84F16A55D4}"/>
  </w:font>
  <w:font w:name="楷体">
    <w:panose1 w:val="02010609060101010101"/>
    <w:charset w:val="86"/>
    <w:family w:val="auto"/>
    <w:pitch w:val="default"/>
    <w:sig w:usb0="800002BF" w:usb1="38CF7CFA" w:usb2="00000016" w:usb3="00000000" w:csb0="00040001" w:csb1="00000000"/>
    <w:embedRegular r:id="rId5" w:fontKey="{A18C2159-7C8A-4E4F-96BC-6C079AE9BB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49a97763-40b8-48e9-9a1a-48ac3614cf3b"/>
  </w:docVars>
  <w:rsids>
    <w:rsidRoot w:val="00000000"/>
    <w:rsid w:val="07B45081"/>
    <w:rsid w:val="2823520A"/>
    <w:rsid w:val="358B1C96"/>
    <w:rsid w:val="41C13E9F"/>
    <w:rsid w:val="4ABA46E9"/>
    <w:rsid w:val="7360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3256</Words>
  <Characters>3292</Characters>
  <Lines>0</Lines>
  <Paragraphs>0</Paragraphs>
  <TotalTime>18</TotalTime>
  <ScaleCrop>false</ScaleCrop>
  <LinksUpToDate>false</LinksUpToDate>
  <CharactersWithSpaces>3329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2025-01-02T00:35:00Z</dcterms:created>
  <dc:creator>Administrator</dc:creator>
  <cp:lastModifiedBy>86177</cp:lastModifiedBy>
  <cp:lastPrinted>2025-01-03T01:50:00Z</cp:lastPrinted>
  <dcterms:modified xsi:type="dcterms:W3CDTF">2025-03-04T07:26:20Z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eyJoZGlkIjoiYWIzOGExOWFmMDJjOGM4MWQwYjFhZDZhMzM3ZGQzNDciLCJ1c2VySWQiOiI0NTQ5OTk4MzEifQ==</vt:lpwstr>
  </property>
  <property fmtid="{D5CDD505-2E9C-101B-9397-08002B2CF9AE}" pid="4" name="ICV">
    <vt:lpwstr>030C037D4FDA439394B44BBECC7466B5_12</vt:lpwstr>
  </property>
</Properties>
</file>