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鲁山</w:t>
      </w:r>
      <w:r>
        <w:rPr>
          <w:rFonts w:hint="eastAsia" w:ascii="方正小标宋简体" w:hAnsi="方正小标宋简体" w:eastAsia="方正小标宋简体" w:cs="方正小标宋简体"/>
          <w:sz w:val="44"/>
          <w:szCs w:val="44"/>
        </w:rPr>
        <w:t>县市场监督管理局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关于2024年法治</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建设情况的报告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县市场监督管理局在县委、县政府的正确领导下，坚持用法治思维谋划工作，用法治思维解决问题，提升了市场监管执法效能。</w:t>
      </w: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汇报如下：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2024年度党政主要负责人履行推进法治建设第一责任人职责，加强法治政府建设的有关情况</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局党政领导班子高度重视法治政府建设，将其摆在全局工作的重要位置。2024年，多次在党委会议上深入学习领会</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等有关文件内容，安排部署法治政府建设的阶段性工作，为推动法治建设提供了有力的保障和条件。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依法全面履行政府职能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完善权责清单制度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持续完善并落实权责清单制度，实行动态管理。对外公布了权责清单和公共服务事项清单，明确了各项事项的法律依据、实施主体、监督方式和责任方式等，并根据法律法规变化及时调整，确保行政权力运行的合法性和规范性。</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加强事中事后监管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在市场监管领域构建了以“双随机、一公开”监管为基本手段、重点监管为补充、信用监管为基础的新型监管机制，切实加强了事中事后监管，营造了公平竞争的市场环境和法治化、便利化的营商环境。</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推行“三项制度”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全面推行行政执法公示制度、执法全过程记录制度、重大执法决定法制审核制度，严格执法责任，加强执法监督，推进了严格规范公正文明执法，有效提升了执法质量和公信力。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完善学法用法制度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落实普法责任制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积极贯彻“谁执法谁普法”的普法责任制，各股、所、队将普法宣传</w:t>
      </w:r>
      <w:r>
        <w:rPr>
          <w:rFonts w:hint="eastAsia" w:ascii="仿宋_GB2312" w:hAnsi="仿宋_GB2312" w:eastAsia="仿宋_GB2312" w:cs="仿宋_GB2312"/>
          <w:sz w:val="32"/>
          <w:szCs w:val="32"/>
          <w:lang w:eastAsia="zh-CN"/>
        </w:rPr>
        <w:t>融入</w:t>
      </w:r>
      <w:r>
        <w:rPr>
          <w:rFonts w:hint="eastAsia" w:ascii="仿宋_GB2312" w:hAnsi="仿宋_GB2312" w:eastAsia="仿宋_GB2312" w:cs="仿宋_GB2312"/>
          <w:sz w:val="32"/>
          <w:szCs w:val="32"/>
        </w:rPr>
        <w:t>履行职责的各环节和全过程。利用服务窗口、经营者LED显示屏等宣传平台，面向社会公众广泛宣传习近平总书记全面依法治国新理念新思想新战略，以及与本部门工作职责密切相关的法律法规，落实了社会普法责任。</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强化教育培训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按照“干什么学什么、缺什么补什么”的原则，通过专家授课、以会</w:t>
      </w:r>
      <w:r>
        <w:rPr>
          <w:rFonts w:hint="eastAsia" w:ascii="仿宋_GB2312" w:hAnsi="仿宋_GB2312" w:eastAsia="仿宋_GB2312" w:cs="仿宋_GB2312"/>
          <w:sz w:val="32"/>
          <w:szCs w:val="32"/>
          <w:lang w:eastAsia="zh-CN"/>
        </w:rPr>
        <w:t>代</w:t>
      </w:r>
      <w:r>
        <w:rPr>
          <w:rFonts w:hint="eastAsia" w:ascii="仿宋_GB2312" w:hAnsi="仿宋_GB2312" w:eastAsia="仿宋_GB2312" w:cs="仿宋_GB2312"/>
          <w:sz w:val="32"/>
          <w:szCs w:val="32"/>
        </w:rPr>
        <w:t>训、骨干讲解等多种形式，开展了全面的培训。培训内容涵盖行政处罚程序及现场处置、处罚文书制作、行政复议与诉讼实务，以及食品监管、药品医疗器械监管、产品质量监管、知识产权监管与保</w:t>
      </w:r>
      <w:r>
        <w:rPr>
          <w:rFonts w:hint="eastAsia" w:ascii="仿宋_GB2312" w:hAnsi="仿宋_GB2312" w:eastAsia="仿宋_GB2312" w:cs="仿宋_GB2312"/>
          <w:color w:val="auto"/>
          <w:sz w:val="32"/>
          <w:szCs w:val="32"/>
        </w:rPr>
        <w:t>护等多个领域，共举办各类培训21期，参训人员达1700余人次，有效提升了基层执法人员的业务能力和法律素养。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2024年度推进法治政府建设的主要举措和成效</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持续优化政务服务效能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创新审批服务方式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采用“一窗”+“一站”的审批服务模式，企业登记、印章刻制、发票申领等业务实现统一窗口受件、出件。同时，借助全程电子化服务平台，企业开办者可线上完成多项审批手续，极大地提高了办事效率。</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加强宣传推广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全面宣传、推广并引导群众下载使用相关app，在政务大厅设置宣传海报和资料专区，发放下载注册指南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000余份、便民服务卡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200余张，日接待使用咨询200人次</w:t>
      </w:r>
      <w:r>
        <w:rPr>
          <w:rFonts w:hint="eastAsia" w:ascii="仿宋_GB2312" w:hAnsi="仿宋_GB2312" w:eastAsia="仿宋_GB2312" w:cs="仿宋_GB2312"/>
          <w:color w:val="000000" w:themeColor="text1"/>
          <w:sz w:val="32"/>
          <w:szCs w:val="32"/>
          <w14:textFill>
            <w14:solidFill>
              <w14:schemeClr w14:val="tx1"/>
            </w14:solidFill>
          </w14:textFill>
        </w:rPr>
        <w:t>。截至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2024年12月底</w:t>
      </w:r>
      <w:r>
        <w:rPr>
          <w:rFonts w:hint="eastAsia" w:ascii="仿宋_GB2312" w:hAnsi="仿宋_GB2312" w:eastAsia="仿宋_GB2312" w:cs="仿宋_GB2312"/>
          <w:color w:val="000000" w:themeColor="text1"/>
          <w:sz w:val="32"/>
          <w:szCs w:val="32"/>
          <w14:textFill>
            <w14:solidFill>
              <w14:schemeClr w14:val="tx1"/>
            </w14:solidFill>
          </w14:textFill>
        </w:rPr>
        <w:t>，全县市场主体存续57664户，2024年新增市场主体8152户，较去年增加12.5%，全程电子化率99.62%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此外，特种设备、药品经营、小作坊登记以及“个转企”等各项业务也取得了显著成效。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持续营造一流营商环境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完善制度建设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出台了《公平竞争审查工作方案及考察办法》《各部门制定公平竞争审查制度实施细则》等文件，下发了《县公平竞争审查工作联席会议2024年工作要点》，为公平竞争审查工作夯实了基础。</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严格审查增量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按照“谁起草、谁审查、谁清理”的原则，组织政府各部门对涉及公平竞争的规章、规范性文件和其他政策措施进行梳理、审查和清</w:t>
      </w:r>
      <w:r>
        <w:rPr>
          <w:rFonts w:hint="eastAsia" w:ascii="仿宋_GB2312" w:hAnsi="仿宋_GB2312" w:eastAsia="仿宋_GB2312" w:cs="仿宋_GB2312"/>
          <w:color w:val="auto"/>
          <w:sz w:val="32"/>
          <w:szCs w:val="32"/>
        </w:rPr>
        <w:t>理。</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对18家成员单位审查和清理后，未发现有限制公平竞争的文件。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加大重点领域执法力度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推进食品药品全业态提升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全面推进食品安全追溯体</w:t>
      </w:r>
      <w:r>
        <w:rPr>
          <w:rFonts w:hint="eastAsia" w:ascii="仿宋_GB2312" w:hAnsi="仿宋_GB2312" w:eastAsia="仿宋_GB2312" w:cs="仿宋_GB2312"/>
          <w:color w:val="auto"/>
          <w:sz w:val="32"/>
          <w:szCs w:val="32"/>
        </w:rPr>
        <w:t>系建设，引导食品销售企业加强管理；持续推进“互联网＋明厨亮灶”建设，已有</w:t>
      </w:r>
      <w:r>
        <w:rPr>
          <w:rFonts w:hint="eastAsia" w:ascii="仿宋_GB2312" w:hAnsi="仿宋_GB2312" w:eastAsia="仿宋_GB2312" w:cs="仿宋_GB2312"/>
          <w:color w:val="auto"/>
          <w:sz w:val="32"/>
          <w:szCs w:val="32"/>
          <w:lang w:val="en-US" w:eastAsia="zh-CN"/>
        </w:rPr>
        <w:t>3867</w:t>
      </w:r>
      <w:r>
        <w:rPr>
          <w:rFonts w:hint="eastAsia" w:ascii="仿宋_GB2312" w:hAnsi="仿宋_GB2312" w:eastAsia="仿宋_GB2312" w:cs="仿宋_GB2312"/>
          <w:color w:val="auto"/>
          <w:sz w:val="32"/>
          <w:szCs w:val="32"/>
        </w:rPr>
        <w:t>家实施“明厨亮灶”，其中</w:t>
      </w:r>
      <w:r>
        <w:rPr>
          <w:rFonts w:hint="eastAsia" w:ascii="仿宋_GB2312" w:hAnsi="仿宋_GB2312" w:eastAsia="仿宋_GB2312" w:cs="仿宋_GB2312"/>
          <w:color w:val="auto"/>
          <w:sz w:val="32"/>
          <w:szCs w:val="32"/>
          <w:lang w:val="en-US" w:eastAsia="zh-CN"/>
        </w:rPr>
        <w:t>541</w:t>
      </w:r>
      <w:r>
        <w:rPr>
          <w:rFonts w:hint="eastAsia" w:ascii="仿宋_GB2312" w:hAnsi="仿宋_GB2312" w:eastAsia="仿宋_GB2312" w:cs="仿宋_GB2312"/>
          <w:color w:val="auto"/>
          <w:sz w:val="32"/>
          <w:szCs w:val="32"/>
        </w:rPr>
        <w:t>家为“互联网+明厨亮灶”餐饮服务单位。同</w:t>
      </w:r>
      <w:r>
        <w:rPr>
          <w:rFonts w:hint="eastAsia" w:ascii="仿宋_GB2312" w:hAnsi="仿宋_GB2312" w:eastAsia="仿宋_GB2312" w:cs="仿宋_GB2312"/>
          <w:sz w:val="32"/>
          <w:szCs w:val="32"/>
        </w:rPr>
        <w:t>时，推进农村集体聚餐和社会餐饮单位食品安全“6S”管理，加强日常检查。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严厉打击违法犯罪行为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保持食品药品安全整治高压态势，严厉打击销售假冒伪劣、过期变质、非法添加等食品违法犯罪行为。在校园食品安全专项行动中，累计检查学校食堂和周边餐饮单位众多，对发现的问题及时督促整改，并依法立案查处，</w:t>
      </w:r>
      <w:r>
        <w:rPr>
          <w:rFonts w:hint="eastAsia" w:ascii="仿宋_GB2312" w:hAnsi="仿宋_GB2312" w:eastAsia="仿宋_GB2312" w:cs="仿宋_GB2312"/>
          <w:sz w:val="32"/>
          <w:szCs w:val="32"/>
          <w:lang w:eastAsia="zh-CN"/>
        </w:rPr>
        <w:t>此举有</w:t>
      </w:r>
      <w:r>
        <w:rPr>
          <w:rFonts w:hint="eastAsia" w:ascii="仿宋_GB2312" w:hAnsi="仿宋_GB2312" w:eastAsia="仿宋_GB2312" w:cs="仿宋_GB2312"/>
          <w:sz w:val="32"/>
          <w:szCs w:val="32"/>
        </w:rPr>
        <w:t>力保障了师生饮食安全</w:t>
      </w:r>
      <w:r>
        <w:rPr>
          <w:rFonts w:hint="eastAsia" w:ascii="仿宋_GB2312" w:hAnsi="仿宋_GB2312" w:eastAsia="仿宋_GB2312" w:cs="仿宋_GB2312"/>
          <w:color w:val="auto"/>
          <w:sz w:val="32"/>
          <w:szCs w:val="32"/>
        </w:rPr>
        <w:t>。药品监管方面，制定了工作要点和检查计划，加强日常监管和智慧监管，对各类药品经营和使用单位进行了全面检查。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深化行政执法体制改革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组建执法大队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按照县委机构编制委员会的通知要求，挂牌成立了“县市场监管综合行政执法大队”，并正常开展行政执法工作。</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优化内部机构设置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该执法大队下设8个</w:t>
      </w:r>
      <w:r>
        <w:rPr>
          <w:rFonts w:hint="eastAsia" w:ascii="仿宋_GB2312" w:hAnsi="仿宋_GB2312" w:eastAsia="仿宋_GB2312" w:cs="仿宋_GB2312"/>
          <w:sz w:val="32"/>
          <w:szCs w:val="32"/>
          <w:lang w:eastAsia="zh-CN"/>
        </w:rPr>
        <w:t>内部</w:t>
      </w:r>
      <w:r>
        <w:rPr>
          <w:rFonts w:hint="eastAsia" w:ascii="仿宋_GB2312" w:hAnsi="仿宋_GB2312" w:eastAsia="仿宋_GB2312" w:cs="仿宋_GB2312"/>
          <w:sz w:val="32"/>
          <w:szCs w:val="32"/>
        </w:rPr>
        <w:t>机构，明确了各机构的职责，执法人员已调整到位，确保了执法工作的专业性和高效性。</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统一执法规范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以市场监管部门名义统一行使行政处罚权及相关行政检查、行政强制权，统一了执法文书、执法程序、自由裁量权，规范了办案信息系统和立卷归档工作，提升了执法的规范化水平。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深入推进“互联网+行政执法”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1.完善监管机制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健全以“双随机、一公开”监管为基本手段、以重点监管为补充、以信用监管为基础的新型监管机制，3次主持召开部门联席会议，出台了全县市场监管领域“双随机、一公开”抽查事项清单，29个成员单位牵头在市场监管领域制定了62项联合抽查计划，涉及47个“一业同查”市场领域，同比2023年计划提升了191%。按照市场主体其性质、风险等级、信用水平等进行风险分类监管，开展完成了111次联合抽查任务，基本实现了以信用监管为基础的新型监管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强化监管数据覆盖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成立工作专班，协调推进“互联网+监管”工作，全局24个单位监管事项主项155项，2024年数据覆盖到的监管事项子项635项，监管行为覆盖率达100%，提高了监管的精准性和有效性。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rPr>
        <w:t>深入推进服务型行政执法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规范执法行为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进一步规范了行政许可、行政监管、行政处罚、行政强制、行政确认等执法行为，确保执法活动依法依规进行。</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加强事前指导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采取提示、建议、辅导等行政指导方式，引导市场主体知法守法、规范经营，实现了执法活动由“对立”向“疏导”的转变，坚持处罚与教育相结合，帮助行政处罚当事人查找违法原因，健全相关制度。</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开展行政约谈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针对重点行业，采取集中约谈的方式，宣讲法律、分析原因、指明危害，对企业可能或已出现的违法苗头进行警示，引导企业守法诚信经营，有效预防了违法行为的发生。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w:t>
      </w:r>
      <w:r>
        <w:rPr>
          <w:rFonts w:hint="eastAsia" w:ascii="楷体" w:hAnsi="楷体" w:eastAsia="楷体" w:cs="楷体"/>
          <w:sz w:val="32"/>
          <w:szCs w:val="32"/>
        </w:rPr>
        <w:t>强化行政执法监督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审查自由裁量权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加大对办案机构行使自由裁量权的审查力度，全面审核处罚建议的合法性和合理性，防止行政处罚自由裁量权的滥用，确保了执法的公正性。</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推行公示制度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推行行政执法案件公示制度，增强了执法的透明度。认真落实《市场监督管理执法监督规定》，加强行政执法监督，通过开展专项行动、执法检查、考核评价和案卷评查等方式，整治了行政执法中的突出问题，确保了应审案件审核率100%和申请听证案件听证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2024年度推进法治政府建设存在的不足、原因和问题整改情况</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存在的不足及原因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学法、普法形式单一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学法、普法形式不够丰富，宣传内容多以单一的法条和法律解释为主，缺乏生动性和趣味性，不易被群众理解和接受，导致普法效果不理想。</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基层执法力量薄弱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基层执法力量偏弱，老龄化严重，执法设备落后，执法方式陈旧，且执法经费、车辆、记录仪、快速检验检测设备等执法装备缺口较大，无法满足监管执法的实际需求，严重制约了监管效能的提升。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问题整改情况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我局已制定了初步的整改计划。对于学法、普法形式单一的问题，计划在未来的工作中创新普法方式，增加案例分析、法律知识竞赛、线上互动等多种形式，提高普法的趣味性和吸引力。对于基层执法力量薄弱的问题，将积极争取上级支持，加强人员配备和培训，逐步更新执法设备，优化执法方式，提高执法效能。同时，合理安排执法经费，优先保障基层执法需求，确保监管工作的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下一年度推进法治政府建设的初步安排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完善制度机制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继续完善相关制度和工作机制，进一步提升法治政府建设能力，确保各项工作有章可循、规范有序。</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加强宣传协作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充分发挥报刊、广播、电视等媒体的作用，加强与新闻媒体的联系协作，大力宣传推进法治政府建设的意义和作用，扩大社会影响力，提高社会满意度。</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推进依法行政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进一步严格行政执法程序，规范行政执法行为，强化执法监督，完善执法责任制和执法过错责任追究制，确保严格规范公正文明执法。</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加强队伍建设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建立一支兼顾业务能力和法律素养的一线执法队伍，通过加强培训、考核等方式，不断提升执法人员的综合素质和执法水平，为法治政府建设提供坚实的人才保障。</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持续优化营商环境，加强市场监管，维护公平竞争的市场秩序，激发市场主体活力，为经济社会发展创造良好的法治环境。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B5ECF"/>
    <w:multiLevelType w:val="singleLevel"/>
    <w:tmpl w:val="BEDB5ECF"/>
    <w:lvl w:ilvl="0" w:tentative="0">
      <w:start w:val="1"/>
      <w:numFmt w:val="chineseCounting"/>
      <w:suff w:val="nothing"/>
      <w:lvlText w:val="（%1）"/>
      <w:lvlJc w:val="left"/>
      <w:rPr>
        <w:rFonts w:hint="eastAsia"/>
      </w:rPr>
    </w:lvl>
  </w:abstractNum>
  <w:abstractNum w:abstractNumId="1">
    <w:nsid w:val="27DF4475"/>
    <w:multiLevelType w:val="singleLevel"/>
    <w:tmpl w:val="27DF4475"/>
    <w:lvl w:ilvl="0" w:tentative="0">
      <w:start w:val="1"/>
      <w:numFmt w:val="chineseCounting"/>
      <w:suff w:val="nothing"/>
      <w:lvlText w:val="（%1）"/>
      <w:lvlJc w:val="left"/>
      <w:rPr>
        <w:rFonts w:hint="eastAsia"/>
      </w:rPr>
    </w:lvl>
  </w:abstractNum>
  <w:abstractNum w:abstractNumId="2">
    <w:nsid w:val="4A1A784C"/>
    <w:multiLevelType w:val="singleLevel"/>
    <w:tmpl w:val="4A1A784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mVlM2FkOGNkNzMyM2I4NmQzZDkxMDNmMDk3ZTEifQ=="/>
    <w:docVar w:name="KSO_WPS_MARK_KEY" w:val="55183360-a518-47d4-b841-7074d8a1e1d8"/>
  </w:docVars>
  <w:rsids>
    <w:rsidRoot w:val="74253FBE"/>
    <w:rsid w:val="034678CA"/>
    <w:rsid w:val="03544F87"/>
    <w:rsid w:val="0A1512B6"/>
    <w:rsid w:val="15DB7BC7"/>
    <w:rsid w:val="1DA10843"/>
    <w:rsid w:val="440C041D"/>
    <w:rsid w:val="732B7F38"/>
    <w:rsid w:val="74253FBE"/>
    <w:rsid w:val="7A05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8</Pages>
  <Words>3723</Words>
  <Characters>3853</Characters>
  <Lines>0</Lines>
  <Paragraphs>0</Paragraphs>
  <TotalTime>160</TotalTime>
  <ScaleCrop>false</ScaleCrop>
  <LinksUpToDate>false</LinksUpToDate>
  <CharactersWithSpaces>3853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2024-12-30T00:55:00Z</dcterms:created>
  <dc:creator>芒果菇凉✨</dc:creator>
  <cp:lastModifiedBy>86177</cp:lastModifiedBy>
  <dcterms:modified xsi:type="dcterms:W3CDTF">2025-03-11T00:30:50Z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9BDD0335AAD64CE38809268A7427442E_13</vt:lpwstr>
  </property>
  <property fmtid="{D5CDD505-2E9C-101B-9397-08002B2CF9AE}" pid="4" name="KSOTemplateDocerSaveRecord">
    <vt:lpwstr>eyJoZGlkIjoiMzc5NmYzNGE3ZjUwYTUyMzc5YjQ0MTg4MjMxZTdkN2UiLCJ1c2VySWQiOiIxMzg3NDAzMjE5In0=</vt:lpwstr>
  </property>
</Properties>
</file>