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鲁山县</w:t>
      </w:r>
      <w:r>
        <w:rPr>
          <w:rFonts w:hint="eastAsia" w:ascii="方正小标宋简体" w:hAnsi="方正小标宋简体" w:eastAsia="方正小标宋简体" w:cs="方正小标宋简体"/>
          <w:b/>
          <w:bCs/>
          <w:sz w:val="44"/>
          <w:szCs w:val="44"/>
          <w:lang w:val="en-US" w:eastAsia="zh-CN"/>
        </w:rPr>
        <w:t>瀼</w:t>
      </w:r>
      <w:r>
        <w:rPr>
          <w:rFonts w:hint="eastAsia" w:ascii="方正小标宋简体" w:hAnsi="方正小标宋简体" w:eastAsia="方正小标宋简体" w:cs="方正小标宋简体"/>
          <w:sz w:val="44"/>
          <w:szCs w:val="44"/>
          <w:lang w:val="en-US" w:eastAsia="zh-CN"/>
        </w:rPr>
        <w:t>河乡人民</w:t>
      </w:r>
      <w:bookmarkStart w:id="0" w:name="_GoBack"/>
      <w:bookmarkEnd w:id="0"/>
      <w:r>
        <w:rPr>
          <w:rFonts w:hint="eastAsia" w:ascii="方正小标宋简体" w:hAnsi="方正小标宋简体" w:eastAsia="方正小标宋简体" w:cs="方正小标宋简体"/>
          <w:sz w:val="44"/>
          <w:szCs w:val="44"/>
          <w:lang w:val="en-US" w:eastAsia="zh-CN"/>
        </w:rPr>
        <w:t>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瀼河乡政府在县委、县政府的正确领导下，坚持以习近平新时代中国特色社会主义思想为指导，深入贯彻落实党的二十大精神和习近平法治思想，紧紧围绕法治政府建设目标，认真履行职责，积极推进各项工作，取得了一定的成效。现将我乡2024年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（一）高度重视，强化组织保障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学习和贯彻《中共中央办公厅国务院办公厅党政主要负责人履行推进法治建设第一责任人职责规定》，切实加强党委集体领导，成立以党委书记为组长，乡长为常务副组长的法治政府建设工作领导小组。坚持重要法治工作和重大问题党组集体决策，切实履行第一责任人职责，带头学习、带头研究，重点围绕学习宣传习近平总书记关于法治建设的重要指示，对法治建设重要工作亲自部署、重大问题亲自过问、重点环节亲自协调、重要任务亲自督办，统筹推进法治政府建设，不断提升我乡治理体系和治理能力的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（二）带头学法，增强法治意识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乡党政主要负责人带头学法用法，将法律法规学习纳入党委中心组和班子会学习内容，通过集中学习、个人自学等方式，认真学习宪法、法律法规和习近平法治思想，不断提高自身的法律素养和依法决策能力。同时，积极组织党员干部参加各类法律培训，增强党员干部的法治意识和法律知识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（三）强化部署，提升落实力度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把法治政府建设作为一项重要政治任务来抓，坚持把习近平法治思想宣传同普法工作结合起来，牢牢把握普法依法治理工作的切入点和着力点。将法治思想学习纳入中心组理论学习、党支部学习会内容，将法治建设纳入全年重点工作和年终考核，领导班子定期听取和研究依法行政工作，制定工作方案，及时解决遇到的重大问题。同时，把法治建设切实摆在全乡工作的突出位置，每季度定期组织召开法治建设专题会议，部署安排年度法治建设重点工作，将法治建设与中心工作、部门工作同部署、同研究、同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（一）加强法治宣传教育，营造良好法治氛围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1.落实普法责任制。</w:t>
      </w:r>
      <w:r>
        <w:rPr>
          <w:rFonts w:hint="eastAsia" w:ascii="仿宋_GB2312" w:hAnsi="仿宋_GB2312" w:eastAsia="仿宋_GB2312" w:cs="仿宋_GB2312"/>
          <w:sz w:val="32"/>
          <w:szCs w:val="32"/>
          <w:lang w:val="en-US" w:eastAsia="zh-CN"/>
        </w:rPr>
        <w:t>制定了年度普法工作计划，明确了各部门的普法责任，将普法工作纳入我乡中心工作，确保普法工作落到实处。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2.开展主题宣传活动。</w:t>
      </w:r>
      <w:r>
        <w:rPr>
          <w:rFonts w:hint="eastAsia" w:ascii="仿宋_GB2312" w:hAnsi="仿宋_GB2312" w:eastAsia="仿宋_GB2312" w:cs="仿宋_GB2312"/>
          <w:sz w:val="32"/>
          <w:szCs w:val="32"/>
          <w:lang w:val="en-US" w:eastAsia="zh-CN"/>
        </w:rPr>
        <w:t>围绕“国家宪法日”“消费者权益保护日”“安全生产月”等重要时间节点，组织开展了形式多样的主题宣传活动，2024年度共发放宣传资料200余份、举办法律讲座</w:t>
      </w:r>
      <w:r>
        <w:rPr>
          <w:rFonts w:hint="eastAsia" w:ascii="仿宋_GB2312" w:hAnsi="仿宋_GB2312" w:eastAsia="仿宋_GB2312" w:cs="仿宋_GB2312"/>
          <w:sz w:val="32"/>
          <w:szCs w:val="32"/>
          <w:highlight w:val="none"/>
          <w:lang w:val="en-US" w:eastAsia="zh-CN"/>
        </w:rPr>
        <w:t>4场</w:t>
      </w:r>
      <w:r>
        <w:rPr>
          <w:rFonts w:hint="eastAsia" w:ascii="仿宋_GB2312" w:hAnsi="仿宋_GB2312" w:eastAsia="仿宋_GB2312" w:cs="仿宋_GB2312"/>
          <w:sz w:val="32"/>
          <w:szCs w:val="32"/>
          <w:lang w:val="en-US" w:eastAsia="zh-CN"/>
        </w:rPr>
        <w:t>、开展法律咨询</w:t>
      </w:r>
      <w:r>
        <w:rPr>
          <w:rFonts w:hint="eastAsia" w:ascii="仿宋_GB2312" w:hAnsi="仿宋_GB2312" w:eastAsia="仿宋_GB2312" w:cs="仿宋_GB2312"/>
          <w:sz w:val="32"/>
          <w:szCs w:val="32"/>
          <w:highlight w:val="none"/>
          <w:lang w:val="en-US" w:eastAsia="zh-CN"/>
        </w:rPr>
        <w:t>15次</w:t>
      </w:r>
      <w:r>
        <w:rPr>
          <w:rFonts w:hint="eastAsia" w:ascii="仿宋_GB2312" w:hAnsi="仿宋_GB2312" w:eastAsia="仿宋_GB2312" w:cs="仿宋_GB2312"/>
          <w:sz w:val="32"/>
          <w:szCs w:val="32"/>
          <w:lang w:val="en-US" w:eastAsia="zh-CN"/>
        </w:rPr>
        <w:t>，向广大居民群众宣传法律法规知识，提高居民群众的法律意识和法治观念。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3.加强阵地建设。</w:t>
      </w:r>
      <w:r>
        <w:rPr>
          <w:rFonts w:hint="eastAsia" w:ascii="仿宋_GB2312" w:hAnsi="仿宋_GB2312" w:eastAsia="仿宋_GB2312" w:cs="仿宋_GB2312"/>
          <w:sz w:val="32"/>
          <w:szCs w:val="32"/>
          <w:lang w:val="en-US" w:eastAsia="zh-CN"/>
        </w:rPr>
        <w:t>在村部等公共场所设立了法治宣传栏、法治图书角等法治宣传阵地，2024年制作宣传版面</w:t>
      </w:r>
      <w:r>
        <w:rPr>
          <w:rFonts w:hint="eastAsia" w:ascii="仿宋_GB2312" w:hAnsi="仿宋_GB2312" w:eastAsia="仿宋_GB2312" w:cs="仿宋_GB2312"/>
          <w:sz w:val="32"/>
          <w:szCs w:val="32"/>
          <w:highlight w:val="none"/>
          <w:lang w:val="en-US" w:eastAsia="zh-CN"/>
        </w:rPr>
        <w:t>20余张</w:t>
      </w:r>
      <w:r>
        <w:rPr>
          <w:rFonts w:hint="eastAsia" w:ascii="仿宋_GB2312" w:hAnsi="仿宋_GB2312" w:eastAsia="仿宋_GB2312" w:cs="仿宋_GB2312"/>
          <w:sz w:val="32"/>
          <w:szCs w:val="32"/>
          <w:lang w:val="en-US" w:eastAsia="zh-CN"/>
        </w:rPr>
        <w:t>，定期更新宣传内容，为居民群众提供了一个学习法律知识的良好平台。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4.创新宣传方式。</w:t>
      </w:r>
      <w:r>
        <w:rPr>
          <w:rFonts w:hint="eastAsia" w:ascii="仿宋_GB2312" w:hAnsi="仿宋_GB2312" w:eastAsia="仿宋_GB2312" w:cs="仿宋_GB2312"/>
          <w:sz w:val="32"/>
          <w:szCs w:val="32"/>
          <w:lang w:val="en-US" w:eastAsia="zh-CN"/>
        </w:rPr>
        <w:t>充分利用微信公众号等新媒体平台，发布法律法规知识和法治建设工作动态，扩大法治宣传的覆盖面和影响力。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通过以上举措，全乡居民群众的法律意识和法治观念得到了进一步提高，营造了良好的法治氛围。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（二）完善依法行政制度体系，提高依法行政水平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1.加强规范性文件管理。</w:t>
      </w:r>
      <w:r>
        <w:rPr>
          <w:rFonts w:hint="eastAsia" w:ascii="仿宋_GB2312" w:hAnsi="仿宋_GB2312" w:eastAsia="仿宋_GB2312" w:cs="仿宋_GB2312"/>
          <w:sz w:val="32"/>
          <w:szCs w:val="32"/>
          <w:lang w:val="en-US" w:eastAsia="zh-CN"/>
        </w:rPr>
        <w:t>严格按照规范性文件制定程序，对我乡制定的规范性文件进行合法性审查和备案，确保规范性文件的合法性和有效性。同时，定期对规范性文件进行清理，及时废止或修改不符合法律法规和政策要求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2.规范执法行为。</w:t>
      </w:r>
      <w:r>
        <w:rPr>
          <w:rFonts w:hint="eastAsia" w:ascii="仿宋_GB2312" w:hAnsi="仿宋_GB2312" w:eastAsia="仿宋_GB2312" w:cs="仿宋_GB2312"/>
          <w:sz w:val="32"/>
          <w:szCs w:val="32"/>
          <w:lang w:val="en-US" w:eastAsia="zh-CN"/>
        </w:rPr>
        <w:t>加强对执法人员的培训和管理，确保执法人员具备相应的法律知识和执法能力。同时，规范执法程序，严格落实执法全过程记录制度，提高执法的公正性和透明度。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通过完善依法行政制度体系，我乡的依法行政水平得到了进一步提高，有效维护了政府的公信力和权威性。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（三）优化政务服务，提升政府服务效能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1.推进政务公开。</w:t>
      </w:r>
      <w:r>
        <w:rPr>
          <w:rFonts w:hint="eastAsia" w:ascii="仿宋_GB2312" w:hAnsi="仿宋_GB2312" w:eastAsia="仿宋_GB2312" w:cs="仿宋_GB2312"/>
          <w:sz w:val="32"/>
          <w:szCs w:val="32"/>
          <w:lang w:val="en-US" w:eastAsia="zh-CN"/>
        </w:rPr>
        <w:t>认真贯彻落实政府信息公开条例，坚持以公开为常态、不公开为例外的原则，全面推进政务公开。通过政府网站、政务新媒体等平台，及时公开政府信息，保障了居民群众的知情权、参与权和监督权。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2.优化政务服务流程。</w:t>
      </w:r>
      <w:r>
        <w:rPr>
          <w:rFonts w:hint="eastAsia" w:ascii="仿宋_GB2312" w:hAnsi="仿宋_GB2312" w:eastAsia="仿宋_GB2312" w:cs="仿宋_GB2312"/>
          <w:sz w:val="32"/>
          <w:szCs w:val="32"/>
          <w:lang w:val="en-US" w:eastAsia="zh-CN"/>
        </w:rPr>
        <w:t>深入推进“放管服”改革，优化政务服务流程，简化办事程序，提高办事效率。加强政务服务中心建设，完善服务设施，提高服务质量，为居民群众提供优质高效的政务服务。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3.加强电子政务建设。</w:t>
      </w:r>
      <w:r>
        <w:rPr>
          <w:rFonts w:hint="eastAsia" w:ascii="仿宋_GB2312" w:hAnsi="仿宋_GB2312" w:eastAsia="仿宋_GB2312" w:cs="仿宋_GB2312"/>
          <w:sz w:val="32"/>
          <w:szCs w:val="32"/>
          <w:lang w:val="en-US" w:eastAsia="zh-CN"/>
        </w:rPr>
        <w:t>积极推进电子政务建设，实现了政务服务事项网上办理，提高了政务服务的信息化水平。同时，加强对电子政务系统的管理和维护，确保系统安全稳定运行。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通过优化政务服务，我乡的政府服务效能得到了显著提升，居民群众的满意度不断提高。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（四）加强社会治理，维护社会和谐稳定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1.完善矛盾纠纷多元化解机制。</w:t>
      </w:r>
      <w:r>
        <w:rPr>
          <w:rFonts w:hint="eastAsia" w:ascii="仿宋_GB2312" w:hAnsi="仿宋_GB2312" w:eastAsia="仿宋_GB2312" w:cs="仿宋_GB2312"/>
          <w:sz w:val="32"/>
          <w:szCs w:val="32"/>
          <w:lang w:val="en-US" w:eastAsia="zh-CN"/>
        </w:rPr>
        <w:t>建立了乡、村、网格三级矛盾纠纷排查化解工作体系，加强对矛盾纠纷的排查和调处，及时化解各类矛盾纠纷。同时，加强人民调解、行政调解、司法调解的衔接配合，完善矛盾纠纷多元化解机制，提高矛盾纠纷化解的成功率和效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2.加强社会治安综合治理。</w:t>
      </w:r>
      <w:r>
        <w:rPr>
          <w:rFonts w:hint="eastAsia" w:ascii="仿宋_GB2312" w:hAnsi="仿宋_GB2312" w:eastAsia="仿宋_GB2312" w:cs="仿宋_GB2312"/>
          <w:sz w:val="32"/>
          <w:szCs w:val="32"/>
          <w:lang w:val="en-US" w:eastAsia="zh-CN"/>
        </w:rPr>
        <w:t>组织参与“护学岗”等行动，加强对重点人群、重点区域的管理和防控，消除安全隐患，确保社会大局稳定。有效确保了瀼河一小等重点区域的安全稳定。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3.加强安全生产监管。</w:t>
      </w:r>
      <w:r>
        <w:rPr>
          <w:rFonts w:hint="eastAsia" w:ascii="仿宋_GB2312" w:hAnsi="仿宋_GB2312" w:eastAsia="仿宋_GB2312" w:cs="仿宋_GB2312"/>
          <w:sz w:val="32"/>
          <w:szCs w:val="32"/>
          <w:lang w:val="en-US" w:eastAsia="zh-CN"/>
        </w:rPr>
        <w:t>严格落实安全生产责任制，加强对安全生产工作的监督检查，及时发现和消除各类安全隐患，防止安全生产事故的发生。同时，加强对安全生产法律法规的宣传教育，提高企业和居民群众的安全生产意识。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通过加强社会治理，我乡的社会和谐稳定得到了有效维护，居民群众的安全感和幸福感不断增强。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三、2024年度推进法治政府建设存在的不足，原因和问题整改情况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（一）存在的不足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1.法治宣传教育的针对性和实效性有待提高。</w:t>
      </w:r>
      <w:r>
        <w:rPr>
          <w:rFonts w:hint="eastAsia" w:ascii="仿宋_GB2312" w:hAnsi="仿宋_GB2312" w:eastAsia="仿宋_GB2312" w:cs="仿宋_GB2312"/>
          <w:sz w:val="32"/>
          <w:szCs w:val="32"/>
          <w:lang w:val="en-US" w:eastAsia="zh-CN"/>
        </w:rPr>
        <w:t>虽然开展了形式多样的法治宣传教育活动，但在宣传内容和方式上还存在一些不足之处，对不同群体的法律需求了解不够深入，导致法治宣传教育的针对性和实效性不够强。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2.执法队伍建设有待加强。</w:t>
      </w:r>
      <w:r>
        <w:rPr>
          <w:rFonts w:hint="eastAsia" w:ascii="仿宋_GB2312" w:hAnsi="仿宋_GB2312" w:eastAsia="仿宋_GB2312" w:cs="仿宋_GB2312"/>
          <w:sz w:val="32"/>
          <w:szCs w:val="32"/>
          <w:lang w:val="en-US" w:eastAsia="zh-CN"/>
        </w:rPr>
        <w:t>执法人员的法律知识和执法能力还有待提高，部分执法人员存在执法不规范、不严格的问题。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3.法治建设工作创新不足。</w:t>
      </w:r>
      <w:r>
        <w:rPr>
          <w:rFonts w:hint="eastAsia" w:ascii="仿宋_GB2312" w:hAnsi="仿宋_GB2312" w:eastAsia="仿宋_GB2312" w:cs="仿宋_GB2312"/>
          <w:sz w:val="32"/>
          <w:szCs w:val="32"/>
          <w:lang w:val="en-US" w:eastAsia="zh-CN"/>
        </w:rPr>
        <w:t>在法治建设工作中，创新意识不够强，工作方式方法较为传统，缺乏创新性和亮点。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1.对法治宣传教育的重视程度不够。</w:t>
      </w:r>
      <w:r>
        <w:rPr>
          <w:rFonts w:hint="eastAsia" w:ascii="仿宋_GB2312" w:hAnsi="仿宋_GB2312" w:eastAsia="仿宋_GB2312" w:cs="仿宋_GB2312"/>
          <w:sz w:val="32"/>
          <w:szCs w:val="32"/>
          <w:lang w:val="en-US" w:eastAsia="zh-CN"/>
        </w:rPr>
        <w:t>部分工作人员对法治宣传教育的重要性认识不足，没有将法治宣传教育工作作为一项重要的工作来抓，导致工作落实不到位。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2.执法培训和管理不够严格。</w:t>
      </w:r>
      <w:r>
        <w:rPr>
          <w:rFonts w:hint="eastAsia" w:ascii="仿宋_GB2312" w:hAnsi="仿宋_GB2312" w:eastAsia="仿宋_GB2312" w:cs="仿宋_GB2312"/>
          <w:sz w:val="32"/>
          <w:szCs w:val="32"/>
          <w:lang w:val="en-US" w:eastAsia="zh-CN"/>
        </w:rPr>
        <w:t>对执法人员的培训和管理不够严格，执法人员执法能力和执法素质有待进一步提高。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3.缺乏创新意识和能力。</w:t>
      </w:r>
      <w:r>
        <w:rPr>
          <w:rFonts w:hint="eastAsia" w:ascii="仿宋_GB2312" w:hAnsi="仿宋_GB2312" w:eastAsia="仿宋_GB2312" w:cs="仿宋_GB2312"/>
          <w:sz w:val="32"/>
          <w:szCs w:val="32"/>
          <w:lang w:val="en-US" w:eastAsia="zh-CN"/>
        </w:rPr>
        <w:t>部分工作人员缺乏创新意识和能力，习惯于按部就班地开展工作，对新情况、新问题缺乏深入的研究和思考，导致工作创新不足。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1.加强法治宣传教育的针对性和实效性。</w:t>
      </w:r>
      <w:r>
        <w:rPr>
          <w:rFonts w:hint="eastAsia" w:ascii="仿宋_GB2312" w:hAnsi="仿宋_GB2312" w:eastAsia="仿宋_GB2312" w:cs="仿宋_GB2312"/>
          <w:sz w:val="32"/>
          <w:szCs w:val="32"/>
          <w:lang w:val="en-US" w:eastAsia="zh-CN"/>
        </w:rPr>
        <w:t>深入了解不同群体的法律需求，根据不同群体的特点和需求，制定有针对性的法治宣传教育方案，采取多样化的宣传方式，提高法治宣传教育的针对性和实效性。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2.加强执法队伍建设。</w:t>
      </w:r>
      <w:r>
        <w:rPr>
          <w:rFonts w:hint="eastAsia" w:ascii="仿宋_GB2312" w:hAnsi="仿宋_GB2312" w:eastAsia="仿宋_GB2312" w:cs="仿宋_GB2312"/>
          <w:sz w:val="32"/>
          <w:szCs w:val="32"/>
          <w:lang w:val="en-US" w:eastAsia="zh-CN"/>
        </w:rPr>
        <w:t>加强对执法人员的培训和管理，定期组织执法人员参加法律培训和业务培训，提高执法人员的法律知识和执法能力。建立健全执法考核机制和激励机制，对执法规范、严格的执法人员进行表彰和奖励，对执法不规范、不严格的执法人员进行批评和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3.加强法治建设工作创新。</w:t>
      </w:r>
      <w:r>
        <w:rPr>
          <w:rFonts w:hint="eastAsia" w:ascii="仿宋_GB2312" w:hAnsi="仿宋_GB2312" w:eastAsia="仿宋_GB2312" w:cs="仿宋_GB2312"/>
          <w:sz w:val="32"/>
          <w:szCs w:val="32"/>
          <w:lang w:val="en-US" w:eastAsia="zh-CN"/>
        </w:rPr>
        <w:t>鼓励工作人员积极创新工作方式方法，结合我乡实际情况，探索具有特色的法治建设工作模式和经验。加强对法治建设工作的研究和思考，及时总结工作中的经验教训，不断推动法治建设工作创新发展。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四、下一年度推进法治政府建设的初步安排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（一）坚持学法用法，树牢法治意识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组织参加机关干部普法培训，学习《宪法》《中国共产党章程》《中国共产党农村基层组织工作条例》等专业知识，加大法律法规学习力度，不断提升全体机关干部的法治素养、法治意识。坚持重视法治素养和法治能力的用人导向，把是否具备运用法治思维和法治方式破解难题能力作为考察使用干部的重要依据，把法律知识考查和依法行政能力测试作为提拔任用干部的重要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（二）强化法治思维，严格依法办事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刻认识依法治国的重大意义，带头学法用法。树立正确的政绩观，把遵纪守法、依法办事作为履职尽责、安身立命最基本的要求，立足于服务全乡农业农村和谐稳定发展大局，坚持做到法无授权不可为，法定责任必须为，让权利和责任在法治的阳光下运行。进一步明确法治建设职责，建立健全党委定期听取法治建设进展汇报、研究法治建设重大事项等工作制度，切实加大监督检查力度，压实压紧法治建设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（三）创新宣传手段，提升宣传实效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坚持把法治宣传教育作为重要的基础保障性工作来抓，进一步健全完善领导干部和工作人员学法用法制度，创新宣传方式，通过组织开展以案说法等活动，进一步增强干部群众法治观念和依法办事能力，切实满足辖区群众司法需求。同时，积极创新普法理念、工作机制和方式方法，充分利用宪法宣传日、全国安全生产月等重要节日，采取广播、横幅、抖音微信平台等多种形式开展有关法治宣传教育活动，扩宽群众参与普法的机制渠道，逐步凝聚成人人参与、惠及人人的全社会法治风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的工作中，我们将以习近平新时代中国特色社会主义思想为指导，深入贯彻落实党的二十大精神和习近平法治思想，进一步加强组织领导，完善工作机制，加大工作力度，不断推进法治政府建设取得新成效，为我乡经济社会发展提供坚实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B24E45-AC48-46C6-92B2-DDF084B7F3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A888D25-578D-4F64-A15F-3BB1A33C53D2}"/>
  </w:font>
  <w:font w:name="方正小标宋简体">
    <w:panose1 w:val="03000509000000000000"/>
    <w:charset w:val="86"/>
    <w:family w:val="auto"/>
    <w:pitch w:val="default"/>
    <w:sig w:usb0="00000001" w:usb1="080E0000" w:usb2="00000000" w:usb3="00000000" w:csb0="00040000" w:csb1="00000000"/>
    <w:embedRegular r:id="rId3" w:fontKey="{EC2D4337-3148-4062-9ECF-5031A32B9974}"/>
  </w:font>
  <w:font w:name="仿宋_GB2312">
    <w:panose1 w:val="02010609030101010101"/>
    <w:charset w:val="86"/>
    <w:family w:val="auto"/>
    <w:pitch w:val="default"/>
    <w:sig w:usb0="00000001" w:usb1="080E0000" w:usb2="00000000" w:usb3="00000000" w:csb0="00040000" w:csb1="00000000"/>
    <w:embedRegular r:id="rId4" w:fontKey="{9FF1B2C8-F5F4-491F-A26C-5D48272726E6}"/>
  </w:font>
  <w:font w:name="楷体">
    <w:panose1 w:val="02010609060101010101"/>
    <w:charset w:val="86"/>
    <w:family w:val="auto"/>
    <w:pitch w:val="default"/>
    <w:sig w:usb0="800002BF" w:usb1="38CF7CFA" w:usb2="00000016" w:usb3="00000000" w:csb0="00040001" w:csb1="00000000"/>
    <w:embedRegular r:id="rId5" w:fontKey="{D306B76D-2A3E-43AE-B3E2-104B960B0A9D}"/>
  </w:font>
  <w:font w:name="楷体_GB2312">
    <w:panose1 w:val="02010609030101010101"/>
    <w:charset w:val="86"/>
    <w:family w:val="auto"/>
    <w:pitch w:val="default"/>
    <w:sig w:usb0="00000001" w:usb1="080E0000" w:usb2="00000000" w:usb3="00000000" w:csb0="00040000" w:csb1="00000000"/>
    <w:embedRegular r:id="rId6" w:fontKey="{7CF011E7-B9F5-47B5-9F4F-EAA1459C70E2}"/>
  </w:font>
  <w:font w:name="仿宋">
    <w:panose1 w:val="02010609060101010101"/>
    <w:charset w:val="86"/>
    <w:family w:val="auto"/>
    <w:pitch w:val="default"/>
    <w:sig w:usb0="800002BF" w:usb1="38CF7CFA" w:usb2="00000016" w:usb3="00000000" w:csb0="00040001" w:csb1="00000000"/>
    <w:embedRegular r:id="rId7" w:fontKey="{85845575-6301-4BE5-AB4E-0FA08AE108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 w:hAnsi="楷体" w:eastAsia="楷体" w:cs="楷体"/>
                              <w:sz w:val="28"/>
                              <w:szCs w:val="44"/>
                            </w:rPr>
                          </w:pPr>
                          <w:r>
                            <w:rPr>
                              <w:rFonts w:hint="eastAsia" w:ascii="楷体" w:hAnsi="楷体" w:eastAsia="楷体" w:cs="楷体"/>
                              <w:sz w:val="28"/>
                              <w:szCs w:val="44"/>
                            </w:rPr>
                            <w:t xml:space="preserve">— </w:t>
                          </w:r>
                          <w:r>
                            <w:rPr>
                              <w:rFonts w:hint="eastAsia" w:ascii="楷体" w:hAnsi="楷体" w:eastAsia="楷体" w:cs="楷体"/>
                              <w:sz w:val="28"/>
                              <w:szCs w:val="44"/>
                            </w:rPr>
                            <w:fldChar w:fldCharType="begin"/>
                          </w:r>
                          <w:r>
                            <w:rPr>
                              <w:rFonts w:hint="eastAsia" w:ascii="楷体" w:hAnsi="楷体" w:eastAsia="楷体" w:cs="楷体"/>
                              <w:sz w:val="28"/>
                              <w:szCs w:val="44"/>
                            </w:rPr>
                            <w:instrText xml:space="preserve"> PAGE  \* MERGEFORMAT </w:instrText>
                          </w:r>
                          <w:r>
                            <w:rPr>
                              <w:rFonts w:hint="eastAsia" w:ascii="楷体" w:hAnsi="楷体" w:eastAsia="楷体" w:cs="楷体"/>
                              <w:sz w:val="28"/>
                              <w:szCs w:val="44"/>
                            </w:rPr>
                            <w:fldChar w:fldCharType="separate"/>
                          </w:r>
                          <w:r>
                            <w:rPr>
                              <w:rFonts w:hint="eastAsia" w:ascii="楷体" w:hAnsi="楷体" w:eastAsia="楷体" w:cs="楷体"/>
                              <w:sz w:val="28"/>
                              <w:szCs w:val="44"/>
                            </w:rPr>
                            <w:t>1</w:t>
                          </w:r>
                          <w:r>
                            <w:rPr>
                              <w:rFonts w:hint="eastAsia" w:ascii="楷体" w:hAnsi="楷体" w:eastAsia="楷体" w:cs="楷体"/>
                              <w:sz w:val="28"/>
                              <w:szCs w:val="44"/>
                            </w:rPr>
                            <w:fldChar w:fldCharType="end"/>
                          </w:r>
                          <w:r>
                            <w:rPr>
                              <w:rFonts w:hint="eastAsia" w:ascii="楷体" w:hAnsi="楷体" w:eastAsia="楷体" w:cs="楷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楷体" w:hAnsi="楷体" w:eastAsia="楷体" w:cs="楷体"/>
                        <w:sz w:val="28"/>
                        <w:szCs w:val="44"/>
                      </w:rPr>
                    </w:pPr>
                    <w:r>
                      <w:rPr>
                        <w:rFonts w:hint="eastAsia" w:ascii="楷体" w:hAnsi="楷体" w:eastAsia="楷体" w:cs="楷体"/>
                        <w:sz w:val="28"/>
                        <w:szCs w:val="44"/>
                      </w:rPr>
                      <w:t xml:space="preserve">— </w:t>
                    </w:r>
                    <w:r>
                      <w:rPr>
                        <w:rFonts w:hint="eastAsia" w:ascii="楷体" w:hAnsi="楷体" w:eastAsia="楷体" w:cs="楷体"/>
                        <w:sz w:val="28"/>
                        <w:szCs w:val="44"/>
                      </w:rPr>
                      <w:fldChar w:fldCharType="begin"/>
                    </w:r>
                    <w:r>
                      <w:rPr>
                        <w:rFonts w:hint="eastAsia" w:ascii="楷体" w:hAnsi="楷体" w:eastAsia="楷体" w:cs="楷体"/>
                        <w:sz w:val="28"/>
                        <w:szCs w:val="44"/>
                      </w:rPr>
                      <w:instrText xml:space="preserve"> PAGE  \* MERGEFORMAT </w:instrText>
                    </w:r>
                    <w:r>
                      <w:rPr>
                        <w:rFonts w:hint="eastAsia" w:ascii="楷体" w:hAnsi="楷体" w:eastAsia="楷体" w:cs="楷体"/>
                        <w:sz w:val="28"/>
                        <w:szCs w:val="44"/>
                      </w:rPr>
                      <w:fldChar w:fldCharType="separate"/>
                    </w:r>
                    <w:r>
                      <w:rPr>
                        <w:rFonts w:hint="eastAsia" w:ascii="楷体" w:hAnsi="楷体" w:eastAsia="楷体" w:cs="楷体"/>
                        <w:sz w:val="28"/>
                        <w:szCs w:val="44"/>
                      </w:rPr>
                      <w:t>1</w:t>
                    </w:r>
                    <w:r>
                      <w:rPr>
                        <w:rFonts w:hint="eastAsia" w:ascii="楷体" w:hAnsi="楷体" w:eastAsia="楷体" w:cs="楷体"/>
                        <w:sz w:val="28"/>
                        <w:szCs w:val="44"/>
                      </w:rPr>
                      <w:fldChar w:fldCharType="end"/>
                    </w:r>
                    <w:r>
                      <w:rPr>
                        <w:rFonts w:hint="eastAsia" w:ascii="楷体" w:hAnsi="楷体" w:eastAsia="楷体" w:cs="楷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45c7d411-9ff8-4e8a-bc44-9c1350b8493c"/>
  </w:docVars>
  <w:rsids>
    <w:rsidRoot w:val="02D3750E"/>
    <w:rsid w:val="02D3750E"/>
    <w:rsid w:val="0AD876A7"/>
    <w:rsid w:val="107D71A6"/>
    <w:rsid w:val="13FE555A"/>
    <w:rsid w:val="2166373D"/>
    <w:rsid w:val="2230171F"/>
    <w:rsid w:val="24D74E69"/>
    <w:rsid w:val="252D0072"/>
    <w:rsid w:val="2CDE1714"/>
    <w:rsid w:val="34BF29C7"/>
    <w:rsid w:val="390252B8"/>
    <w:rsid w:val="3A491F6A"/>
    <w:rsid w:val="42E50D56"/>
    <w:rsid w:val="4B687749"/>
    <w:rsid w:val="5C2E1802"/>
    <w:rsid w:val="65281815"/>
    <w:rsid w:val="6B5940FA"/>
    <w:rsid w:val="70E440E3"/>
    <w:rsid w:val="7369085D"/>
    <w:rsid w:val="77196938"/>
    <w:rsid w:val="797C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16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3818</Words>
  <Characters>3864</Characters>
  <Lines>0</Lines>
  <Paragraphs>0</Paragraphs>
  <TotalTime>26</TotalTime>
  <ScaleCrop>false</ScaleCrop>
  <LinksUpToDate>false</LinksUpToDate>
  <CharactersWithSpaces>3876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2024-12-31T03:47:00Z</dcterms:created>
  <dc:creator>黑猫</dc:creator>
  <cp:lastModifiedBy>86177</cp:lastModifiedBy>
  <cp:lastPrinted>2025-01-03T03:24:00Z</cp:lastPrinted>
  <dcterms:modified xsi:type="dcterms:W3CDTF">2025-03-05T00:57:46Z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D54044DA0DDF4D0D84BBFF3B2AC08C8A_13</vt:lpwstr>
  </property>
  <property fmtid="{D5CDD505-2E9C-101B-9397-08002B2CF9AE}" pid="4" name="KSOTemplateDocerSaveRecord">
    <vt:lpwstr>eyJoZGlkIjoiOGMzYzVlMjAzY2E0N2Q0OTIzNzU2NDlkZDY5Y2YwNTciLCJ1c2VySWQiOiI1MTQyMDM3NzEifQ==</vt:lpwstr>
  </property>
</Properties>
</file>