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ABF8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鲁山县供销社</w:t>
      </w:r>
    </w:p>
    <w:p w14:paraId="1E43466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关于2023年专项债券使用情况信息公开 </w:t>
      </w:r>
    </w:p>
    <w:p w14:paraId="5C71AFA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19BD34B"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一、2023年鲁山县供销社为农服务中心建设项目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10788.45万元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18EDFBB7">
      <w:p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（一）2023年项目情况</w:t>
      </w:r>
    </w:p>
    <w:p w14:paraId="773A5FC5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鲁山县综合性为农服务中心建设项目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，项目单位为鲁山县供销社。</w:t>
      </w:r>
    </w:p>
    <w:p w14:paraId="22691182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项目建设内容：</w:t>
      </w:r>
    </w:p>
    <w:p w14:paraId="37B51CA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鲁山县综合性为农服务中心建设项目，覆盖张店乡、马楼乡、熊背乡、赵村镇、背孜乡、辛集镇等6个乡镇。项目占地面积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35233.76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㎡（合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52.85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亩），总建筑面积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29833.00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㎡，拆除原有老旧建筑共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14425.58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㎡。具体情况如下：</w:t>
      </w:r>
    </w:p>
    <w:p w14:paraId="753BF6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张店供销社为农服务中心：投资1388.9万元，占地面积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5795.99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1354.00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4059.00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㎡，配套建设停车场地、道路、绿化等； </w:t>
      </w:r>
    </w:p>
    <w:p w14:paraId="3F84B69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马楼供销社为农服务中心：投资2497.8万元，占地面积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14783.26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3234.00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7114.00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㎡，配套建设停车场地、道路、绿化等； </w:t>
      </w:r>
    </w:p>
    <w:p w14:paraId="57225E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熊背供销社为农服务中心：投资889.4万元，占地面积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3769.16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1730.00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1362.00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㎡，配套建设停车场地、道路、绿化等； </w:t>
      </w:r>
    </w:p>
    <w:p w14:paraId="41086A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赵村供销社为农服务中心：投资1492.7万元，占地面积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5274.98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210.00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5316.00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㎡，配套建设停车场地、道路、绿化等； </w:t>
      </w:r>
    </w:p>
    <w:p w14:paraId="1C4DD0B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背孜供销社为农服务中心：投资643.5万元，占地面积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2110.11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690.00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1524.00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㎡，配套建设停车场地、道路、绿化等； </w:t>
      </w:r>
    </w:p>
    <w:p w14:paraId="6E92AE7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辛集供销社为农服务中心：投资859.4万元，占地面积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3500.26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㎡，仓储物流厂房（不存放化工类产品）建筑面积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1435.00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㎡，展销及培训用房建筑面积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1805.00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㎡，配套建设停车场地、道路、绿化等。</w:t>
      </w:r>
    </w:p>
    <w:p w14:paraId="1AA0F9E3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债券资金发行使用情况：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2023年6月发行使用专项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债券1800万元，债券期限30年，年利率3.13%。</w:t>
      </w:r>
    </w:p>
    <w:p w14:paraId="5B68695D"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4、项目收益实现及资产管理情况：截至2024年末项目暂未建设完成，未进入运营期，暂无收益。</w:t>
      </w:r>
    </w:p>
    <w:p w14:paraId="34E0497D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5、项目已按要求开展相关绩效评价，评价结果为良。</w:t>
      </w:r>
    </w:p>
    <w:p w14:paraId="00AC50F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AD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ADC6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ADC6B"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A3F40"/>
    <w:multiLevelType w:val="singleLevel"/>
    <w:tmpl w:val="01BA3F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E1E18"/>
    <w:rsid w:val="0E145B5B"/>
    <w:rsid w:val="13EF1ABD"/>
    <w:rsid w:val="59AE1E18"/>
    <w:rsid w:val="629C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944</Characters>
  <Lines>0</Lines>
  <Paragraphs>0</Paragraphs>
  <TotalTime>2</TotalTime>
  <ScaleCrop>false</ScaleCrop>
  <LinksUpToDate>false</LinksUpToDate>
  <CharactersWithSpaces>989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2025-05-29T01:31:00Z</dcterms:created>
  <dc:creator>。</dc:creator>
  <cp:lastModifiedBy>。</cp:lastModifiedBy>
  <dcterms:modified xsi:type="dcterms:W3CDTF">2025-05-29T02:18:55Z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92B3E7DC06C64124B593B3A194CD5287_11</vt:lpwstr>
  </property>
  <property fmtid="{D5CDD505-2E9C-101B-9397-08002B2CF9AE}" pid="4" name="KSOTemplateDocerSaveRecord">
    <vt:lpwstr>eyJoZGlkIjoiMDQ2NTg3OTNjYjNiMWU5ZmFiYzkxNmI0MTRhNjQxZTEiLCJ1c2VySWQiOiI3NzM5MDU2MzIifQ==</vt:lpwstr>
  </property>
</Properties>
</file>