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A4F3D">
      <w:pPr>
        <w:keepNext w:val="0"/>
        <w:keepLines w:val="0"/>
        <w:pageBreakBefore w:val="0"/>
        <w:widowControl w:val="0"/>
        <w:kinsoku/>
        <w:wordWrap/>
        <w:overflowPunct/>
        <w:topLinePunct w:val="0"/>
        <w:autoSpaceDE/>
        <w:autoSpaceDN/>
        <w:bidi w:val="0"/>
        <w:adjustRightInd/>
        <w:snapToGrid w:val="0"/>
        <w:spacing w:line="579" w:lineRule="exact"/>
        <w:ind w:right="0"/>
        <w:jc w:val="both"/>
        <w:textAlignment w:val="auto"/>
        <w:rPr>
          <w:rFonts w:hint="eastAsia" w:ascii="Times New Roman" w:hAnsi="Times New Roman" w:eastAsia="方正小标宋简体" w:cs="Times New Roman"/>
          <w:snapToGrid/>
          <w:kern w:val="2"/>
          <w:sz w:val="44"/>
          <w:szCs w:val="24"/>
          <w:lang w:eastAsia="zh-CN"/>
        </w:rPr>
      </w:pPr>
      <w:r>
        <w:rPr>
          <w:rFonts w:hint="eastAsia" w:ascii="Times New Roman" w:hAnsi="Times New Roman" w:eastAsia="方正小标宋简体" w:cs="Times New Roman"/>
          <w:snapToGrid/>
          <w:kern w:val="2"/>
          <w:sz w:val="44"/>
          <w:szCs w:val="24"/>
          <w:lang w:val="en-US" w:eastAsia="zh-CN"/>
        </w:rPr>
        <w:t>磙子营乡</w:t>
      </w:r>
      <w:r>
        <w:rPr>
          <w:rFonts w:hint="eastAsia" w:ascii="Times New Roman" w:hAnsi="Times New Roman" w:eastAsia="方正小标宋简体" w:cs="Times New Roman"/>
          <w:snapToGrid/>
          <w:kern w:val="2"/>
          <w:sz w:val="44"/>
          <w:szCs w:val="24"/>
          <w:lang w:eastAsia="zh-CN"/>
        </w:rPr>
        <w:t>经营性自建房“带险经营”专项整治</w:t>
      </w:r>
    </w:p>
    <w:p w14:paraId="75886B31">
      <w:pPr>
        <w:keepNext w:val="0"/>
        <w:keepLines w:val="0"/>
        <w:pageBreakBefore w:val="0"/>
        <w:widowControl w:val="0"/>
        <w:kinsoku/>
        <w:wordWrap/>
        <w:overflowPunct/>
        <w:topLinePunct w:val="0"/>
        <w:autoSpaceDE/>
        <w:autoSpaceDN/>
        <w:bidi w:val="0"/>
        <w:adjustRightInd/>
        <w:snapToGrid w:val="0"/>
        <w:spacing w:line="579" w:lineRule="exact"/>
        <w:ind w:right="0"/>
        <w:jc w:val="center"/>
        <w:textAlignment w:val="auto"/>
        <w:rPr>
          <w:rFonts w:hint="eastAsia" w:ascii="Times New Roman" w:hAnsi="Times New Roman" w:eastAsia="方正小标宋简体" w:cs="Times New Roman"/>
          <w:snapToGrid/>
          <w:kern w:val="2"/>
          <w:sz w:val="44"/>
          <w:szCs w:val="24"/>
          <w:lang w:eastAsia="zh-CN"/>
        </w:rPr>
      </w:pPr>
      <w:r>
        <w:rPr>
          <w:rFonts w:hint="eastAsia" w:ascii="Times New Roman" w:hAnsi="Times New Roman" w:eastAsia="方正小标宋简体" w:cs="Times New Roman"/>
          <w:snapToGrid/>
          <w:kern w:val="2"/>
          <w:sz w:val="44"/>
          <w:szCs w:val="24"/>
          <w:lang w:eastAsia="zh-CN"/>
        </w:rPr>
        <w:t>工作方案（</w:t>
      </w:r>
      <w:r>
        <w:rPr>
          <w:rFonts w:hint="eastAsia" w:ascii="Times New Roman" w:hAnsi="Times New Roman" w:eastAsia="方正小标宋简体" w:cs="Times New Roman"/>
          <w:snapToGrid/>
          <w:kern w:val="2"/>
          <w:sz w:val="44"/>
          <w:szCs w:val="24"/>
          <w:lang w:val="en-US" w:eastAsia="zh-CN"/>
        </w:rPr>
        <w:t>征求意见稿</w:t>
      </w:r>
      <w:r>
        <w:rPr>
          <w:rFonts w:hint="eastAsia" w:ascii="Times New Roman" w:hAnsi="Times New Roman" w:eastAsia="方正小标宋简体" w:cs="Times New Roman"/>
          <w:snapToGrid/>
          <w:kern w:val="2"/>
          <w:sz w:val="44"/>
          <w:szCs w:val="24"/>
          <w:lang w:eastAsia="zh-CN"/>
        </w:rPr>
        <w:t>）</w:t>
      </w:r>
    </w:p>
    <w:p w14:paraId="7561DB95">
      <w:pPr>
        <w:keepNext w:val="0"/>
        <w:keepLines w:val="0"/>
        <w:pageBreakBefore w:val="0"/>
        <w:wordWrap/>
        <w:overflowPunct/>
        <w:topLinePunct w:val="0"/>
        <w:bidi w:val="0"/>
        <w:spacing w:line="579" w:lineRule="exact"/>
        <w:ind w:left="0" w:leftChars="0" w:right="0" w:firstLine="980" w:firstLineChars="200"/>
        <w:jc w:val="both"/>
        <w:rPr>
          <w:rFonts w:hint="eastAsia" w:ascii="仿宋_GB2312" w:hAnsi="仿宋_GB2312" w:eastAsia="仿宋_GB2312" w:cs="仿宋_GB2312"/>
          <w:spacing w:val="5"/>
          <w:sz w:val="48"/>
          <w:szCs w:val="48"/>
          <w:lang w:val="en-US" w:eastAsia="zh-CN"/>
        </w:rPr>
      </w:pPr>
    </w:p>
    <w:p w14:paraId="515AAD48">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 w:hAnsi="仿宋" w:eastAsia="仿宋" w:cs="仿宋"/>
          <w:snapToGrid/>
          <w:kern w:val="2"/>
          <w:sz w:val="32"/>
          <w:szCs w:val="32"/>
          <w:lang w:val="en-US" w:eastAsia="zh-CN"/>
        </w:rPr>
      </w:pPr>
      <w:r>
        <w:rPr>
          <w:rFonts w:hint="eastAsia" w:ascii="仿宋" w:hAnsi="仿宋" w:eastAsia="仿宋" w:cs="仿宋"/>
          <w:snapToGrid/>
          <w:kern w:val="2"/>
          <w:sz w:val="32"/>
          <w:szCs w:val="32"/>
          <w:lang w:val="en-US" w:eastAsia="zh-CN"/>
        </w:rPr>
        <w:t>为深刻汲取沈丘县“2·14”民房浴池局部垮塌事故教训，全面贯彻落实省、市、县工作安排，消除我乡辖区内各类人员密集、公众聚集经营性自建房安全隐患，杜绝“带险经营”行为，做好合规经营，切实保障人民群众生命财产安全，结合我乡实际，制定本方案。</w:t>
      </w:r>
    </w:p>
    <w:p w14:paraId="52CBE0A6">
      <w:pPr>
        <w:keepNext w:val="0"/>
        <w:keepLines w:val="0"/>
        <w:pageBreakBefore w:val="0"/>
        <w:widowControl w:val="0"/>
        <w:kinsoku/>
        <w:wordWrap/>
        <w:overflowPunct/>
        <w:topLinePunct w:val="0"/>
        <w:autoSpaceDE/>
        <w:autoSpaceDN/>
        <w:bidi w:val="0"/>
        <w:adjustRightInd/>
        <w:snapToGrid/>
        <w:spacing w:line="579" w:lineRule="exact"/>
        <w:ind w:left="0" w:leftChars="0" w:right="0" w:firstLine="643" w:firstLineChars="200"/>
        <w:jc w:val="both"/>
        <w:textAlignment w:val="auto"/>
        <w:rPr>
          <w:rFonts w:hint="eastAsia" w:ascii="仿宋" w:hAnsi="仿宋" w:eastAsia="仿宋" w:cs="仿宋"/>
          <w:b/>
          <w:bCs/>
          <w:snapToGrid/>
          <w:kern w:val="2"/>
          <w:sz w:val="32"/>
          <w:szCs w:val="32"/>
          <w:lang w:val="en-US" w:eastAsia="zh-CN"/>
        </w:rPr>
      </w:pPr>
      <w:r>
        <w:rPr>
          <w:rFonts w:hint="eastAsia" w:ascii="仿宋" w:hAnsi="仿宋" w:eastAsia="仿宋" w:cs="仿宋"/>
          <w:b/>
          <w:bCs/>
          <w:snapToGrid/>
          <w:kern w:val="2"/>
          <w:sz w:val="32"/>
          <w:szCs w:val="32"/>
          <w:lang w:val="en-US" w:eastAsia="zh-CN"/>
        </w:rPr>
        <w:t>一、总体要求</w:t>
      </w:r>
    </w:p>
    <w:p w14:paraId="27D7A044">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 w:hAnsi="仿宋" w:eastAsia="仿宋" w:cs="仿宋"/>
          <w:snapToGrid/>
          <w:kern w:val="2"/>
          <w:sz w:val="32"/>
          <w:szCs w:val="32"/>
          <w:lang w:val="en-US" w:eastAsia="zh-CN"/>
        </w:rPr>
      </w:pPr>
      <w:r>
        <w:rPr>
          <w:rFonts w:hint="eastAsia" w:ascii="仿宋" w:hAnsi="仿宋" w:eastAsia="仿宋" w:cs="仿宋"/>
          <w:snapToGrid/>
          <w:kern w:val="2"/>
          <w:sz w:val="32"/>
          <w:szCs w:val="32"/>
          <w:lang w:val="en-US" w:eastAsia="zh-CN"/>
        </w:rPr>
        <w:t>全面贯彻习近平总书记关于安全生产重要论述，切实增强安全生产工作的责任感和紧迫感，按照“三管三必须”“谁拥有谁负责、谁使用谁负责、谁主管谁负责、谁审批谁负责”和“党政同责、一岗双责、齐抓共管、失职追责”的原则要求，突出重点、严格标准、严肃作风，进一步压实产权人（使用人）主体责任、乡、村责任，坚决做到“带险不经营、经营不带险”，遏制房屋倒塌伤人事故发生。</w:t>
      </w:r>
    </w:p>
    <w:p w14:paraId="6204DF36">
      <w:pPr>
        <w:keepNext w:val="0"/>
        <w:keepLines w:val="0"/>
        <w:pageBreakBefore w:val="0"/>
        <w:widowControl w:val="0"/>
        <w:kinsoku/>
        <w:wordWrap/>
        <w:overflowPunct/>
        <w:topLinePunct w:val="0"/>
        <w:autoSpaceDE/>
        <w:autoSpaceDN/>
        <w:bidi w:val="0"/>
        <w:adjustRightInd/>
        <w:snapToGrid/>
        <w:spacing w:line="579" w:lineRule="exact"/>
        <w:ind w:left="0" w:leftChars="0" w:right="0" w:firstLine="643" w:firstLineChars="200"/>
        <w:jc w:val="both"/>
        <w:textAlignment w:val="auto"/>
        <w:rPr>
          <w:rFonts w:hint="eastAsia" w:ascii="仿宋" w:hAnsi="仿宋" w:eastAsia="仿宋" w:cs="仿宋"/>
          <w:b/>
          <w:bCs/>
          <w:snapToGrid/>
          <w:kern w:val="2"/>
          <w:sz w:val="32"/>
          <w:szCs w:val="32"/>
          <w:lang w:val="en-US" w:eastAsia="zh-CN"/>
        </w:rPr>
      </w:pPr>
      <w:r>
        <w:rPr>
          <w:rFonts w:hint="eastAsia" w:ascii="仿宋" w:hAnsi="仿宋" w:eastAsia="仿宋" w:cs="仿宋"/>
          <w:b/>
          <w:bCs/>
          <w:snapToGrid/>
          <w:kern w:val="2"/>
          <w:sz w:val="32"/>
          <w:szCs w:val="32"/>
          <w:lang w:val="en-US" w:eastAsia="zh-CN"/>
        </w:rPr>
        <w:t>二、主要任务</w:t>
      </w:r>
    </w:p>
    <w:p w14:paraId="5C98B7DC">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 w:hAnsi="仿宋" w:eastAsia="仿宋" w:cs="仿宋"/>
          <w:snapToGrid/>
          <w:kern w:val="2"/>
          <w:sz w:val="32"/>
          <w:szCs w:val="32"/>
          <w:lang w:val="en-US" w:eastAsia="zh-CN"/>
        </w:rPr>
      </w:pPr>
      <w:r>
        <w:rPr>
          <w:rFonts w:hint="eastAsia" w:ascii="仿宋" w:hAnsi="仿宋" w:eastAsia="仿宋" w:cs="仿宋"/>
          <w:b w:val="0"/>
          <w:bCs w:val="0"/>
          <w:snapToGrid/>
          <w:kern w:val="2"/>
          <w:sz w:val="32"/>
          <w:szCs w:val="32"/>
          <w:lang w:val="en-US" w:eastAsia="zh-CN"/>
        </w:rPr>
        <w:t>（一）排查内容。</w:t>
      </w:r>
      <w:r>
        <w:rPr>
          <w:rFonts w:hint="eastAsia" w:ascii="仿宋" w:hAnsi="仿宋" w:eastAsia="仿宋" w:cs="仿宋"/>
          <w:snapToGrid/>
          <w:kern w:val="2"/>
          <w:sz w:val="32"/>
          <w:szCs w:val="32"/>
          <w:lang w:val="en-US" w:eastAsia="zh-CN"/>
        </w:rPr>
        <w:t>重点排查人员密集、公众聚集的经营性自建房，主要排查：结构安全性，包括设计、施工、使用等情况；经营安全性，重点检查经营许可取得情况和场所安全要求落实情况；建设合规性，全面排查土地、规划、建设等审批手续办理情况。</w:t>
      </w:r>
    </w:p>
    <w:p w14:paraId="255C57A0">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 w:hAnsi="仿宋" w:eastAsia="仿宋" w:cs="仿宋"/>
          <w:snapToGrid/>
          <w:kern w:val="2"/>
          <w:sz w:val="32"/>
          <w:szCs w:val="32"/>
          <w:lang w:val="en-US" w:eastAsia="zh-CN"/>
        </w:rPr>
      </w:pPr>
      <w:r>
        <w:rPr>
          <w:rFonts w:hint="eastAsia" w:ascii="仿宋" w:hAnsi="仿宋" w:eastAsia="仿宋" w:cs="仿宋"/>
          <w:b w:val="0"/>
          <w:bCs w:val="0"/>
          <w:snapToGrid/>
          <w:kern w:val="2"/>
          <w:sz w:val="32"/>
          <w:szCs w:val="32"/>
          <w:lang w:val="en-US" w:eastAsia="zh-CN"/>
        </w:rPr>
        <w:t>（二）排查方式。</w:t>
      </w:r>
      <w:r>
        <w:rPr>
          <w:rFonts w:hint="eastAsia" w:ascii="仿宋" w:hAnsi="仿宋" w:eastAsia="仿宋" w:cs="仿宋"/>
          <w:snapToGrid/>
          <w:kern w:val="2"/>
          <w:sz w:val="32"/>
          <w:szCs w:val="32"/>
          <w:lang w:val="en-US" w:eastAsia="zh-CN"/>
        </w:rPr>
        <w:t>建立“自查+专业评估+全面核查+随机抽查”四级排查机制，严格依据住房城乡建设部《自建房结构安全排查技术要点（暂行）》，全面排查风险隐患，建立台账并实施动态管理。排查过程中，先由自建房产权人（使用人）自查，再由行业主管部门依托专业人员进行专业评估，再由乡镇全面核查，最后由乡级进行随机抽查，确保排查工作全覆盖、无遗漏。</w:t>
      </w:r>
    </w:p>
    <w:p w14:paraId="4E25DCE6">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 w:hAnsi="仿宋" w:eastAsia="仿宋" w:cs="仿宋"/>
          <w:snapToGrid/>
          <w:kern w:val="2"/>
          <w:sz w:val="32"/>
          <w:szCs w:val="32"/>
          <w:lang w:val="en-US" w:eastAsia="zh-CN"/>
        </w:rPr>
      </w:pPr>
      <w:r>
        <w:rPr>
          <w:rFonts w:hint="eastAsia" w:ascii="仿宋" w:hAnsi="仿宋" w:eastAsia="仿宋" w:cs="仿宋"/>
          <w:b w:val="0"/>
          <w:bCs w:val="0"/>
          <w:snapToGrid/>
          <w:kern w:val="2"/>
          <w:sz w:val="32"/>
          <w:szCs w:val="32"/>
          <w:lang w:val="en-US" w:eastAsia="zh-CN"/>
        </w:rPr>
        <w:t>（三）分级整治。</w:t>
      </w:r>
      <w:r>
        <w:rPr>
          <w:rFonts w:hint="eastAsia" w:ascii="仿宋" w:hAnsi="仿宋" w:eastAsia="仿宋" w:cs="仿宋"/>
          <w:snapToGrid/>
          <w:kern w:val="2"/>
          <w:sz w:val="32"/>
          <w:szCs w:val="32"/>
          <w:lang w:val="en-US" w:eastAsia="zh-CN"/>
        </w:rPr>
        <w:t>按照隐患等级实施分级处置，一般隐患立即整改，较大隐患停用整改，重大隐患撤人封房直至彻底消除隐患。充分利用前期自建房排查整治成果，对存在安全隐患未整改的经营性自建房，要抓紧完成整治；对已整改的，要逐村开展“回头看”复核，发现问题立即整改；对前期未发现隐患的，要加强日常巡查，确保隐患早发现、早处置。</w:t>
      </w:r>
    </w:p>
    <w:p w14:paraId="7166B88B">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 w:hAnsi="仿宋" w:eastAsia="仿宋" w:cs="仿宋"/>
          <w:snapToGrid/>
          <w:kern w:val="2"/>
          <w:sz w:val="32"/>
          <w:szCs w:val="32"/>
          <w:lang w:val="en-US" w:eastAsia="zh-CN"/>
        </w:rPr>
      </w:pPr>
      <w:r>
        <w:rPr>
          <w:rFonts w:hint="eastAsia" w:ascii="仿宋" w:hAnsi="仿宋" w:eastAsia="仿宋" w:cs="仿宋"/>
          <w:b w:val="0"/>
          <w:bCs w:val="0"/>
          <w:snapToGrid/>
          <w:kern w:val="2"/>
          <w:sz w:val="32"/>
          <w:szCs w:val="32"/>
          <w:lang w:val="en-US" w:eastAsia="zh-CN"/>
        </w:rPr>
        <w:t>（四）安全鉴定。</w:t>
      </w:r>
      <w:r>
        <w:rPr>
          <w:rFonts w:hint="eastAsia" w:ascii="仿宋" w:hAnsi="仿宋" w:eastAsia="仿宋" w:cs="仿宋"/>
          <w:snapToGrid/>
          <w:kern w:val="2"/>
          <w:sz w:val="32"/>
          <w:szCs w:val="32"/>
          <w:lang w:val="en-US" w:eastAsia="zh-CN"/>
        </w:rPr>
        <w:t>自建房转为经营用途的，产权人（使用人）在办理相关经营许可、开展经营活动前，应当依法依规取得房屋安全鉴定合格证明。</w:t>
      </w:r>
      <w:r>
        <w:rPr>
          <w:rFonts w:ascii="仿宋" w:hAnsi="仿宋" w:eastAsia="仿宋" w:cs="仿宋"/>
          <w:spacing w:val="13"/>
          <w:sz w:val="30"/>
          <w:szCs w:val="30"/>
        </w:rPr>
        <w:t>各行政村、乡直各单位</w:t>
      </w:r>
      <w:r>
        <w:rPr>
          <w:rFonts w:hint="eastAsia" w:ascii="仿宋" w:hAnsi="仿宋" w:eastAsia="仿宋" w:cs="仿宋"/>
          <w:snapToGrid/>
          <w:kern w:val="2"/>
          <w:sz w:val="32"/>
          <w:szCs w:val="32"/>
          <w:lang w:val="en-US" w:eastAsia="zh-CN"/>
        </w:rPr>
        <w:t>，应督导产权人（使用人）开展房屋安全鉴定。安全鉴定为B级以上的，产权人（使用人）要加强日常维护；鉴定为C、D级的，要通报行业主管部门，责令停业整改，整治完成后方可恢复经营。</w:t>
      </w:r>
    </w:p>
    <w:p w14:paraId="15296912">
      <w:pPr>
        <w:keepNext w:val="0"/>
        <w:keepLines w:val="0"/>
        <w:pageBreakBefore w:val="0"/>
        <w:widowControl w:val="0"/>
        <w:kinsoku/>
        <w:wordWrap/>
        <w:overflowPunct/>
        <w:topLinePunct w:val="0"/>
        <w:autoSpaceDE/>
        <w:autoSpaceDN/>
        <w:bidi w:val="0"/>
        <w:adjustRightInd/>
        <w:snapToGrid/>
        <w:spacing w:line="579" w:lineRule="exact"/>
        <w:ind w:left="0" w:leftChars="0" w:right="0" w:firstLine="643" w:firstLineChars="200"/>
        <w:jc w:val="both"/>
        <w:textAlignment w:val="auto"/>
        <w:rPr>
          <w:rFonts w:hint="eastAsia" w:ascii="仿宋" w:hAnsi="仿宋" w:eastAsia="仿宋" w:cs="仿宋"/>
          <w:b/>
          <w:bCs/>
          <w:snapToGrid/>
          <w:kern w:val="2"/>
          <w:sz w:val="32"/>
          <w:szCs w:val="32"/>
          <w:lang w:val="en-US" w:eastAsia="zh-CN"/>
        </w:rPr>
      </w:pPr>
      <w:r>
        <w:rPr>
          <w:rFonts w:hint="eastAsia" w:ascii="仿宋" w:hAnsi="仿宋" w:eastAsia="仿宋" w:cs="仿宋"/>
          <w:b/>
          <w:bCs/>
          <w:snapToGrid/>
          <w:kern w:val="2"/>
          <w:sz w:val="32"/>
          <w:szCs w:val="32"/>
          <w:lang w:val="en-US" w:eastAsia="zh-CN"/>
        </w:rPr>
        <w:t>三、工作步骤</w:t>
      </w:r>
    </w:p>
    <w:p w14:paraId="24449401">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 w:hAnsi="仿宋" w:eastAsia="仿宋" w:cs="仿宋"/>
          <w:snapToGrid/>
          <w:color w:val="000000" w:themeColor="text1"/>
          <w:kern w:val="2"/>
          <w:sz w:val="32"/>
          <w:szCs w:val="32"/>
          <w:lang w:val="en-US" w:eastAsia="zh-CN"/>
          <w14:textFill>
            <w14:solidFill>
              <w14:schemeClr w14:val="tx1"/>
            </w14:solidFill>
          </w14:textFill>
        </w:rPr>
      </w:pPr>
      <w:r>
        <w:rPr>
          <w:rFonts w:hint="eastAsia" w:ascii="仿宋" w:hAnsi="仿宋" w:eastAsia="仿宋" w:cs="仿宋"/>
          <w:b w:val="0"/>
          <w:bCs w:val="0"/>
          <w:snapToGrid/>
          <w:kern w:val="2"/>
          <w:sz w:val="32"/>
          <w:szCs w:val="32"/>
          <w:lang w:val="en-US" w:eastAsia="zh-CN"/>
        </w:rPr>
        <w:t>（一）动员部署阶段（2025年3月6日至3月31日）。</w:t>
      </w:r>
      <w:r>
        <w:rPr>
          <w:rFonts w:hint="eastAsia" w:ascii="仿宋" w:hAnsi="仿宋" w:eastAsia="仿宋" w:cs="仿宋"/>
          <w:b w:val="0"/>
          <w:bCs w:val="0"/>
          <w:snapToGrid/>
          <w:color w:val="000000" w:themeColor="text1"/>
          <w:kern w:val="2"/>
          <w:sz w:val="32"/>
          <w:szCs w:val="32"/>
          <w:lang w:val="en-US" w:eastAsia="zh-CN"/>
          <w14:textFill>
            <w14:solidFill>
              <w14:schemeClr w14:val="tx1"/>
            </w14:solidFill>
          </w14:textFill>
        </w:rPr>
        <w:t>县自建房安全专项整治工作专班成员单位</w:t>
      </w:r>
      <w:r>
        <w:rPr>
          <w:rFonts w:hint="eastAsia" w:ascii="仿宋" w:hAnsi="仿宋" w:eastAsia="仿宋" w:cs="仿宋"/>
          <w:snapToGrid/>
          <w:color w:val="000000" w:themeColor="text1"/>
          <w:kern w:val="2"/>
          <w:sz w:val="32"/>
          <w:szCs w:val="32"/>
          <w:lang w:val="en-US" w:eastAsia="zh-CN"/>
          <w14:textFill>
            <w14:solidFill>
              <w14:schemeClr w14:val="tx1"/>
            </w14:solidFill>
          </w14:textFill>
        </w:rPr>
        <w:t>要根据本方案要求，结合各自实际，制定具体实施方案，开展全面动员部署。工作方案和联系人名单于3月18日前报县专班。</w:t>
      </w:r>
    </w:p>
    <w:p w14:paraId="16F05C65">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 w:hAnsi="仿宋" w:eastAsia="仿宋" w:cs="仿宋"/>
          <w:snapToGrid/>
          <w:kern w:val="2"/>
          <w:sz w:val="32"/>
          <w:szCs w:val="32"/>
          <w:lang w:val="en-US" w:eastAsia="zh-CN"/>
        </w:rPr>
      </w:pPr>
      <w:r>
        <w:rPr>
          <w:rFonts w:hint="eastAsia" w:ascii="仿宋" w:hAnsi="仿宋" w:eastAsia="仿宋" w:cs="仿宋"/>
          <w:b w:val="0"/>
          <w:bCs w:val="0"/>
          <w:snapToGrid/>
          <w:kern w:val="2"/>
          <w:sz w:val="32"/>
          <w:szCs w:val="32"/>
          <w:lang w:val="en-US" w:eastAsia="zh-CN"/>
        </w:rPr>
        <w:t>（二）排查整治阶段（2025年4月1日至5月31日）。</w:t>
      </w:r>
      <w:r>
        <w:rPr>
          <w:rFonts w:hint="eastAsia" w:ascii="仿宋" w:hAnsi="仿宋" w:eastAsia="仿宋" w:cs="仿宋"/>
          <w:snapToGrid/>
          <w:kern w:val="2"/>
          <w:sz w:val="32"/>
          <w:szCs w:val="32"/>
          <w:lang w:val="en-US" w:eastAsia="zh-CN"/>
        </w:rPr>
        <w:t>各行政村、乡直各单位及相关行业主管部门可依托在鲁备案的房屋安全鉴定机构及技术专家开展专业排查，形成排查台账和整改台账，实行“一户一策”清单管理，确保隐患整治到位。</w:t>
      </w:r>
    </w:p>
    <w:p w14:paraId="13C9BB23">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 w:hAnsi="仿宋" w:eastAsia="仿宋" w:cs="仿宋"/>
          <w:snapToGrid/>
          <w:kern w:val="2"/>
          <w:sz w:val="32"/>
          <w:szCs w:val="32"/>
          <w:lang w:val="en-US" w:eastAsia="zh-CN"/>
        </w:rPr>
      </w:pPr>
      <w:r>
        <w:rPr>
          <w:rFonts w:hint="eastAsia" w:ascii="仿宋" w:hAnsi="仿宋" w:eastAsia="仿宋" w:cs="仿宋"/>
          <w:b w:val="0"/>
          <w:bCs w:val="0"/>
          <w:snapToGrid/>
          <w:kern w:val="2"/>
          <w:sz w:val="32"/>
          <w:szCs w:val="32"/>
          <w:lang w:val="en-US" w:eastAsia="zh-CN"/>
        </w:rPr>
        <w:t>（三）总结评估阶段（2025年6月1日至6月28日）。</w:t>
      </w:r>
      <w:r>
        <w:rPr>
          <w:rFonts w:hint="eastAsia" w:ascii="仿宋" w:hAnsi="仿宋" w:eastAsia="仿宋" w:cs="仿宋"/>
          <w:snapToGrid/>
          <w:kern w:val="2"/>
          <w:sz w:val="32"/>
          <w:szCs w:val="32"/>
          <w:lang w:val="en-US" w:eastAsia="zh-CN"/>
        </w:rPr>
        <w:t>各行政村、乡直各单位及相关行业主管部门任务完成后上报排查整治工作总结，包括开展的工作、详细台账，住房城乡建设部门牵头组织评估、通报有关情况。</w:t>
      </w:r>
    </w:p>
    <w:p w14:paraId="4E0FA462">
      <w:pPr>
        <w:keepNext w:val="0"/>
        <w:keepLines w:val="0"/>
        <w:pageBreakBefore w:val="0"/>
        <w:widowControl w:val="0"/>
        <w:kinsoku/>
        <w:wordWrap/>
        <w:overflowPunct/>
        <w:topLinePunct w:val="0"/>
        <w:autoSpaceDE/>
        <w:autoSpaceDN/>
        <w:bidi w:val="0"/>
        <w:adjustRightInd/>
        <w:snapToGrid/>
        <w:spacing w:line="579" w:lineRule="exact"/>
        <w:ind w:left="0" w:leftChars="0" w:right="0" w:firstLine="643" w:firstLineChars="200"/>
        <w:jc w:val="both"/>
        <w:textAlignment w:val="auto"/>
        <w:rPr>
          <w:rFonts w:hint="eastAsia" w:ascii="仿宋" w:hAnsi="仿宋" w:eastAsia="仿宋" w:cs="仿宋"/>
          <w:b/>
          <w:bCs/>
          <w:snapToGrid/>
          <w:kern w:val="2"/>
          <w:sz w:val="32"/>
          <w:szCs w:val="32"/>
          <w:lang w:val="en-US" w:eastAsia="zh-CN"/>
        </w:rPr>
      </w:pPr>
      <w:r>
        <w:rPr>
          <w:rFonts w:hint="eastAsia" w:ascii="仿宋" w:hAnsi="仿宋" w:eastAsia="仿宋" w:cs="仿宋"/>
          <w:b/>
          <w:bCs/>
          <w:snapToGrid/>
          <w:kern w:val="2"/>
          <w:sz w:val="32"/>
          <w:szCs w:val="32"/>
          <w:lang w:val="en-US" w:eastAsia="zh-CN"/>
        </w:rPr>
        <w:t>四、保障措施</w:t>
      </w:r>
    </w:p>
    <w:p w14:paraId="3949373B">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 w:hAnsi="仿宋" w:eastAsia="仿宋" w:cs="仿宋"/>
          <w:snapToGrid/>
          <w:kern w:val="2"/>
          <w:sz w:val="32"/>
          <w:szCs w:val="32"/>
          <w:lang w:val="en-US" w:eastAsia="zh-CN"/>
        </w:rPr>
      </w:pPr>
      <w:r>
        <w:rPr>
          <w:rFonts w:hint="eastAsia" w:ascii="仿宋" w:hAnsi="仿宋" w:eastAsia="仿宋" w:cs="仿宋"/>
          <w:b w:val="0"/>
          <w:bCs w:val="0"/>
          <w:snapToGrid/>
          <w:kern w:val="2"/>
          <w:sz w:val="32"/>
          <w:szCs w:val="32"/>
          <w:lang w:val="en-US" w:eastAsia="zh-CN"/>
        </w:rPr>
        <w:t>（一）加强组织领导。</w:t>
      </w:r>
      <w:r>
        <w:rPr>
          <w:rFonts w:ascii="仿宋" w:hAnsi="仿宋" w:eastAsia="仿宋" w:cs="仿宋"/>
          <w:spacing w:val="9"/>
          <w:sz w:val="31"/>
          <w:szCs w:val="31"/>
        </w:rPr>
        <w:t>乡政府成立以乡长为组长为专项整</w:t>
      </w:r>
      <w:r>
        <w:rPr>
          <w:rFonts w:ascii="仿宋" w:hAnsi="仿宋" w:eastAsia="仿宋" w:cs="仿宋"/>
          <w:spacing w:val="3"/>
          <w:sz w:val="31"/>
          <w:szCs w:val="31"/>
        </w:rPr>
        <w:t xml:space="preserve"> </w:t>
      </w:r>
      <w:r>
        <w:rPr>
          <w:rFonts w:ascii="仿宋" w:hAnsi="仿宋" w:eastAsia="仿宋" w:cs="仿宋"/>
          <w:spacing w:val="4"/>
          <w:sz w:val="31"/>
          <w:szCs w:val="31"/>
        </w:rPr>
        <w:t>治工作领导小组。</w:t>
      </w:r>
      <w:r>
        <w:rPr>
          <w:rFonts w:hint="eastAsia" w:ascii="仿宋" w:hAnsi="仿宋" w:eastAsia="仿宋" w:cs="仿宋"/>
          <w:snapToGrid/>
          <w:kern w:val="2"/>
          <w:sz w:val="32"/>
          <w:szCs w:val="32"/>
          <w:lang w:val="en-US" w:eastAsia="zh-CN"/>
        </w:rPr>
        <w:t>各行政村、乡直各单位</w:t>
      </w:r>
      <w:r>
        <w:rPr>
          <w:rFonts w:hint="eastAsia" w:ascii="仿宋" w:hAnsi="仿宋" w:eastAsia="仿宋" w:cs="仿宋"/>
          <w:b w:val="0"/>
          <w:bCs w:val="0"/>
          <w:snapToGrid/>
          <w:color w:val="auto"/>
          <w:kern w:val="2"/>
          <w:sz w:val="32"/>
          <w:szCs w:val="32"/>
          <w:lang w:val="en-US" w:eastAsia="zh-CN"/>
        </w:rPr>
        <w:t>及相关行业主管部门</w:t>
      </w:r>
      <w:r>
        <w:rPr>
          <w:rFonts w:hint="eastAsia" w:ascii="仿宋" w:hAnsi="仿宋" w:eastAsia="仿宋" w:cs="仿宋"/>
          <w:snapToGrid/>
          <w:kern w:val="2"/>
          <w:sz w:val="32"/>
          <w:szCs w:val="32"/>
          <w:lang w:val="en-US" w:eastAsia="zh-CN"/>
        </w:rPr>
        <w:t>要切实履行职责，制定实施方案，进行动员部署，明确工作任务和责任分工，抓紧抓实各项整治工作落实。</w:t>
      </w:r>
    </w:p>
    <w:p w14:paraId="33862F05">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 w:hAnsi="仿宋" w:eastAsia="仿宋" w:cs="仿宋"/>
          <w:snapToGrid/>
          <w:kern w:val="2"/>
          <w:sz w:val="32"/>
          <w:szCs w:val="32"/>
          <w:lang w:val="en-US" w:eastAsia="zh-CN"/>
        </w:rPr>
      </w:pPr>
      <w:r>
        <w:rPr>
          <w:rFonts w:hint="eastAsia" w:ascii="仿宋" w:hAnsi="仿宋" w:eastAsia="仿宋" w:cs="仿宋"/>
          <w:b w:val="0"/>
          <w:bCs w:val="0"/>
          <w:snapToGrid/>
          <w:kern w:val="2"/>
          <w:sz w:val="32"/>
          <w:szCs w:val="32"/>
          <w:lang w:val="en-US" w:eastAsia="zh-CN"/>
        </w:rPr>
        <w:t>（二）压实各方责任。</w:t>
      </w:r>
      <w:r>
        <w:rPr>
          <w:rFonts w:hint="eastAsia" w:ascii="仿宋" w:hAnsi="仿宋" w:eastAsia="仿宋" w:cs="仿宋"/>
          <w:snapToGrid/>
          <w:kern w:val="2"/>
          <w:sz w:val="32"/>
          <w:szCs w:val="32"/>
          <w:lang w:val="en-US" w:eastAsia="zh-CN"/>
        </w:rPr>
        <w:t>按照《河南省自建房安全专项整治工作实施方案》（豫办发电〔2022〕39号）、《关于加强全省经营性自建房安全管理的实施细则》（豫自建房〔2024〕1号）和《鲁山县自建房安全专项整治工作实施方案》（鲁办文〔2022〕14号）文件要求，经营性自建房产权人（使用人）要严格落实主体责任，各行政村、乡直各单位要严格落实管理责任。</w:t>
      </w:r>
    </w:p>
    <w:p w14:paraId="07F1D680">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 w:hAnsi="仿宋" w:eastAsia="仿宋" w:cs="仿宋"/>
          <w:snapToGrid/>
          <w:kern w:val="2"/>
          <w:sz w:val="32"/>
          <w:szCs w:val="32"/>
          <w:lang w:val="en-US" w:eastAsia="zh-CN"/>
        </w:rPr>
      </w:pPr>
      <w:r>
        <w:rPr>
          <w:rFonts w:hint="eastAsia" w:ascii="仿宋" w:hAnsi="仿宋" w:eastAsia="仿宋" w:cs="仿宋"/>
          <w:b w:val="0"/>
          <w:bCs w:val="0"/>
          <w:snapToGrid/>
          <w:kern w:val="2"/>
          <w:sz w:val="32"/>
          <w:szCs w:val="32"/>
          <w:lang w:val="en-US" w:eastAsia="zh-CN"/>
        </w:rPr>
        <w:t>（三）加强技术支撑。乡</w:t>
      </w:r>
      <w:r>
        <w:rPr>
          <w:rFonts w:hint="eastAsia" w:ascii="仿宋" w:hAnsi="仿宋" w:eastAsia="仿宋" w:cs="仿宋"/>
          <w:snapToGrid/>
          <w:kern w:val="2"/>
          <w:sz w:val="32"/>
          <w:szCs w:val="32"/>
          <w:lang w:val="en-US" w:eastAsia="zh-CN"/>
        </w:rPr>
        <w:t>自建房安全专项整治工作领导小组要加强业务指导和技术保障，</w:t>
      </w:r>
      <w:bookmarkStart w:id="0" w:name="_GoBack"/>
      <w:bookmarkEnd w:id="0"/>
      <w:r>
        <w:rPr>
          <w:rFonts w:hint="eastAsia" w:ascii="仿宋" w:hAnsi="仿宋" w:eastAsia="仿宋" w:cs="仿宋"/>
          <w:snapToGrid/>
          <w:kern w:val="2"/>
          <w:sz w:val="32"/>
          <w:szCs w:val="32"/>
          <w:lang w:val="en-US" w:eastAsia="zh-CN"/>
        </w:rPr>
        <w:t>依据《河南省住房和城乡建设厅关于做好房屋安全鉴定管理有关工作的通知》（豫建质安〔2022〕114号）要求，积极遴选并推荐符合条件在鲁备案的鉴定机构。</w:t>
      </w:r>
    </w:p>
    <w:p w14:paraId="4C8A84C8">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 w:hAnsi="仿宋" w:eastAsia="仿宋" w:cs="仿宋"/>
          <w:snapToGrid/>
          <w:kern w:val="2"/>
          <w:sz w:val="32"/>
          <w:szCs w:val="32"/>
          <w:lang w:val="en-US" w:eastAsia="zh-CN"/>
        </w:rPr>
      </w:pPr>
      <w:r>
        <w:rPr>
          <w:rFonts w:hint="eastAsia" w:ascii="仿宋" w:hAnsi="仿宋" w:eastAsia="仿宋" w:cs="仿宋"/>
          <w:b w:val="0"/>
          <w:bCs w:val="0"/>
          <w:snapToGrid/>
          <w:kern w:val="2"/>
          <w:sz w:val="32"/>
          <w:szCs w:val="32"/>
          <w:lang w:val="en-US" w:eastAsia="zh-CN"/>
        </w:rPr>
        <w:t>（四）强化督查指导。</w:t>
      </w:r>
      <w:r>
        <w:rPr>
          <w:rFonts w:hint="eastAsia" w:ascii="仿宋" w:hAnsi="仿宋" w:eastAsia="仿宋" w:cs="仿宋"/>
          <w:snapToGrid/>
          <w:kern w:val="2"/>
          <w:sz w:val="32"/>
          <w:szCs w:val="32"/>
          <w:lang w:val="en-US" w:eastAsia="zh-CN"/>
        </w:rPr>
        <w:t>将此次整治情况纳入全乡安全生产工作年度考核重点内容，严肃查处排查整治不严、不细、不实，甚至走过场等问题。</w:t>
      </w:r>
    </w:p>
    <w:p w14:paraId="24FC2F8E">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val="0"/>
          <w:bCs w:val="0"/>
          <w:snapToGrid/>
          <w:kern w:val="2"/>
          <w:sz w:val="32"/>
          <w:szCs w:val="32"/>
          <w:lang w:val="en-US" w:eastAsia="zh-CN"/>
        </w:rPr>
        <w:t>（五）强化宣传教育。</w:t>
      </w:r>
      <w:r>
        <w:rPr>
          <w:rFonts w:hint="eastAsia" w:ascii="仿宋" w:hAnsi="仿宋" w:eastAsia="仿宋" w:cs="仿宋"/>
          <w:snapToGrid/>
          <w:kern w:val="2"/>
          <w:sz w:val="32"/>
          <w:szCs w:val="32"/>
          <w:lang w:val="en-US" w:eastAsia="zh-CN"/>
        </w:rPr>
        <w:t xml:space="preserve">采取多种形式广泛开展房屋建筑安全宣传教育，普及房屋安全使用常识，引导全社会强化房屋安全意识。   </w:t>
      </w:r>
    </w:p>
    <w:p w14:paraId="504F04FE">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为保障此项工作顺利开展，</w:t>
      </w:r>
      <w:r>
        <w:rPr>
          <w:rFonts w:hint="eastAsia" w:ascii="仿宋_GB2312" w:hAnsi="仿宋_GB2312" w:eastAsia="仿宋_GB2312" w:cs="仿宋_GB2312"/>
          <w:sz w:val="32"/>
          <w:szCs w:val="32"/>
        </w:rPr>
        <w:t>经乡党委、政府研究决定，</w:t>
      </w:r>
      <w:r>
        <w:rPr>
          <w:rFonts w:hint="eastAsia" w:ascii="仿宋_GB2312" w:hAnsi="仿宋_GB2312" w:eastAsia="仿宋_GB2312" w:cs="仿宋_GB2312"/>
          <w:sz w:val="32"/>
          <w:szCs w:val="32"/>
          <w:lang w:val="en-US" w:eastAsia="zh-CN"/>
        </w:rPr>
        <w:t>成立磙子营乡自建房安全专项整治工作领导小组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现将领导小组名单通知如下：</w:t>
      </w:r>
    </w:p>
    <w:p w14:paraId="737C17E5">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组   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华润和   党委副书记、乡长</w:t>
      </w:r>
    </w:p>
    <w:p w14:paraId="49D840B4">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副 组 长</w:t>
      </w:r>
      <w:r>
        <w:rPr>
          <w:rFonts w:hint="eastAsia" w:ascii="仿宋_GB2312" w:hAnsi="仿宋_GB2312" w:eastAsia="仿宋_GB2312" w:cs="仿宋_GB2312"/>
          <w:sz w:val="32"/>
          <w:szCs w:val="32"/>
        </w:rPr>
        <w:t>：李宁科   党委委员、人大主席</w:t>
      </w:r>
    </w:p>
    <w:p w14:paraId="0B446327">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杨广耀   党委副书记、政法委员</w:t>
      </w:r>
    </w:p>
    <w:p w14:paraId="10E8EA49">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于斐斐   党委委员、纪委书记</w:t>
      </w:r>
    </w:p>
    <w:p w14:paraId="24F88C09">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李砖头   党委委员、武装部长</w:t>
      </w:r>
    </w:p>
    <w:p w14:paraId="65104224">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李文须   主任科员</w:t>
      </w:r>
    </w:p>
    <w:p w14:paraId="5DAF1098">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徐亚洲   副乡长</w:t>
      </w:r>
    </w:p>
    <w:p w14:paraId="25C13B13">
      <w:pPr>
        <w:pStyle w:val="3"/>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袁文璨   综合执法</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val="en-US" w:eastAsia="zh-CN"/>
        </w:rPr>
        <w:t>队</w:t>
      </w:r>
      <w:r>
        <w:rPr>
          <w:rFonts w:hint="eastAsia" w:ascii="仿宋_GB2312" w:hAnsi="仿宋_GB2312" w:eastAsia="仿宋_GB2312" w:cs="仿宋_GB2312"/>
          <w:sz w:val="32"/>
          <w:szCs w:val="32"/>
        </w:rPr>
        <w:t>长</w:t>
      </w:r>
    </w:p>
    <w:p w14:paraId="29793165">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员：李  刚   党政办主任</w:t>
      </w:r>
    </w:p>
    <w:p w14:paraId="733B93A2">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林秋坤   纪委副书记 </w:t>
      </w:r>
    </w:p>
    <w:p w14:paraId="099C379A">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朱庆伟   财政所所长 </w:t>
      </w:r>
    </w:p>
    <w:p w14:paraId="25FCE995">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杜  杰   社保所所长 </w:t>
      </w:r>
    </w:p>
    <w:p w14:paraId="7748C907">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姬  川   卫生院院长 </w:t>
      </w:r>
    </w:p>
    <w:p w14:paraId="16A06620">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宁广铎   乡村振兴办主任  </w:t>
      </w:r>
    </w:p>
    <w:p w14:paraId="4137CDAE">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邵振华   应急办主任</w:t>
      </w:r>
    </w:p>
    <w:p w14:paraId="2791CAD7">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邵朝阳   文化、广播、旅游中心主任</w:t>
      </w:r>
    </w:p>
    <w:p w14:paraId="4667FD28">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燕  三   军人退役事务站站长</w:t>
      </w:r>
    </w:p>
    <w:p w14:paraId="66B2B7A5">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褚亚武   国土资源所所长</w:t>
      </w:r>
    </w:p>
    <w:p w14:paraId="33130B69">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邵建军   村镇规划中心主任 </w:t>
      </w:r>
    </w:p>
    <w:p w14:paraId="265C5B7F">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韩大杰   </w:t>
      </w:r>
      <w:r>
        <w:rPr>
          <w:rFonts w:hint="eastAsia" w:ascii="仿宋_GB2312" w:hAnsi="仿宋_GB2312" w:eastAsia="仿宋_GB2312" w:cs="仿宋_GB2312"/>
          <w:sz w:val="32"/>
          <w:szCs w:val="32"/>
          <w:lang w:val="en-US" w:eastAsia="zh-CN"/>
        </w:rPr>
        <w:t>市场监督所</w:t>
      </w:r>
      <w:r>
        <w:rPr>
          <w:rFonts w:hint="eastAsia" w:ascii="仿宋_GB2312" w:hAnsi="仿宋_GB2312" w:eastAsia="仿宋_GB2312" w:cs="仿宋_GB2312"/>
          <w:sz w:val="32"/>
          <w:szCs w:val="32"/>
        </w:rPr>
        <w:t>所长</w:t>
      </w:r>
    </w:p>
    <w:p w14:paraId="6F1B13A1">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  军   环保所所长</w:t>
      </w:r>
    </w:p>
    <w:p w14:paraId="5108F90D">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rPr>
      </w:pPr>
      <w:r>
        <w:rPr>
          <w:rFonts w:hint="eastAsia" w:ascii="仿宋_GB2312" w:hAnsi="仿宋_GB2312" w:eastAsia="仿宋_GB2312" w:cs="仿宋_GB2312"/>
          <w:sz w:val="32"/>
          <w:szCs w:val="32"/>
        </w:rPr>
        <w:t>余江涛   派出所所长</w:t>
      </w:r>
    </w:p>
    <w:p w14:paraId="22875077">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赵中辉   民政所所长</w:t>
      </w:r>
    </w:p>
    <w:p w14:paraId="3BB77184">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史全杰   农业服务中心主任</w:t>
      </w:r>
    </w:p>
    <w:p w14:paraId="16A67BBB">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贾二战   中心校校长</w:t>
      </w:r>
    </w:p>
    <w:p w14:paraId="0AE7A3E0">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蔺国义   水利站站长 </w:t>
      </w:r>
    </w:p>
    <w:p w14:paraId="5A7D1653">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  升   社会综合治理中心主任</w:t>
      </w:r>
    </w:p>
    <w:p w14:paraId="0A63BC84">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司忠民   司法所所长 </w:t>
      </w:r>
    </w:p>
    <w:p w14:paraId="26E45C1D">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default" w:eastAsia="仿宋_GB2312"/>
          <w:lang w:val="en-US" w:eastAsia="zh-CN"/>
        </w:rPr>
      </w:pPr>
      <w:r>
        <w:rPr>
          <w:rFonts w:hint="eastAsia" w:ascii="仿宋_GB2312" w:hAnsi="仿宋_GB2312" w:eastAsia="仿宋_GB2312" w:cs="仿宋_GB2312"/>
          <w:sz w:val="32"/>
          <w:szCs w:val="32"/>
        </w:rPr>
        <w:t xml:space="preserve">暴  克   信访办主任 </w:t>
      </w:r>
    </w:p>
    <w:p w14:paraId="25834B1B">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李占伟   洼陈党总支书记</w:t>
      </w:r>
    </w:p>
    <w:p w14:paraId="37A89B74">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  方   中心党总支书记</w:t>
      </w:r>
    </w:p>
    <w:p w14:paraId="02299550">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田广亮   石岭党总支书记</w:t>
      </w:r>
    </w:p>
    <w:p w14:paraId="0ED9BC43">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王延周   白炼堂党总支书记</w:t>
      </w:r>
    </w:p>
    <w:p w14:paraId="701966A5">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陈海峰   </w:t>
      </w:r>
      <w:r>
        <w:rPr>
          <w:rFonts w:hint="eastAsia" w:ascii="仿宋_GB2312" w:hAnsi="仿宋_GB2312" w:eastAsia="仿宋_GB2312" w:cs="仿宋_GB2312"/>
          <w:sz w:val="32"/>
          <w:szCs w:val="32"/>
        </w:rPr>
        <w:t>杨林党总支书记</w:t>
      </w:r>
    </w:p>
    <w:p w14:paraId="2E9B5404">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单晓央   柳林党总支书记</w:t>
      </w:r>
    </w:p>
    <w:p w14:paraId="173EFFA6">
      <w:pPr>
        <w:keepNext w:val="0"/>
        <w:keepLines w:val="0"/>
        <w:pageBreakBefore w:val="0"/>
        <w:kinsoku/>
        <w:wordWrap/>
        <w:overflowPunct/>
        <w:topLinePunct w:val="0"/>
        <w:autoSpaceDE/>
        <w:autoSpaceDN/>
        <w:bidi w:val="0"/>
        <w:adjustRightInd/>
        <w:snapToGrid/>
        <w:spacing w:line="58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段国朝   </w:t>
      </w:r>
      <w:r>
        <w:rPr>
          <w:rFonts w:hint="eastAsia" w:ascii="仿宋_GB2312" w:hAnsi="仿宋_GB2312" w:eastAsia="仿宋_GB2312" w:cs="仿宋_GB2312"/>
          <w:sz w:val="32"/>
          <w:szCs w:val="32"/>
        </w:rPr>
        <w:t>孙街党总支书记</w:t>
      </w:r>
    </w:p>
    <w:p w14:paraId="4483565E">
      <w:pPr>
        <w:keepNext w:val="0"/>
        <w:keepLines w:val="0"/>
        <w:pageBreakBefore w:val="0"/>
        <w:kinsoku/>
        <w:wordWrap/>
        <w:overflowPunct/>
        <w:topLinePunct w:val="0"/>
        <w:autoSpaceDE/>
        <w:autoSpaceDN/>
        <w:bidi w:val="0"/>
        <w:adjustRightInd/>
        <w:snapToGrid/>
        <w:spacing w:line="58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邵红涛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大尹庄党总支书记</w:t>
      </w:r>
    </w:p>
    <w:p w14:paraId="4B4D8EE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领导小组下设办公室，办公室设在乡村镇</w:t>
      </w:r>
      <w:r>
        <w:rPr>
          <w:rFonts w:hint="eastAsia" w:ascii="仿宋_GB2312" w:hAnsi="仿宋_GB2312" w:eastAsia="仿宋_GB2312" w:cs="仿宋_GB2312"/>
          <w:sz w:val="32"/>
          <w:szCs w:val="32"/>
          <w:lang w:val="en-US" w:eastAsia="zh-CN"/>
        </w:rPr>
        <w:t>规划</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办公室，由</w:t>
      </w:r>
      <w:r>
        <w:rPr>
          <w:rFonts w:hint="eastAsia" w:ascii="仿宋_GB2312" w:hAnsi="仿宋_GB2312" w:eastAsia="仿宋_GB2312" w:cs="仿宋_GB2312"/>
          <w:sz w:val="32"/>
          <w:szCs w:val="32"/>
          <w:lang w:val="en-US" w:eastAsia="zh-CN"/>
        </w:rPr>
        <w:t>邵建军</w:t>
      </w:r>
      <w:r>
        <w:rPr>
          <w:rFonts w:hint="eastAsia" w:ascii="仿宋_GB2312" w:hAnsi="仿宋_GB2312" w:eastAsia="仿宋_GB2312" w:cs="仿宋_GB2312"/>
          <w:sz w:val="32"/>
          <w:szCs w:val="32"/>
        </w:rPr>
        <w:t>同志担任办公室主任。</w:t>
      </w:r>
    </w:p>
    <w:p w14:paraId="66CA27B5">
      <w:pPr>
        <w:keepNext w:val="0"/>
        <w:keepLines w:val="0"/>
        <w:pageBreakBefore w:val="0"/>
        <w:kinsoku/>
        <w:wordWrap/>
        <w:overflowPunct/>
        <w:topLinePunct w:val="0"/>
        <w:autoSpaceDE/>
        <w:autoSpaceDN/>
        <w:bidi w:val="0"/>
        <w:adjustRightInd/>
        <w:snapToGrid/>
        <w:spacing w:line="580" w:lineRule="exact"/>
        <w:ind w:firstLine="320" w:firstLineChars="100"/>
        <w:textAlignment w:val="auto"/>
        <w:rPr>
          <w:rFonts w:hint="eastAsia" w:ascii="仿宋_GB2312" w:hAnsi="仿宋_GB2312" w:eastAsia="仿宋_GB2312" w:cs="仿宋_GB2312"/>
          <w:sz w:val="32"/>
          <w:szCs w:val="32"/>
        </w:rPr>
      </w:pPr>
    </w:p>
    <w:p w14:paraId="2C67460D">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方正仿宋_GBK" w:hAnsi="方正仿宋_GBK" w:eastAsia="方正仿宋_GBK" w:cs="方正仿宋_GBK"/>
          <w:snapToGrid/>
          <w:kern w:val="2"/>
          <w:sz w:val="32"/>
          <w:szCs w:val="32"/>
          <w:lang w:val="en-US" w:eastAsia="zh-CN"/>
        </w:rPr>
      </w:pPr>
    </w:p>
    <w:p w14:paraId="332423F1">
      <w:pPr>
        <w:pStyle w:val="9"/>
        <w:keepNext w:val="0"/>
        <w:keepLines w:val="0"/>
        <w:pageBreakBefore w:val="0"/>
        <w:wordWrap/>
        <w:overflowPunct/>
        <w:topLinePunct w:val="0"/>
        <w:bidi w:val="0"/>
        <w:spacing w:after="0" w:line="579" w:lineRule="exact"/>
        <w:ind w:left="0" w:leftChars="0" w:right="0" w:firstLine="640" w:firstLineChars="200"/>
        <w:jc w:val="right"/>
        <w:rPr>
          <w:rFonts w:hint="eastAsia" w:ascii="方正仿宋_GBK" w:hAnsi="方正仿宋_GBK" w:eastAsia="方正仿宋_GBK" w:cs="方正仿宋_GBK"/>
          <w:color w:val="FF0000"/>
          <w:sz w:val="32"/>
          <w:szCs w:val="32"/>
          <w:lang w:val="en-US" w:eastAsia="zh-CN"/>
        </w:rPr>
      </w:pPr>
    </w:p>
    <w:p w14:paraId="55255F6D">
      <w:pPr>
        <w:rPr>
          <w:rFonts w:hint="eastAsia"/>
          <w:lang w:val="en-US" w:eastAsia="zh-CN"/>
        </w:rPr>
      </w:pPr>
    </w:p>
    <w:sectPr>
      <w:pgSz w:w="11906" w:h="16838"/>
      <w:pgMar w:top="1984" w:right="1474" w:bottom="1984" w:left="147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3E6E8D"/>
    <w:rsid w:val="00672A3B"/>
    <w:rsid w:val="09941447"/>
    <w:rsid w:val="17103E6C"/>
    <w:rsid w:val="172C01C8"/>
    <w:rsid w:val="1EB7650A"/>
    <w:rsid w:val="38877CAA"/>
    <w:rsid w:val="486111D3"/>
    <w:rsid w:val="56812246"/>
    <w:rsid w:val="63E46773"/>
    <w:rsid w:val="763E6E8D"/>
    <w:rsid w:val="BF7D608F"/>
    <w:rsid w:val="F7BFC01F"/>
    <w:rsid w:val="FE1FA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index 5"/>
    <w:basedOn w:val="1"/>
    <w:next w:val="1"/>
    <w:semiHidden/>
    <w:qFormat/>
    <w:uiPriority w:val="0"/>
    <w:pPr>
      <w:ind w:left="800" w:leftChars="800"/>
    </w:pPr>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4">
    <w:name w:val="Body Text Indent"/>
    <w:basedOn w:val="1"/>
    <w:next w:val="5"/>
    <w:qFormat/>
    <w:uiPriority w:val="0"/>
    <w:pPr>
      <w:spacing w:after="120"/>
      <w:ind w:left="420" w:leftChars="20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snapToGrid w:val="0"/>
    </w:pPr>
    <w:rPr>
      <w:sz w:val="18"/>
    </w:rPr>
  </w:style>
  <w:style w:type="paragraph" w:styleId="6">
    <w:name w:val="footer"/>
    <w:basedOn w:val="1"/>
    <w:qFormat/>
    <w:uiPriority w:val="0"/>
    <w:pPr>
      <w:snapToGrid w:val="0"/>
      <w:jc w:val="left"/>
    </w:pPr>
    <w:rPr>
      <w:sz w:val="18"/>
    </w:rPr>
  </w:style>
  <w:style w:type="paragraph" w:styleId="7">
    <w:name w:val="footnote text"/>
    <w:basedOn w:val="1"/>
    <w:next w:val="2"/>
    <w:unhideWhenUsed/>
    <w:qFormat/>
    <w:uiPriority w:val="99"/>
    <w:pPr>
      <w:snapToGrid w:val="0"/>
      <w:spacing w:after="200" w:line="276" w:lineRule="auto"/>
      <w:jc w:val="left"/>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9">
    <w:name w:val="Body Text First Indent 2"/>
    <w:basedOn w:val="4"/>
    <w:next w:val="1"/>
    <w:qFormat/>
    <w:uiPriority w:val="0"/>
    <w:pPr>
      <w:ind w:firstLine="420" w:firstLineChars="200"/>
    </w:pPr>
    <w:rPr>
      <w:rFonts w:ascii="Times New Roman" w:hAnsi="Times New Roman" w:eastAsia="宋体" w:cs="Times New Roman"/>
    </w:r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2238</Words>
  <Characters>2269</Characters>
  <Lines>0</Lines>
  <Paragraphs>0</Paragraphs>
  <TotalTime>0</TotalTime>
  <ScaleCrop>false</ScaleCrop>
  <LinksUpToDate>false</LinksUpToDate>
  <CharactersWithSpaces>2431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2025-03-07T15:46:00Z</dcterms:created>
  <dc:creator>Administrator</dc:creator>
  <cp:lastModifiedBy>a追梦</cp:lastModifiedBy>
  <dcterms:modified xsi:type="dcterms:W3CDTF">2025-06-25T03:39:53Z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880EFD95E7D64A4DAF7CE8A2DCA36265_13</vt:lpwstr>
  </property>
  <property fmtid="{D5CDD505-2E9C-101B-9397-08002B2CF9AE}" pid="4" name="KSOTemplateDocerSaveRecord">
    <vt:lpwstr>eyJoZGlkIjoiZDJkMGU5Y2Y3ZDdhN2M1OWZkYmM5MWI0MWVmZTQ2NWMiLCJ1c2VySWQiOiIzODAyMTQ3MjAifQ==</vt:lpwstr>
  </property>
</Properties>
</file>