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w w:val="1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w w:val="100"/>
          <w:sz w:val="44"/>
          <w:szCs w:val="44"/>
          <w:lang w:eastAsia="zh-CN"/>
        </w:rPr>
        <w:t>鲁山县下汤镇人民政府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w w:val="1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w w:val="100"/>
          <w:sz w:val="44"/>
          <w:szCs w:val="44"/>
          <w:lang w:eastAsia="zh-CN"/>
        </w:rPr>
        <w:t>关于</w:t>
      </w:r>
      <w:r>
        <w:rPr>
          <w:rFonts w:hint="eastAsia" w:ascii="Times New Roman" w:hAnsi="Times New Roman" w:eastAsia="方正小标宋简体" w:cs="方正小标宋简体"/>
          <w:color w:val="auto"/>
          <w:w w:val="100"/>
          <w:sz w:val="44"/>
          <w:szCs w:val="44"/>
          <w:lang w:eastAsia="zh-CN"/>
        </w:rPr>
        <w:t>2024</w:t>
      </w:r>
      <w:r>
        <w:rPr>
          <w:rFonts w:hint="eastAsia" w:ascii="方正小标宋简体" w:hAnsi="方正小标宋简体" w:eastAsia="方正小标宋简体" w:cs="方正小标宋简体"/>
          <w:color w:val="auto"/>
          <w:w w:val="100"/>
          <w:sz w:val="44"/>
          <w:szCs w:val="44"/>
          <w:lang w:eastAsia="zh-CN"/>
        </w:rPr>
        <w:t>年法治政府建设情况的报告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w w:val="95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0" w:rightChars="0"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lang w:val="en-US" w:eastAsia="zh-CN"/>
        </w:rPr>
        <w:t>2024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年以来，下汤镇在县委、县政府的坚强领导下，坚决贯彻落实法治政府建设的系列部署，锚定创建法治政府的总目标，紧密围绕中心工作，全力服务发展大局，多措并举推动法治政府建设工作扎实落地取得新进展。现将工作情况汇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0" w:rightChars="0" w:firstLine="640" w:firstLineChars="200"/>
        <w:textAlignment w:val="auto"/>
        <w:rPr>
          <w:rFonts w:hint="eastAsia" w:ascii="黑体" w:hAnsi="黑体" w:eastAsia="黑体" w:cs="黑体"/>
          <w:color w:val="auto"/>
          <w:lang w:val="en-US" w:eastAsia="zh-CN"/>
        </w:rPr>
      </w:pPr>
      <w:r>
        <w:rPr>
          <w:rFonts w:hint="eastAsia" w:ascii="黑体" w:hAnsi="黑体" w:eastAsia="黑体" w:cs="黑体"/>
          <w:color w:val="auto"/>
          <w:lang w:val="en-US" w:eastAsia="zh-CN"/>
        </w:rPr>
        <w:t>一、</w:t>
      </w:r>
      <w:r>
        <w:rPr>
          <w:rFonts w:hint="default" w:ascii="Times New Roman" w:hAnsi="Times New Roman" w:eastAsia="黑体" w:cs="黑体"/>
          <w:color w:val="auto"/>
          <w:lang w:val="en-US" w:eastAsia="zh-CN"/>
        </w:rPr>
        <w:t>2024</w:t>
      </w:r>
      <w:r>
        <w:rPr>
          <w:rFonts w:hint="eastAsia" w:ascii="黑体" w:hAnsi="黑体" w:eastAsia="黑体" w:cs="黑体"/>
          <w:color w:val="auto"/>
          <w:lang w:val="en-US" w:eastAsia="zh-CN"/>
        </w:rPr>
        <w:t>年度党政负责人履行推进法治建设第一责任人职责，加强法治政府建设的有关情况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一是扛稳政治责任。党政主要负责人高度重视法治政府建设，坚持党对法治工作的领导，通过党委中心组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学习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、党委会、专题讲座等形式，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深入学习领会党的二十大及二十届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中全会精神，钻研习近平新时代中国特色社会主义思想的本质含义和现实意义，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将习近平法治思想作为学习重点，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把依法治镇、依法执政与依法行政统一起来，全力推动法治政府建设各项工作落实。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严格依法依规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以法治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政府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建设为基础，不断提升依法行政能力。严格遵守国家法律法规，切实做到依法行政，有法必依。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召开党政班子会议，集体讨论决定全镇重大事项决策、干部任免、资金使用等工作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0" w:rightChars="0" w:firstLine="640" w:firstLineChars="200"/>
        <w:textAlignment w:val="auto"/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三是深化普法宣传。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以“八五”普法宣传为主线，充分利用国家宪法日、宪法宣传周</w:t>
      </w:r>
      <w:r>
        <w:rPr>
          <w:rFonts w:hint="eastAsia" w:ascii="Times New Roman" w:hAnsi="Times New Roman" w:cs="Times New Roman"/>
          <w:b w:val="0"/>
          <w:bCs w:val="0"/>
          <w:color w:val="auto"/>
          <w:sz w:val="32"/>
          <w:szCs w:val="32"/>
          <w:lang w:val="en-US" w:eastAsia="zh-CN"/>
        </w:rPr>
        <w:t>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民俗活动节庆等时间节点，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依托镇、村新时代文明实践所（站）以及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法治文化游园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等场所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深入开展法治</w:t>
      </w:r>
      <w:r>
        <w:rPr>
          <w:rFonts w:hint="eastAsia" w:ascii="Times New Roman" w:hAnsi="Times New Roman" w:cs="Times New Roman"/>
          <w:b w:val="0"/>
          <w:bCs w:val="0"/>
          <w:color w:val="auto"/>
          <w:sz w:val="32"/>
          <w:szCs w:val="32"/>
          <w:lang w:val="en-US" w:eastAsia="zh-CN"/>
        </w:rPr>
        <w:t>教育进校园、乡村法治夜话、反电信诈骗培训、法律明白人培训以及邀请律师开展“一村一堂普法课”法律服务等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普法宣传活动</w:t>
      </w:r>
      <w:r>
        <w:rPr>
          <w:rFonts w:hint="eastAsia" w:ascii="Times New Roman" w:hAnsi="Times New Roman" w:cs="Times New Roman"/>
          <w:b w:val="0"/>
          <w:bCs w:val="0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0" w:rightChars="0" w:firstLine="640" w:firstLineChars="200"/>
        <w:textAlignment w:val="auto"/>
        <w:rPr>
          <w:rFonts w:hint="eastAsia" w:ascii="黑体" w:hAnsi="黑体" w:eastAsia="黑体" w:cs="黑体"/>
          <w:color w:val="auto"/>
          <w:lang w:val="en-US" w:eastAsia="zh-CN"/>
        </w:rPr>
      </w:pPr>
      <w:r>
        <w:rPr>
          <w:rFonts w:hint="eastAsia" w:ascii="黑体" w:hAnsi="黑体" w:eastAsia="黑体" w:cs="黑体"/>
          <w:color w:val="auto"/>
          <w:lang w:val="en-US" w:eastAsia="zh-CN"/>
        </w:rPr>
        <w:t>二、</w:t>
      </w:r>
      <w:r>
        <w:rPr>
          <w:rFonts w:hint="default" w:ascii="Times New Roman" w:hAnsi="Times New Roman" w:eastAsia="黑体" w:cs="黑体"/>
          <w:color w:val="auto"/>
          <w:lang w:val="en-US" w:eastAsia="zh-CN"/>
        </w:rPr>
        <w:t>2024</w:t>
      </w:r>
      <w:r>
        <w:rPr>
          <w:rFonts w:hint="eastAsia" w:ascii="黑体" w:hAnsi="黑体" w:eastAsia="黑体" w:cs="黑体"/>
          <w:color w:val="auto"/>
          <w:lang w:val="en-US" w:eastAsia="zh-CN"/>
        </w:rPr>
        <w:t>年度推进法治政府建设的主要举措和成效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0" w:rightChars="0"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（一）强化组织领导，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聚力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法治政府建设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成立了以党委书记任组长的依法治镇工作领导小组，将法治政府建设重点工作分解量化，责任到人，保证法治政府建设深入开展、取得实效。将法治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政府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建设纳入镇年度工作计划，为法治工作提供坚实的制度保障与人力、物力、财力支持。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习近平总书记依法治国重要论述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和习近平法治思想列入中心组理论学习内容，每月一次组织班子成员、机关干部、村（社区）两委干部、驻村工作队开展法治知识理论宣讲（扩大）课。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0" w:rightChars="0"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（二）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坚守法治底线，全力维护社会安定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注重培育村“两委”干部、法律明白人和镇、村调解员，围绕习近平法治思想、人民调解等重点内容组织开展法律专题培训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12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次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进一步完善“一村（社区）三员（民警辅警、法律顾问、人民调解员）”矛盾纠纷排查化解工作机制，发挥矛盾调解作用。对于涉及司法诉讼的纠纷，由村（社区）“三员”向司法所上报，司法所提供无偿法律援助，帮助群众撰写诉讼文书、提起网上诉讼。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2024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调处各类矛盾纠纷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起，对群众提供无偿法律援助20余人次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真正做到了“小事不出村，大事不出镇，矛盾不上交”，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全面打通法律服务“最后一公里”。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0" w:rightChars="0"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（三）深化普法宣传，营造浓厚法治氛围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一是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预防未成年人溺亡。成立防溺亡领导小组，制定实施方案、应急预案，定期召开预防未成年人溺亡专项治理会议，全面开展防溺亡工作。利用悬挂横幅、发放宣传单、出动宣传车等多渠道、多方式大力宣传防溺亡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今年举办防溺亡现场会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场，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在河道坑塘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安装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警示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标识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余处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二是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营造反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宣传氛围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。采用“线上+线下”的方式，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线上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通过村级微信群、广播、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微信公众号、视频号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向群众讲解防范电信诈骗知识，介绍电信诈骗的惯用手法、作案方式以及识别、防范技巧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lang w:val="en-US" w:eastAsia="zh-CN"/>
        </w:rPr>
        <w:t>2024</w:t>
      </w:r>
      <w:r>
        <w:rPr>
          <w:rFonts w:hint="eastAsia" w:ascii="Times New Roman" w:hAnsi="Times New Roman" w:cs="Times New Roman"/>
          <w:b w:val="0"/>
          <w:bCs w:val="0"/>
          <w:color w:val="auto"/>
          <w:sz w:val="32"/>
          <w:szCs w:val="32"/>
          <w:lang w:val="en-US" w:eastAsia="zh-CN"/>
        </w:rPr>
        <w:t>年度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深入开展法治</w:t>
      </w:r>
      <w:r>
        <w:rPr>
          <w:rFonts w:hint="eastAsia" w:ascii="Times New Roman" w:hAnsi="Times New Roman" w:cs="Times New Roman"/>
          <w:b w:val="0"/>
          <w:bCs w:val="0"/>
          <w:color w:val="auto"/>
          <w:sz w:val="32"/>
          <w:szCs w:val="32"/>
          <w:lang w:val="en-US" w:eastAsia="zh-CN"/>
        </w:rPr>
        <w:t>教育进校园、乡村法治夜话、反电信诈骗培训、法律明白人培训以及邀请律师开展“一村一堂普法课”法律服务等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普法宣传活动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100余次，制作普法宣传版面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8块，发放宣传彩页7000余份，发放法治书籍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000余本。在2024年的“宪法宣传周”主题活动中，先后组织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党政办、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司法所、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综治办、自然资源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所、应急办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等部门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宣传与群众生产生活密切相关的法律法规知识，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发放宣传册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00余份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，在全镇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营造了学法、尊法、守法、用法的良好氛围。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通过这一系列的举措，下汤镇法治政府建设工作取得了显著进展。一方面，法治意识深入人心，广大干部群众对法治政府建设的认识更加深刻，遵守法律法规的自觉性明显增强。另一方面，政府行为更加规范，依法行政成为政府工作的常态，公正文明执法水平得到提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0" w:rightChars="0" w:firstLine="640" w:firstLineChars="200"/>
        <w:textAlignment w:val="auto"/>
        <w:rPr>
          <w:rFonts w:hint="eastAsia" w:ascii="黑体" w:hAnsi="黑体" w:eastAsia="黑体" w:cs="黑体"/>
          <w:color w:val="auto"/>
          <w:lang w:val="en-US" w:eastAsia="zh-CN"/>
        </w:rPr>
      </w:pPr>
      <w:r>
        <w:rPr>
          <w:rFonts w:hint="eastAsia" w:ascii="黑体" w:hAnsi="黑体" w:eastAsia="黑体" w:cs="黑体"/>
          <w:color w:val="auto"/>
          <w:lang w:val="en-US" w:eastAsia="zh-CN"/>
        </w:rPr>
        <w:t>三、</w:t>
      </w:r>
      <w:r>
        <w:rPr>
          <w:rFonts w:hint="default" w:ascii="Times New Roman" w:hAnsi="Times New Roman" w:eastAsia="黑体" w:cs="黑体"/>
          <w:color w:val="auto"/>
          <w:lang w:val="en-US" w:eastAsia="zh-CN"/>
        </w:rPr>
        <w:t>2024</w:t>
      </w:r>
      <w:r>
        <w:rPr>
          <w:rFonts w:hint="eastAsia" w:ascii="黑体" w:hAnsi="黑体" w:eastAsia="黑体" w:cs="黑体"/>
          <w:color w:val="auto"/>
          <w:lang w:val="en-US" w:eastAsia="zh-CN"/>
        </w:rPr>
        <w:t>年度推进法治政府建设存在的不足、原因和问题整改情况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0" w:rightChars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（一）法治宣传教育有待进一步深入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尽管镇政府在法治宣传教育方面取得了一定的成绩，但仍然存在宣传覆盖面不够广、宣传内容不够深入等问题。对此，我们进一步拓展宣传渠道，创新宣传方式，加强对重点群体的宣传力度，提高法律宣传的覆盖率和实效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0" w:rightChars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（二）法治队伍建设有待进一步强化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法治专业人才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力量还不够强，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我镇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工作人员中法律专业的人员占比较低，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行政执法队伍业务水平和素质有待提高。</w:t>
      </w:r>
      <w:r>
        <w:rPr>
          <w:rFonts w:hint="eastAsia" w:cs="Times New Roman"/>
          <w:color w:val="auto"/>
          <w:sz w:val="32"/>
          <w:szCs w:val="32"/>
          <w:lang w:val="en-US" w:eastAsia="zh-CN"/>
        </w:rPr>
        <w:t>对此，我们组织司法所、综合行政执法大队加强法律知识学习、培训，强化法治思想，依法工作，逐步打造一支强有力的法治队伍。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0" w:rightChars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（三）</w:t>
      </w:r>
      <w:r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规范性文件审核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有待进一步完善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0" w:rightChars="0" w:firstLine="640" w:firstLineChars="200"/>
        <w:textAlignment w:val="auto"/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对规范性文件的备案审查重视不够，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存在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备案不及时、材料不齐全等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现象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，未能充分发挥备案审查的监督作用。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对此，我们根据规范性文件审核标准，由专人负责跟进、完善相关流程、补充相关资料，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2024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年规范性文件整理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0" w:rightChars="0" w:firstLine="640" w:firstLineChars="200"/>
        <w:textAlignment w:val="auto"/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（四）</w:t>
      </w:r>
      <w:bookmarkStart w:id="0" w:name="OLE_LINK1"/>
      <w:r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法律顾问作用的发挥需进一步加强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0" w:rightChars="0" w:firstLine="640" w:firstLineChars="200"/>
        <w:textAlignment w:val="auto"/>
        <w:rPr>
          <w:rFonts w:hint="default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法律顾问参与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我镇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决策和工作的深度、广度不够，在重大决策咨询、规范性文件审核、行政复议诉讼等方面征求法律顾问意见的意识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需强化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。</w:t>
      </w:r>
      <w:r>
        <w:rPr>
          <w:rFonts w:hint="eastAsia" w:cs="Times New Roman"/>
          <w:color w:val="auto"/>
          <w:sz w:val="32"/>
          <w:szCs w:val="32"/>
          <w:lang w:val="en-US" w:eastAsia="zh-CN"/>
        </w:rPr>
        <w:t>对此，我们</w:t>
      </w:r>
      <w:r>
        <w:rPr>
          <w:rFonts w:hint="default" w:cs="Times New Roman"/>
          <w:color w:val="auto"/>
          <w:sz w:val="32"/>
          <w:szCs w:val="32"/>
          <w:lang w:val="en-US" w:eastAsia="zh-CN"/>
        </w:rPr>
        <w:t>根据需要及时安排法律顾问组织法律知识和法律实务讲座，</w:t>
      </w:r>
      <w:r>
        <w:rPr>
          <w:rFonts w:hint="eastAsia" w:cs="Times New Roman"/>
          <w:color w:val="auto"/>
          <w:sz w:val="32"/>
          <w:szCs w:val="32"/>
          <w:lang w:val="en-US" w:eastAsia="zh-CN"/>
        </w:rPr>
        <w:t>参加联席会议，充分发挥法律顾问作用。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0" w:rightChars="0" w:firstLine="640" w:firstLineChars="200"/>
        <w:textAlignment w:val="auto"/>
        <w:rPr>
          <w:rFonts w:hint="eastAsia" w:ascii="黑体" w:hAnsi="黑体" w:eastAsia="黑体" w:cs="黑体"/>
          <w:color w:val="auto"/>
          <w:lang w:val="en-US" w:eastAsia="zh-CN"/>
        </w:rPr>
      </w:pPr>
      <w:r>
        <w:rPr>
          <w:rFonts w:hint="eastAsia" w:ascii="黑体" w:hAnsi="黑体" w:eastAsia="黑体" w:cs="黑体"/>
          <w:color w:val="auto"/>
          <w:lang w:val="en-US" w:eastAsia="zh-CN"/>
        </w:rPr>
        <w:t>四、下一年度推进法治政府建设的初步安排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0" w:rightChars="0" w:firstLine="640" w:firstLineChars="200"/>
        <w:textAlignment w:val="auto"/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2025年，</w:t>
      </w:r>
      <w:r>
        <w:rPr>
          <w:rFonts w:hint="eastAsia" w:cs="Times New Roman"/>
          <w:color w:val="auto"/>
          <w:sz w:val="32"/>
          <w:szCs w:val="32"/>
          <w:lang w:val="en-US" w:eastAsia="zh-CN"/>
        </w:rPr>
        <w:t>下汤镇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法治政府建设将继续</w:t>
      </w:r>
      <w:r>
        <w:rPr>
          <w:rFonts w:hint="eastAsia" w:cs="Times New Roman"/>
          <w:color w:val="auto"/>
          <w:sz w:val="32"/>
          <w:szCs w:val="32"/>
          <w:lang w:val="en-US" w:eastAsia="zh-CN"/>
        </w:rPr>
        <w:t>紧紧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围绕县委、县政府的相关文件要求和会议精神，加大法治政府建设工作力度，</w:t>
      </w:r>
      <w:r>
        <w:rPr>
          <w:rFonts w:hint="eastAsia" w:cs="Times New Roman"/>
          <w:color w:val="auto"/>
          <w:sz w:val="32"/>
          <w:szCs w:val="32"/>
          <w:lang w:val="en-US" w:eastAsia="zh-CN"/>
        </w:rPr>
        <w:t>找不足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eastAsia" w:cs="Times New Roman"/>
          <w:color w:val="auto"/>
          <w:sz w:val="32"/>
          <w:szCs w:val="32"/>
          <w:lang w:val="en-US" w:eastAsia="zh-CN"/>
        </w:rPr>
        <w:t>补差距，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认真贯彻落实习近平总书记关于法治政府建设的重要指示精神，完善法治政府和</w:t>
      </w:r>
      <w:r>
        <w:rPr>
          <w:rFonts w:hint="eastAsia" w:cs="Times New Roman"/>
          <w:color w:val="auto"/>
          <w:sz w:val="32"/>
          <w:szCs w:val="32"/>
          <w:lang w:val="en-US" w:eastAsia="zh-CN"/>
        </w:rPr>
        <w:t>法治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队伍建设，加强行政执法人员培训，强化督导检查，切实推进</w:t>
      </w:r>
      <w:r>
        <w:rPr>
          <w:rFonts w:hint="eastAsia" w:cs="Times New Roman"/>
          <w:color w:val="auto"/>
          <w:sz w:val="32"/>
          <w:szCs w:val="32"/>
          <w:lang w:val="en-US" w:eastAsia="zh-CN"/>
        </w:rPr>
        <w:t>下汤镇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法治政府建设再上新台阶。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0" w:rightChars="0" w:firstLine="640" w:firstLineChars="200"/>
        <w:textAlignment w:val="auto"/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一是持续强化法治宣传教育。坚持宣传教育不放松，营造浓厚法治氛围。下汤镇将继续加强法治宣传教育工作，丰富线下宣传形式，扩大宣传覆盖面，提高宣传内容的针对性和实效性，推动形成全民尊法学法守法用法的良好氛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0" w:rightChars="0" w:firstLine="640" w:firstLineChars="200"/>
        <w:textAlignment w:val="auto"/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二是明确分工夯实责任。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坚持将法治建设与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全镇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工作同研究、同部署、同考核。进一步细化工作任务、明确工作措施，真正使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全镇党员干部群众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成为法治建设的重要组织者、推动者和实践者。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0" w:rightChars="0" w:firstLine="640" w:firstLineChars="200"/>
        <w:textAlignment w:val="auto"/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三是优化执法队伍建设。坚持重视法治素养和法治能力的用人导向，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定期组织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开展涵盖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常用法律法规、行政执法程序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等内容的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法治专题培训，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完善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与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法律顾问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的合</w:t>
      </w:r>
      <w:bookmarkStart w:id="1" w:name="_GoBack"/>
      <w:bookmarkEnd w:id="1"/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作机制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以及干部依法履职情况考核制度，确保法治队伍坚实有力。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0" w:rightChars="0" w:firstLine="640" w:firstLineChars="200"/>
        <w:textAlignment w:val="auto"/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0" w:rightChars="0" w:firstLine="640" w:firstLineChars="200"/>
        <w:jc w:val="right"/>
        <w:textAlignment w:val="auto"/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鲁山县下汤镇人民政府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8" w:lineRule="exact"/>
        <w:ind w:right="640" w:rightChars="200" w:firstLine="640" w:firstLineChars="200"/>
        <w:jc w:val="right"/>
        <w:textAlignment w:val="auto"/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2025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月</w:t>
      </w:r>
    </w:p>
    <w:sectPr>
      <w:footerReference r:id="rId5" w:type="default"/>
      <w:pgSz w:w="11906" w:h="16838"/>
      <w:pgMar w:top="2098" w:right="1474" w:bottom="1984" w:left="1587" w:header="851" w:footer="1417" w:gutter="0"/>
      <w:pgNumType w:fmt="numberInDash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320" w:leftChars="100" w:right="320" w:rightChars="100"/>
                            <w:textAlignment w:val="auto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320" w:leftChars="100" w:right="320" w:rightChars="100"/>
                      <w:textAlignment w:val="auto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iMmRlNzBhMWY3MzRkZjM3NjM4ZDgyNjkxM2E1NDcifQ=="/>
    <w:docVar w:name="KSO_WPS_MARK_KEY" w:val="c7e6c31a-ccce-4de6-a8bb-d610d3ab7e7b"/>
  </w:docVars>
  <w:rsids>
    <w:rsidRoot w:val="22A67540"/>
    <w:rsid w:val="055A51DF"/>
    <w:rsid w:val="0A0B33DF"/>
    <w:rsid w:val="0B6727D9"/>
    <w:rsid w:val="0C30706F"/>
    <w:rsid w:val="0E445AF8"/>
    <w:rsid w:val="18567E5D"/>
    <w:rsid w:val="1D656662"/>
    <w:rsid w:val="1FAC6C85"/>
    <w:rsid w:val="22A67540"/>
    <w:rsid w:val="233D40F4"/>
    <w:rsid w:val="2B0D18CA"/>
    <w:rsid w:val="2C756E8C"/>
    <w:rsid w:val="2EAD72BF"/>
    <w:rsid w:val="2EDF3252"/>
    <w:rsid w:val="304D30AA"/>
    <w:rsid w:val="31C81C74"/>
    <w:rsid w:val="33723565"/>
    <w:rsid w:val="33835108"/>
    <w:rsid w:val="376469F8"/>
    <w:rsid w:val="384B0B27"/>
    <w:rsid w:val="39447B32"/>
    <w:rsid w:val="3DF25C7A"/>
    <w:rsid w:val="3FB452E6"/>
    <w:rsid w:val="3FF62227"/>
    <w:rsid w:val="40264AD1"/>
    <w:rsid w:val="402E13D0"/>
    <w:rsid w:val="420B67AF"/>
    <w:rsid w:val="44497D79"/>
    <w:rsid w:val="47EA5D49"/>
    <w:rsid w:val="4A6A2BA8"/>
    <w:rsid w:val="4AF76E89"/>
    <w:rsid w:val="4BE8158F"/>
    <w:rsid w:val="4FF359B6"/>
    <w:rsid w:val="50ED0658"/>
    <w:rsid w:val="540F18B6"/>
    <w:rsid w:val="56903F5F"/>
    <w:rsid w:val="587F0686"/>
    <w:rsid w:val="5D4B1245"/>
    <w:rsid w:val="60000A2B"/>
    <w:rsid w:val="609547B7"/>
    <w:rsid w:val="6237000E"/>
    <w:rsid w:val="665705F5"/>
    <w:rsid w:val="67CA2958"/>
    <w:rsid w:val="6C8842FE"/>
    <w:rsid w:val="6E6F57F8"/>
    <w:rsid w:val="6F760188"/>
    <w:rsid w:val="70887C14"/>
    <w:rsid w:val="72902837"/>
    <w:rsid w:val="75805DA5"/>
    <w:rsid w:val="7AA031B7"/>
    <w:rsid w:val="7AE161ED"/>
    <w:rsid w:val="7DEF6C8B"/>
    <w:rsid w:val="7F7F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880" w:firstLineChars="200"/>
      <w:jc w:val="both"/>
    </w:pPr>
    <w:rPr>
      <w:rFonts w:ascii="Times New Roman" w:hAnsi="Times New Roman" w:eastAsia="仿宋_GB2312" w:cs="仿宋_GB2312"/>
      <w:kern w:val="2"/>
      <w:sz w:val="32"/>
      <w:szCs w:val="3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 w:afterAutospacing="0"/>
    </w:pPr>
  </w:style>
  <w:style w:type="paragraph" w:customStyle="1" w:styleId="3">
    <w:name w:val="正文文本 21"/>
    <w:basedOn w:val="1"/>
    <w:qFormat/>
    <w:uiPriority w:val="0"/>
    <w:pPr>
      <w:spacing w:after="120" w:line="480" w:lineRule="auto"/>
    </w:pPr>
    <w:rPr>
      <w:rFonts w:ascii="Times New Roman" w:hAnsi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"/>
    <w:basedOn w:val="2"/>
    <w:qFormat/>
    <w:uiPriority w:val="0"/>
    <w:pPr>
      <w:ind w:firstLine="420" w:firstLineChars="100"/>
    </w:pPr>
  </w:style>
  <w:style w:type="character" w:styleId="10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2024-03-24T11:13:00Z</dcterms:created>
  <dc:creator>hnwtd</dc:creator>
  <cp:lastModifiedBy>86177</cp:lastModifiedBy>
  <dcterms:modified xsi:type="dcterms:W3CDTF">2025-03-04T02:51:22Z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7E47085993D7412281803F8F3DAF885E_11</vt:lpwstr>
  </property>
</Properties>
</file>