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简体" w:hAnsi="方正小标宋简体" w:eastAsia="方正小标宋简体" w:cs="方正小标宋简体"/>
          <w:kern w:val="0"/>
          <w:sz w:val="44"/>
          <w:szCs w:val="44"/>
          <w:lang w:val="en-US" w:eastAsia="zh-CN"/>
        </w:rPr>
      </w:pPr>
      <w:bookmarkStart w:id="0" w:name="_GoBack"/>
      <w:r>
        <w:rPr>
          <w:rFonts w:hint="eastAsia" w:ascii="方正小标宋简体" w:hAnsi="方正小标宋简体" w:eastAsia="方正小标宋简体" w:cs="方正小标宋简体"/>
          <w:kern w:val="0"/>
          <w:sz w:val="44"/>
          <w:szCs w:val="44"/>
          <w:lang w:val="en-US" w:eastAsia="zh-CN"/>
        </w:rPr>
        <w:t>鲁山县人力资源和社会保障局</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小标宋简体" w:hAnsi="方正小标宋简体" w:eastAsia="方正小标宋简体" w:cs="方正小标宋简体"/>
          <w:kern w:val="0"/>
          <w:sz w:val="44"/>
          <w:szCs w:val="44"/>
          <w:lang w:val="en-US" w:eastAsia="zh-CN"/>
        </w:rPr>
      </w:pPr>
      <w:r>
        <w:rPr>
          <w:rFonts w:hint="eastAsia" w:ascii="方正小标宋简体" w:hAnsi="方正小标宋简体" w:eastAsia="方正小标宋简体" w:cs="方正小标宋简体"/>
          <w:kern w:val="0"/>
          <w:sz w:val="44"/>
          <w:szCs w:val="44"/>
          <w:lang w:eastAsia="zh-CN"/>
        </w:rPr>
        <w:t>关于</w:t>
      </w:r>
      <w:r>
        <w:rPr>
          <w:rFonts w:hint="eastAsia" w:ascii="方正小标宋简体" w:hAnsi="方正小标宋简体" w:eastAsia="方正小标宋简体" w:cs="方正小标宋简体"/>
          <w:kern w:val="0"/>
          <w:sz w:val="44"/>
          <w:szCs w:val="44"/>
          <w:lang w:val="en-US" w:eastAsia="zh-CN"/>
        </w:rPr>
        <w:t>2025年法治政府建设情况的报告</w:t>
      </w:r>
    </w:p>
    <w:bookmarkEnd w:id="0"/>
    <w:p>
      <w:pPr>
        <w:keepNext w:val="0"/>
        <w:keepLines w:val="0"/>
        <w:pageBreakBefore w:val="0"/>
        <w:widowControl w:val="0"/>
        <w:kinsoku/>
        <w:wordWrap/>
        <w:overflowPunct/>
        <w:topLinePunct w:val="0"/>
        <w:autoSpaceDE/>
        <w:autoSpaceDN/>
        <w:bidi w:val="0"/>
        <w:adjustRightInd w:val="0"/>
        <w:snapToGrid w:val="0"/>
        <w:spacing w:line="240" w:lineRule="auto"/>
        <w:ind w:leftChars="0" w:firstLine="640" w:firstLineChars="200"/>
        <w:textAlignment w:val="auto"/>
        <w:rPr>
          <w:rFonts w:hint="eastAsia" w:ascii="仿宋_GB2312" w:hAnsi="仿宋_GB2312" w:eastAsia="仿宋_GB2312" w:cs="仿宋_GB2312"/>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ind w:leftChars="0" w:firstLine="640" w:firstLineChars="200"/>
        <w:textAlignment w:val="auto"/>
        <w:rPr>
          <w:rFonts w:hint="eastAsia" w:ascii="仿宋_GB2312" w:hAnsi="仿宋_GB2312" w:eastAsia="仿宋_GB2312" w:cs="仿宋_GB2312"/>
          <w:kern w:val="0"/>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w:t>
      </w:r>
      <w:r>
        <w:rPr>
          <w:rFonts w:hint="eastAsia" w:ascii="仿宋_GB2312" w:hAnsi="仿宋_GB2312" w:eastAsia="仿宋_GB2312" w:cs="仿宋_GB2312"/>
          <w:kern w:val="0"/>
          <w:sz w:val="32"/>
          <w:szCs w:val="32"/>
          <w:lang w:val="en-US" w:eastAsia="zh-CN"/>
        </w:rPr>
        <w:t>以来</w:t>
      </w:r>
      <w:r>
        <w:rPr>
          <w:rFonts w:hint="eastAsia" w:ascii="仿宋_GB2312" w:hAnsi="仿宋_GB2312" w:eastAsia="仿宋_GB2312" w:cs="仿宋_GB2312"/>
          <w:kern w:val="0"/>
          <w:sz w:val="32"/>
          <w:szCs w:val="32"/>
        </w:rPr>
        <w:t>，</w:t>
      </w:r>
      <w:r>
        <w:rPr>
          <w:rFonts w:hint="eastAsia" w:ascii="仿宋_GB2312" w:hAnsi="仿宋_GB2312" w:eastAsia="仿宋_GB2312" w:cs="仿宋_GB2312"/>
          <w:color w:val="auto"/>
          <w:sz w:val="32"/>
          <w:szCs w:val="32"/>
          <w:lang w:val="en-US" w:eastAsia="zh-CN" w:bidi="ar"/>
        </w:rPr>
        <w:t>县人社局在县委、县政府的领导下，严格落实依法治县工作有关部署要求，继续加强单位法治文化和制度建设、行政决策与执法规范化建设、依法行政能力建设、依法行政工作机制建设，持续推进法治人社建设。</w:t>
      </w:r>
      <w:r>
        <w:rPr>
          <w:rFonts w:hint="eastAsia" w:ascii="仿宋_GB2312" w:hAnsi="仿宋_GB2312" w:eastAsia="仿宋_GB2312" w:cs="仿宋_GB2312"/>
          <w:kern w:val="0"/>
          <w:sz w:val="32"/>
          <w:szCs w:val="32"/>
        </w:rPr>
        <w:t>现将</w:t>
      </w:r>
      <w:r>
        <w:rPr>
          <w:rFonts w:hint="eastAsia" w:ascii="仿宋_GB2312" w:hAnsi="仿宋_GB2312" w:eastAsia="仿宋_GB2312" w:cs="仿宋_GB2312"/>
          <w:kern w:val="0"/>
          <w:sz w:val="32"/>
          <w:szCs w:val="32"/>
          <w:lang w:val="en-US" w:eastAsia="zh-CN"/>
        </w:rPr>
        <w:t>工作</w:t>
      </w:r>
      <w:r>
        <w:rPr>
          <w:rFonts w:hint="eastAsia" w:ascii="仿宋_GB2312" w:hAnsi="仿宋_GB2312" w:eastAsia="仿宋_GB2312" w:cs="仿宋_GB2312"/>
          <w:kern w:val="0"/>
          <w:sz w:val="32"/>
          <w:szCs w:val="32"/>
        </w:rPr>
        <w:t>情况汇报如下：</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黑体" w:hAnsi="黑体" w:eastAsia="黑体" w:cs="黑体"/>
          <w:kern w:val="0"/>
          <w:sz w:val="32"/>
          <w:szCs w:val="32"/>
          <w:lang w:val="en-US" w:eastAsia="zh-CN" w:bidi="ar"/>
        </w:rPr>
        <w:t>一、2025年度党政主要负责人履行推进法治建设第一责任人职责，加强法治政府建设的工作情况</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default"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（一）提高站位，加强领导责任体系建设</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default" w:ascii="仿宋" w:hAnsi="仿宋" w:eastAsia="仿宋" w:cs="宋体"/>
          <w:kern w:val="0"/>
          <w:sz w:val="32"/>
          <w:szCs w:val="32"/>
          <w:lang w:val="en-US" w:eastAsia="zh-CN"/>
        </w:rPr>
      </w:pPr>
      <w:r>
        <w:rPr>
          <w:rFonts w:hint="eastAsia" w:ascii="仿宋_GB2312" w:hAnsi="仿宋_GB2312" w:eastAsia="仿宋_GB2312" w:cs="仿宋_GB2312"/>
          <w:color w:val="auto"/>
          <w:kern w:val="0"/>
          <w:sz w:val="32"/>
          <w:szCs w:val="32"/>
          <w:lang w:val="en-US" w:eastAsia="zh-CN" w:bidi="ar"/>
        </w:rPr>
        <w:t>成立了以局党组书记、局长为组长，其他领导班子成员为副组长，局机关各股室、局属二级机构负责人为成员的法治政府建设工作领导小组。明确党组及主要负责人在推进法治建设工作方面职责，增</w:t>
      </w:r>
      <w:r>
        <w:rPr>
          <w:rFonts w:hint="default" w:ascii="仿宋" w:hAnsi="仿宋" w:eastAsia="仿宋" w:cs="宋体"/>
          <w:kern w:val="0"/>
          <w:sz w:val="32"/>
          <w:szCs w:val="32"/>
          <w:lang w:val="en-US" w:eastAsia="zh-CN"/>
        </w:rPr>
        <w:t>强对法治建设工作的组织领导。</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default"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（二）学习贯彻法治思想，提升法治意识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坚持以习近平法治思想为指导，深刻领悟“两个确立”的决定性意义，坚持“第一议题”制度，党组及班子成员带头学法，将习近平法治思想学习纳入领导干部学习计划。2025年，先后组织学习了《习近平法治思想学习纲要》《论坚持全面依法治国》《习近平法治思想概论》等习近平法治思想，并按照县2025年领导干部学法计划，集中学习了《中华人民共和国监察法》、《中华人民共和国科学技术普及法》、《中华人民共和国国防教育法》等一系列法律法规，进一步了增强了领导干部依法、守法的法治意识。</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（三）完善法治工作制度规范</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严格履行局党组中心组学法和领导干部集体学法制度、党员领导干部述职述廉述法制度等，持续开展依法行政教育宣传，增强干部职工依法行政意识，推进依法行政工作不断深化。</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二、2025年度推进法治政府建设的主要举措和成效</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（一）持续加强监管信息化建设</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加强“河南省农民工工资支付监管系统”的使用管理，推进农民工实名制管理和工资支付监管信息化，实现实时监测，确保各项制度落实到每个在建工程项目，防止欠薪隐患累积。2025年，我县支付监管系统已实现项目建档53家，目前在建3家，完工33家，停工18家，依法取得施工许可项目均已落实各项保障工资支付长效机制。</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kern w:val="0"/>
          <w:sz w:val="32"/>
          <w:szCs w:val="32"/>
          <w:lang w:val="en-US" w:eastAsia="zh-CN" w:bidi="ar"/>
        </w:rPr>
        <w:t>（</w:t>
      </w:r>
      <w:r>
        <w:rPr>
          <w:rFonts w:hint="eastAsia" w:ascii="仿宋_GB2312" w:hAnsi="仿宋_GB2312" w:eastAsia="仿宋_GB2312" w:cs="仿宋_GB2312"/>
          <w:color w:val="auto"/>
          <w:kern w:val="0"/>
          <w:sz w:val="32"/>
          <w:szCs w:val="32"/>
          <w:lang w:val="en-US" w:eastAsia="zh-CN" w:bidi="ar"/>
        </w:rPr>
        <w:t>二）积极推进法治人社，依法依规开展各项工作</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 2025年，我局始终秉持“宣传、服务、监察、维权”的行政执法理念，持续聚焦重点行业、重点领域，坚持源头治理、预防为主、 防治结合、标本兼治的要求。</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我局累计开展“双随机，一公开”、“人力资源市场整顿”“禁止使用童工专项检查”“足疗服务行业劳动用工检查”“工程建设领域长效制度检查活动”等专项行政检查5次，累计查处用人单位120余户，涉及劳动者580余名。通过对各类欠薪线索处置，我局立案查处劳动保障监察案件36起。</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持续聚焦工伤案件，以“实地走访、依法依规、保障权益”为工作切入点，切实化解工伤案件事实不清、责任难定等问题，全力维护劳动者合法权益，推动工伤保障政策精准落实。共计申报工伤认定案件120起。</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劳动人事争议工作严格落实依法治县工作要求，以规范化、专业化建设为抓手，全面提升劳动仲裁法治服务能力。全年共受理劳动争议案件120件，结案120件，结案率达100%。在案件处理中，严格遵循《劳动争议调解仲裁法》等法律法规，坚持“调解优先、裁调结合”原则，通过庭前调解、庭中释法、庭后引导等方式，有效维护了劳动者与用人单位的合法权益，为县域经济社会稳定提供了坚实的法治保障。同时，建立了法院、人社、工会等部门的联动机制，形成了“多元化解、协同共治”的劳动争议治理格局。</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rPr>
          <w:rFonts w:hint="eastAsia" w:ascii="楷体_GB2312" w:hAnsi="楷体_GB2312" w:eastAsia="楷体_GB2312" w:cs="楷体_GB2312"/>
          <w:kern w:val="0"/>
          <w:sz w:val="32"/>
          <w:szCs w:val="32"/>
          <w:lang w:val="en-US" w:eastAsia="zh-CN" w:bidi="ar"/>
        </w:rPr>
      </w:pPr>
      <w:r>
        <w:rPr>
          <w:rFonts w:hint="eastAsia" w:ascii="楷体_GB2312" w:hAnsi="楷体_GB2312" w:eastAsia="楷体_GB2312" w:cs="楷体_GB2312"/>
          <w:kern w:val="0"/>
          <w:sz w:val="32"/>
          <w:szCs w:val="32"/>
          <w:lang w:val="en-US" w:eastAsia="zh-CN" w:bidi="ar"/>
        </w:rPr>
        <w:t>（三）持续深入推进“放管服”改革工作</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eastAsia" w:ascii="仿宋_GB2312" w:hAnsi="仿宋" w:eastAsia="仿宋_GB2312" w:cs="仿宋"/>
          <w:sz w:val="32"/>
          <w:szCs w:val="32"/>
          <w:lang w:val="en-US" w:eastAsia="zh-CN"/>
        </w:rPr>
      </w:pPr>
      <w:r>
        <w:rPr>
          <w:rFonts w:hint="eastAsia" w:ascii="仿宋_GB2312" w:hAnsi="仿宋_GB2312" w:eastAsia="仿宋_GB2312" w:cs="仿宋_GB2312"/>
          <w:color w:val="auto"/>
          <w:kern w:val="0"/>
          <w:sz w:val="32"/>
          <w:szCs w:val="32"/>
          <w:lang w:val="en-US" w:eastAsia="zh-CN" w:bidi="ar"/>
        </w:rPr>
        <w:t>根据我县政务服务工作要求，及时更新并动态调整我局行政服务事项目录。《鲁山县人力资源和社会保障局政务服务事项最小颗粒化目录》事项共计340项；其中，行政许可事项18项、行政确认事项1项、公共服务事项307项、其他行政权力14项，涉及社会保险、人事人才、劳动关系等领域，全系统政务服务事项实行一张清单管理。</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200" w:right="0" w:rightChars="0" w:firstLine="320" w:firstLineChars="1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三、2025年度推进法治政府建设存在的不足、原因</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虽然我局的法治建设工作取得了一些成绩，但距上级要求以及人民群众的期望还有一定差距。</w:t>
      </w:r>
    </w:p>
    <w:p>
      <w:pPr>
        <w:keepNext w:val="0"/>
        <w:keepLines w:val="0"/>
        <w:pageBreakBefore w:val="0"/>
        <w:widowControl w:val="0"/>
        <w:numPr>
          <w:ilvl w:val="0"/>
          <w:numId w:val="1"/>
        </w:numPr>
        <w:suppressLineNumbers w:val="0"/>
        <w:kinsoku/>
        <w:wordWrap/>
        <w:overflowPunct/>
        <w:topLinePunct w:val="0"/>
        <w:autoSpaceDE/>
        <w:autoSpaceDN/>
        <w:bidi w:val="0"/>
        <w:adjustRightInd w:val="0"/>
        <w:snapToGrid w:val="0"/>
        <w:spacing w:before="0" w:beforeAutospacing="0" w:afterAutospacing="0" w:line="560" w:lineRule="exact"/>
        <w:ind w:left="0" w:leftChars="0" w:right="0" w:rightChars="0" w:firstLine="739" w:firstLineChars="231"/>
        <w:jc w:val="left"/>
        <w:textAlignment w:val="auto"/>
        <w:rPr>
          <w:rFonts w:hint="eastAsia" w:ascii="楷体" w:hAnsi="楷体" w:eastAsia="楷体" w:cs="楷体"/>
          <w:b w:val="0"/>
          <w:bCs w:val="0"/>
          <w:kern w:val="2"/>
          <w:sz w:val="32"/>
          <w:szCs w:val="32"/>
          <w:lang w:val="en-US" w:eastAsia="zh-CN" w:bidi="ar"/>
        </w:rPr>
      </w:pPr>
      <w:r>
        <w:rPr>
          <w:rFonts w:hint="eastAsia" w:ascii="楷体" w:hAnsi="楷体" w:eastAsia="楷体" w:cs="楷体"/>
          <w:b w:val="0"/>
          <w:bCs w:val="0"/>
          <w:kern w:val="2"/>
          <w:sz w:val="32"/>
          <w:szCs w:val="32"/>
          <w:lang w:val="en-US" w:eastAsia="zh-CN" w:bidi="ar"/>
        </w:rPr>
        <w:t>法治宣传实效有待增强</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317" w:leftChars="151" w:right="0" w:rightChars="0" w:firstLine="630" w:firstLineChars="197"/>
        <w:jc w:val="left"/>
        <w:textAlignment w:val="auto"/>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普法宣传内容和方式仍以传统形式为主，缺乏创新性和吸引力。对基层群众、中小企业及新业态从业者等重点群体的精准性、实效性不足。</w:t>
      </w:r>
    </w:p>
    <w:p>
      <w:pPr>
        <w:keepNext w:val="0"/>
        <w:keepLines w:val="0"/>
        <w:pageBreakBefore w:val="0"/>
        <w:widowControl w:val="0"/>
        <w:numPr>
          <w:ilvl w:val="0"/>
          <w:numId w:val="2"/>
        </w:numPr>
        <w:suppressLineNumbers w:val="0"/>
        <w:kinsoku/>
        <w:wordWrap/>
        <w:overflowPunct/>
        <w:topLinePunct w:val="0"/>
        <w:autoSpaceDE/>
        <w:autoSpaceDN/>
        <w:bidi w:val="0"/>
        <w:adjustRightInd w:val="0"/>
        <w:snapToGrid w:val="0"/>
        <w:spacing w:before="0" w:beforeAutospacing="0" w:afterAutospacing="0" w:line="560" w:lineRule="exact"/>
        <w:ind w:left="0" w:leftChars="0" w:right="0" w:rightChars="0" w:firstLine="739" w:firstLineChars="231"/>
        <w:jc w:val="left"/>
        <w:textAlignment w:val="auto"/>
        <w:rPr>
          <w:rFonts w:hint="eastAsia" w:ascii="楷体" w:hAnsi="楷体" w:eastAsia="楷体" w:cs="楷体"/>
          <w:b w:val="0"/>
          <w:bCs w:val="0"/>
          <w:kern w:val="2"/>
          <w:sz w:val="32"/>
          <w:szCs w:val="32"/>
          <w:lang w:val="en-US" w:eastAsia="zh-CN" w:bidi="ar"/>
        </w:rPr>
      </w:pPr>
      <w:r>
        <w:rPr>
          <w:rFonts w:hint="eastAsia" w:ascii="楷体" w:hAnsi="楷体" w:eastAsia="楷体" w:cs="楷体"/>
          <w:b w:val="0"/>
          <w:bCs w:val="0"/>
          <w:kern w:val="2"/>
          <w:sz w:val="32"/>
          <w:szCs w:val="32"/>
          <w:lang w:val="en-US" w:eastAsia="zh-CN" w:bidi="ar"/>
        </w:rPr>
        <w:t>执法队伍建设存在短板</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0" w:leftChars="0" w:right="0" w:rightChars="0" w:firstLine="640" w:firstLineChars="200"/>
        <w:jc w:val="left"/>
        <w:textAlignment w:val="auto"/>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法治队伍在人员数量、专业结构上存在不足，面对新业态发展和劳动关系复杂化趋势，执法人员的专业素养和应急处理能力有待提升。</w:t>
      </w:r>
    </w:p>
    <w:p>
      <w:pPr>
        <w:keepNext w:val="0"/>
        <w:keepLines w:val="0"/>
        <w:pageBreakBefore w:val="0"/>
        <w:widowControl w:val="0"/>
        <w:numPr>
          <w:ilvl w:val="0"/>
          <w:numId w:val="3"/>
        </w:numPr>
        <w:suppressLineNumbers w:val="0"/>
        <w:kinsoku/>
        <w:wordWrap/>
        <w:overflowPunct/>
        <w:topLinePunct w:val="0"/>
        <w:autoSpaceDE/>
        <w:autoSpaceDN/>
        <w:bidi w:val="0"/>
        <w:adjustRightInd w:val="0"/>
        <w:snapToGrid w:val="0"/>
        <w:spacing w:before="0" w:beforeAutospacing="0" w:afterAutospacing="0" w:line="560" w:lineRule="exact"/>
        <w:ind w:left="0" w:leftChars="0" w:right="0" w:rightChars="0" w:firstLine="838" w:firstLineChars="262"/>
        <w:jc w:val="left"/>
        <w:textAlignment w:val="auto"/>
        <w:rPr>
          <w:rFonts w:hint="eastAsia" w:ascii="楷体" w:hAnsi="楷体" w:eastAsia="楷体" w:cs="楷体"/>
          <w:b w:val="0"/>
          <w:bCs w:val="0"/>
          <w:kern w:val="2"/>
          <w:sz w:val="32"/>
          <w:szCs w:val="32"/>
          <w:lang w:val="en-US" w:eastAsia="zh-CN" w:bidi="ar"/>
        </w:rPr>
      </w:pPr>
      <w:r>
        <w:rPr>
          <w:rFonts w:hint="eastAsia" w:ascii="楷体" w:hAnsi="楷体" w:eastAsia="楷体" w:cs="楷体"/>
          <w:b w:val="0"/>
          <w:bCs w:val="0"/>
          <w:kern w:val="2"/>
          <w:sz w:val="32"/>
          <w:szCs w:val="32"/>
          <w:lang w:val="en-US" w:eastAsia="zh-CN" w:bidi="ar"/>
        </w:rPr>
        <w:t>法治与业务融合还需加强</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315" w:leftChars="150" w:right="0" w:rightChars="0" w:firstLine="624" w:firstLineChars="195"/>
        <w:jc w:val="left"/>
        <w:textAlignment w:val="auto"/>
        <w:rPr>
          <w:rFonts w:hint="eastAsia" w:ascii="仿宋_GB2312" w:hAnsi="仿宋_GB2312" w:eastAsia="仿宋_GB2312" w:cs="仿宋_GB2312"/>
          <w:b w:val="0"/>
          <w:bCs w:val="0"/>
          <w:kern w:val="2"/>
          <w:sz w:val="32"/>
          <w:szCs w:val="32"/>
          <w:lang w:val="en-US" w:eastAsia="zh-CN" w:bidi="ar"/>
        </w:rPr>
      </w:pPr>
      <w:r>
        <w:rPr>
          <w:rFonts w:hint="eastAsia" w:ascii="仿宋_GB2312" w:hAnsi="仿宋_GB2312" w:eastAsia="仿宋_GB2312" w:cs="仿宋_GB2312"/>
          <w:b w:val="0"/>
          <w:bCs w:val="0"/>
          <w:kern w:val="2"/>
          <w:sz w:val="32"/>
          <w:szCs w:val="32"/>
          <w:lang w:val="en-US" w:eastAsia="zh-CN" w:bidi="ar"/>
        </w:rPr>
        <w:t>运用法治思维和法治方式破解复杂问题、推动工作的主动性需进一步提高。对小微企业和个体工商户落实劳动保障法律法规的监管力度有待加强，行政争议和劳资纠纷仍处高位。</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200" w:right="0" w:rightChars="0" w:firstLine="320" w:firstLineChars="100"/>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四、下一年度推进法治政府建设的初步安排</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（一）在深化普法宣传上求实效</w:t>
      </w: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严格落实“谁执法谁普法”责任制，着力改变传统宣传模式。针对农民工、新业态从业者等群体开展精准普法活动，提升宣传的针对性和感染力。</w:t>
      </w:r>
    </w:p>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after="0" w:line="560" w:lineRule="exact"/>
        <w:ind w:left="0" w:leftChars="0" w:firstLine="739" w:firstLineChars="231"/>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在规范执法行为上促提升</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17" w:leftChars="8" w:firstLine="620" w:firstLineChars="194"/>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全面深化行政执法“三项制度”落实，规范执法流程和文书标准。加强执法队伍专业化建设。</w:t>
      </w:r>
    </w:p>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after="0" w:line="560" w:lineRule="exact"/>
        <w:ind w:left="0" w:leftChars="0" w:firstLine="739" w:firstLineChars="231"/>
        <w:textAlignment w:val="auto"/>
        <w:rPr>
          <w:rFonts w:hint="eastAsia" w:ascii="楷体" w:hAnsi="楷体" w:eastAsia="楷体" w:cs="楷体"/>
          <w:b w:val="0"/>
          <w:bCs w:val="0"/>
          <w:kern w:val="0"/>
          <w:sz w:val="32"/>
          <w:szCs w:val="32"/>
          <w:lang w:val="en-US" w:eastAsia="zh-CN" w:bidi="ar"/>
        </w:rPr>
      </w:pPr>
      <w:r>
        <w:rPr>
          <w:rFonts w:hint="eastAsia" w:ascii="楷体" w:hAnsi="楷体" w:eastAsia="楷体" w:cs="楷体"/>
          <w:b w:val="0"/>
          <w:bCs w:val="0"/>
          <w:kern w:val="0"/>
          <w:sz w:val="32"/>
          <w:szCs w:val="32"/>
          <w:lang w:val="en-US" w:eastAsia="zh-CN" w:bidi="ar"/>
        </w:rPr>
        <w:t>在化解矛盾纠纷上建机制</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常态化开展根治欠薪专项行动。完善“人社+工会+法院”等多方参与的劳动争议多元化解机制，加强调解队伍专业化建设，推动行政争议和劳动纠纷源头化解、实质性化解。</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rPr>
          <w:rFonts w:hint="eastAsia" w:ascii="仿宋" w:hAnsi="仿宋" w:eastAsia="仿宋" w:cs="仿宋"/>
          <w:kern w:val="0"/>
          <w:sz w:val="32"/>
          <w:szCs w:val="32"/>
          <w:lang w:val="en-US" w:eastAsia="zh-CN" w:bidi="ar"/>
        </w:rPr>
      </w:pP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firstLine="640" w:firstLineChars="200"/>
        <w:textAlignment w:val="auto"/>
        <w:rPr>
          <w:rFonts w:hint="default" w:ascii="仿宋" w:hAnsi="仿宋" w:eastAsia="仿宋" w:cs="仿宋"/>
          <w:kern w:val="0"/>
          <w:sz w:val="32"/>
          <w:szCs w:val="32"/>
          <w:lang w:val="en-US" w:eastAsia="zh-CN" w:bidi="ar"/>
        </w:rPr>
      </w:pPr>
    </w:p>
    <w:p>
      <w:pPr>
        <w:pStyle w:val="9"/>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textAlignment w:val="auto"/>
        <w:rPr>
          <w:rFonts w:hint="eastAsia" w:ascii="仿宋" w:hAnsi="仿宋" w:eastAsia="仿宋" w:cs="仿宋"/>
          <w:kern w:val="0"/>
          <w:sz w:val="32"/>
          <w:szCs w:val="32"/>
          <w:lang w:val="en-US" w:eastAsia="zh-CN" w:bidi="ar"/>
        </w:rPr>
      </w:pPr>
    </w:p>
    <w:p>
      <w:pPr>
        <w:pStyle w:val="9"/>
        <w:keepNext w:val="0"/>
        <w:keepLines w:val="0"/>
        <w:pageBreakBefore w:val="0"/>
        <w:widowControl w:val="0"/>
        <w:kinsoku/>
        <w:wordWrap w:val="0"/>
        <w:overflowPunct/>
        <w:topLinePunct w:val="0"/>
        <w:autoSpaceDE/>
        <w:autoSpaceDN/>
        <w:bidi w:val="0"/>
        <w:adjustRightInd w:val="0"/>
        <w:snapToGrid w:val="0"/>
        <w:spacing w:after="0" w:line="560" w:lineRule="exact"/>
        <w:ind w:leftChars="0" w:firstLine="4160" w:firstLineChars="1300"/>
        <w:jc w:val="both"/>
        <w:textAlignment w:val="auto"/>
        <w:rPr>
          <w:rFonts w:hint="default"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鲁山县人力资源和社会保障局</w:t>
      </w:r>
    </w:p>
    <w:p>
      <w:pPr>
        <w:pStyle w:val="9"/>
        <w:keepNext w:val="0"/>
        <w:keepLines w:val="0"/>
        <w:pageBreakBefore w:val="0"/>
        <w:widowControl w:val="0"/>
        <w:kinsoku/>
        <w:wordWrap w:val="0"/>
        <w:overflowPunct/>
        <w:topLinePunct w:val="0"/>
        <w:autoSpaceDE/>
        <w:autoSpaceDN/>
        <w:bidi w:val="0"/>
        <w:adjustRightInd w:val="0"/>
        <w:snapToGrid w:val="0"/>
        <w:spacing w:after="0" w:line="560" w:lineRule="exact"/>
        <w:ind w:leftChars="0" w:firstLine="4160" w:firstLineChars="1300"/>
        <w:jc w:val="right"/>
        <w:textAlignment w:val="auto"/>
        <w:rPr>
          <w:rFonts w:hint="default" w:ascii="仿宋_GB2312" w:eastAsia="仿宋_GB2312"/>
          <w:sz w:val="32"/>
          <w:szCs w:val="32"/>
          <w:lang w:val="en-US" w:eastAsia="zh-CN"/>
        </w:rPr>
      </w:pPr>
      <w:r>
        <w:rPr>
          <w:rFonts w:hint="eastAsia" w:ascii="仿宋_GB2312" w:hAnsi="Times New Roman" w:eastAsia="仿宋_GB2312" w:cs="Times New Roman"/>
          <w:sz w:val="32"/>
          <w:szCs w:val="32"/>
          <w:lang w:val="en-US" w:eastAsia="zh-CN"/>
        </w:rPr>
        <w:t>202</w:t>
      </w:r>
      <w:r>
        <w:rPr>
          <w:rFonts w:hint="eastAsia" w:ascii="仿宋_GB2312" w:eastAsia="仿宋_GB2312" w:cs="Times New Roman"/>
          <w:sz w:val="32"/>
          <w:szCs w:val="32"/>
          <w:lang w:val="en-US" w:eastAsia="zh-CN"/>
        </w:rPr>
        <w:t>6</w:t>
      </w:r>
      <w:r>
        <w:rPr>
          <w:rFonts w:hint="eastAsia" w:ascii="仿宋_GB2312" w:hAnsi="Times New Roman" w:eastAsia="仿宋_GB2312" w:cs="Times New Roman"/>
          <w:sz w:val="32"/>
          <w:szCs w:val="32"/>
          <w:lang w:val="en-US" w:eastAsia="zh-CN"/>
        </w:rPr>
        <w:t>年</w:t>
      </w:r>
      <w:r>
        <w:rPr>
          <w:rFonts w:hint="eastAsia" w:ascii="仿宋_GB2312" w:eastAsia="仿宋_GB2312" w:cs="Times New Roman"/>
          <w:sz w:val="32"/>
          <w:szCs w:val="32"/>
          <w:lang w:val="en-US" w:eastAsia="zh-CN"/>
        </w:rPr>
        <w:t>2</w:t>
      </w:r>
      <w:r>
        <w:rPr>
          <w:rFonts w:hint="eastAsia" w:ascii="仿宋_GB2312" w:hAnsi="Times New Roman" w:eastAsia="仿宋_GB2312" w:cs="Times New Roman"/>
          <w:sz w:val="32"/>
          <w:szCs w:val="32"/>
          <w:lang w:val="en-US" w:eastAsia="zh-CN"/>
        </w:rPr>
        <w:t>月</w:t>
      </w:r>
      <w:r>
        <w:rPr>
          <w:rFonts w:hint="eastAsia" w:ascii="仿宋_GB2312" w:eastAsia="仿宋_GB2312" w:cs="Times New Roman"/>
          <w:sz w:val="32"/>
          <w:szCs w:val="32"/>
          <w:lang w:val="en-US" w:eastAsia="zh-CN"/>
        </w:rPr>
        <w:t xml:space="preserve">        </w:t>
      </w:r>
    </w:p>
    <w:p>
      <w:pPr>
        <w:keepNext w:val="0"/>
        <w:keepLines w:val="0"/>
        <w:pageBreakBefore w:val="0"/>
        <w:widowControl w:val="0"/>
        <w:kinsoku/>
        <w:overflowPunct/>
        <w:topLinePunct w:val="0"/>
        <w:autoSpaceDE/>
        <w:autoSpaceDN/>
        <w:bidi w:val="0"/>
        <w:spacing w:line="560" w:lineRule="exact"/>
        <w:textAlignment w:val="auto"/>
      </w:pPr>
    </w:p>
    <w:sectPr>
      <w:footerReference r:id="rId3" w:type="default"/>
      <w:footerReference r:id="rId4" w:type="even"/>
      <w:pgSz w:w="11906" w:h="16838"/>
      <w:pgMar w:top="2098" w:right="1587"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11D7B"/>
    <w:multiLevelType w:val="singleLevel"/>
    <w:tmpl w:val="8D111D7B"/>
    <w:lvl w:ilvl="0" w:tentative="0">
      <w:start w:val="1"/>
      <w:numFmt w:val="chineseCounting"/>
      <w:suff w:val="nothing"/>
      <w:lvlText w:val="（%1）"/>
      <w:lvlJc w:val="left"/>
      <w:rPr>
        <w:rFonts w:hint="eastAsia"/>
      </w:rPr>
    </w:lvl>
  </w:abstractNum>
  <w:abstractNum w:abstractNumId="1">
    <w:nsid w:val="CEBC78EB"/>
    <w:multiLevelType w:val="singleLevel"/>
    <w:tmpl w:val="CEBC78EB"/>
    <w:lvl w:ilvl="0" w:tentative="0">
      <w:start w:val="3"/>
      <w:numFmt w:val="chineseCounting"/>
      <w:suff w:val="nothing"/>
      <w:lvlText w:val="(%1）"/>
      <w:lvlJc w:val="left"/>
      <w:rPr>
        <w:rFonts w:hint="eastAsia"/>
      </w:rPr>
    </w:lvl>
  </w:abstractNum>
  <w:abstractNum w:abstractNumId="2">
    <w:nsid w:val="70B638B5"/>
    <w:multiLevelType w:val="singleLevel"/>
    <w:tmpl w:val="70B638B5"/>
    <w:lvl w:ilvl="0" w:tentative="0">
      <w:start w:val="2"/>
      <w:numFmt w:val="chineseCounting"/>
      <w:suff w:val="space"/>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160cafb2-aa34-4938-beb0-adff98c6ea1b"/>
  </w:docVars>
  <w:rsids>
    <w:rsidRoot w:val="72FE256E"/>
    <w:rsid w:val="078653D9"/>
    <w:rsid w:val="23FC0597"/>
    <w:rsid w:val="4F290529"/>
    <w:rsid w:val="6A49450C"/>
    <w:rsid w:val="72FE256E"/>
    <w:rsid w:val="7455045B"/>
    <w:rsid w:val="774D4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正文文本 21"/>
    <w:qFormat/>
    <w:uiPriority w:val="99"/>
    <w:pPr>
      <w:widowControl w:val="0"/>
      <w:spacing w:after="120" w:line="480" w:lineRule="auto"/>
      <w:jc w:val="both"/>
    </w:pPr>
    <w:rPr>
      <w:rFonts w:ascii="Times New Roman" w:hAnsi="Times New Roman"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page number"/>
    <w:basedOn w:val="7"/>
    <w:qFormat/>
    <w:uiPriority w:val="0"/>
  </w:style>
  <w:style w:type="paragraph" w:customStyle="1" w:styleId="9">
    <w:name w:val="正文首行缩进1"/>
    <w:basedOn w:val="2"/>
    <w:qFormat/>
    <w:uiPriority w:val="0"/>
    <w:pPr>
      <w:ind w:firstLine="420" w:firstLineChars="1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2043</Words>
  <Characters>2096</Characters>
  <Lines>0</Lines>
  <Paragraphs>0</Paragraphs>
  <TotalTime>0</TotalTime>
  <ScaleCrop>false</ScaleCrop>
  <LinksUpToDate>false</LinksUpToDate>
  <CharactersWithSpaces>2106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2025-03-04T02:15:00Z</dcterms:created>
  <dc:creator>86177</dc:creator>
  <cp:lastModifiedBy>陈哇塞</cp:lastModifiedBy>
  <dcterms:modified xsi:type="dcterms:W3CDTF">2026-04-02T06:32:31Z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29736967B1E84B61B1A826FA84FA416C_11</vt:lpwstr>
  </property>
  <property fmtid="{D5CDD505-2E9C-101B-9397-08002B2CF9AE}" pid="4" name="KSOTemplateDocerSaveRecord">
    <vt:lpwstr>eyJoZGlkIjoiOThkOGNmZGZhMzBjOWEwNDM4MGFhNzJkZTg3ZGVmNzkiLCJ1c2VySWQiOiIzNDk1NjA4NjEifQ==</vt:lpwstr>
  </property>
</Properties>
</file>