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鲁山县</w:t>
      </w:r>
      <w:r>
        <w:rPr>
          <w:rFonts w:hint="eastAsia" w:ascii="方正小标宋简体" w:hAnsi="方正小标宋简体" w:eastAsia="方正小标宋简体" w:cs="方正小标宋简体"/>
          <w:b w:val="0"/>
          <w:bCs/>
          <w:sz w:val="44"/>
          <w:szCs w:val="44"/>
        </w:rPr>
        <w:t>公安局</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US" w:eastAsia="zh-CN"/>
        </w:rPr>
        <w:t>关于</w:t>
      </w:r>
      <w:r>
        <w:rPr>
          <w:rFonts w:hint="eastAsia" w:ascii="方正小标宋简体" w:hAnsi="方正小标宋简体" w:eastAsia="方正小标宋简体" w:cs="方正小标宋简体"/>
          <w:b w:val="0"/>
          <w:bCs/>
          <w:sz w:val="44"/>
          <w:szCs w:val="44"/>
        </w:rPr>
        <w:t>2025年法治政府建设情况的报告</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2025年</w:t>
      </w:r>
      <w:r>
        <w:rPr>
          <w:rFonts w:hint="eastAsia" w:ascii="仿宋_GB2312" w:hAnsi="仿宋_GB2312" w:eastAsia="仿宋_GB2312" w:cs="仿宋_GB2312"/>
          <w:sz w:val="32"/>
          <w:szCs w:val="32"/>
          <w:lang w:eastAsia="zh-CN"/>
        </w:rPr>
        <w:t>以来</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鲁山县公安局在县委、县政府的坚强领导下，</w:t>
      </w:r>
      <w:r>
        <w:rPr>
          <w:rFonts w:hint="eastAsia" w:ascii="仿宋_GB2312" w:hAnsi="仿宋_GB2312" w:eastAsia="仿宋_GB2312" w:cs="仿宋_GB2312"/>
          <w:sz w:val="32"/>
          <w:szCs w:val="32"/>
        </w:rPr>
        <w:t>坚持以习近平新时代中国特色社会主义思想为指导，全面贯彻党的二十大及二十届历次全会精神，</w:t>
      </w:r>
      <w:r>
        <w:rPr>
          <w:rFonts w:hint="eastAsia" w:ascii="仿宋_GB2312" w:hAnsi="仿宋_GB2312" w:eastAsia="仿宋_GB2312" w:cs="仿宋_GB2312"/>
          <w:sz w:val="32"/>
          <w:szCs w:val="32"/>
          <w:lang w:val="en-US" w:eastAsia="zh-CN"/>
        </w:rPr>
        <w:t>认真贯彻习近平总书记在河南考察时重要讲话精神，</w:t>
      </w:r>
      <w:r>
        <w:rPr>
          <w:rFonts w:hint="eastAsia" w:ascii="仿宋_GB2312" w:hAnsi="仿宋_GB2312" w:eastAsia="仿宋_GB2312" w:cs="仿宋_GB2312"/>
          <w:sz w:val="32"/>
          <w:szCs w:val="32"/>
        </w:rPr>
        <w:t>紧扣《法治政府建设实施纲要（2021-2025年）》部署要求，以执法规范化建设为主线，</w:t>
      </w:r>
      <w:r>
        <w:rPr>
          <w:rFonts w:hint="eastAsia" w:ascii="仿宋_GB2312" w:hAnsi="仿宋_GB2312" w:eastAsia="仿宋_GB2312" w:cs="仿宋_GB2312"/>
          <w:sz w:val="32"/>
          <w:szCs w:val="32"/>
          <w:lang w:val="en-US" w:eastAsia="zh-CN"/>
        </w:rPr>
        <w:t>强化科技赋能实战，打防犯罪结合，全域推进“警网融合”工作落地落实，不断增强基层治理能力，将法治思维和法治方式贯穿公安工作全过程。现将全年推进法治政府建设情况报告如下：</w:t>
      </w:r>
      <w:bookmarkStart w:id="0" w:name="heading_0"/>
    </w:p>
    <w:p>
      <w:pPr>
        <w:keepNext w:val="0"/>
        <w:keepLines w:val="0"/>
        <w:pageBreakBefore w:val="0"/>
        <w:widowControl/>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sz w:val="32"/>
          <w:szCs w:val="32"/>
        </w:rPr>
      </w:pPr>
      <w:r>
        <w:rPr>
          <w:rFonts w:hint="eastAsia" w:ascii="黑体" w:hAnsi="黑体" w:eastAsia="黑体" w:cs="黑体"/>
          <w:b w:val="0"/>
          <w:bCs/>
          <w:sz w:val="32"/>
          <w:szCs w:val="32"/>
          <w:lang w:val="en-US" w:eastAsia="zh-CN"/>
        </w:rPr>
        <w:t>一、2025年度党政第一责任人推进法治建设履职情况</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楷体_GB2312" w:hAnsi="楷体_GB2312" w:eastAsia="楷体_GB2312" w:cs="楷体_GB2312"/>
          <w:b w:val="0"/>
          <w:bCs/>
          <w:sz w:val="32"/>
          <w:szCs w:val="32"/>
          <w:lang w:eastAsia="zh-CN"/>
        </w:rPr>
      </w:pPr>
      <w:r>
        <w:rPr>
          <w:rFonts w:hint="eastAsia" w:ascii="楷体_GB2312" w:hAnsi="楷体_GB2312" w:eastAsia="楷体_GB2312" w:cs="楷体_GB2312"/>
          <w:b w:val="0"/>
          <w:bCs/>
          <w:sz w:val="32"/>
          <w:szCs w:val="32"/>
        </w:rPr>
        <w:t>（</w:t>
      </w:r>
      <w:r>
        <w:rPr>
          <w:rFonts w:hint="eastAsia" w:ascii="楷体_GB2312" w:hAnsi="楷体_GB2312" w:eastAsia="楷体_GB2312" w:cs="楷体_GB2312"/>
          <w:b w:val="0"/>
          <w:bCs/>
          <w:sz w:val="32"/>
          <w:szCs w:val="32"/>
          <w:lang w:eastAsia="zh-CN"/>
        </w:rPr>
        <w:t>一</w:t>
      </w:r>
      <w:r>
        <w:rPr>
          <w:rFonts w:hint="eastAsia" w:ascii="楷体_GB2312" w:hAnsi="楷体_GB2312" w:eastAsia="楷体_GB2312" w:cs="楷体_GB2312"/>
          <w:b w:val="0"/>
          <w:bCs/>
          <w:sz w:val="32"/>
          <w:szCs w:val="32"/>
        </w:rPr>
        <w:t>）</w:t>
      </w:r>
      <w:r>
        <w:rPr>
          <w:rFonts w:hint="eastAsia" w:ascii="楷体_GB2312" w:hAnsi="楷体_GB2312" w:eastAsia="楷体_GB2312" w:cs="楷体_GB2312"/>
          <w:b w:val="0"/>
          <w:bCs/>
          <w:sz w:val="32"/>
          <w:szCs w:val="32"/>
          <w:lang w:eastAsia="zh-CN"/>
        </w:rPr>
        <w:t>强化组织领导，压实主体责任</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严格落实党政主要负责人履行推进法治建设第一责任人职责，</w:t>
      </w:r>
      <w:r>
        <w:rPr>
          <w:rFonts w:hint="eastAsia" w:ascii="仿宋_GB2312" w:hAnsi="仿宋_GB2312" w:eastAsia="仿宋_GB2312" w:cs="仿宋_GB2312"/>
          <w:kern w:val="0"/>
          <w:sz w:val="32"/>
          <w:szCs w:val="32"/>
        </w:rPr>
        <w:t>成立</w:t>
      </w:r>
      <w:r>
        <w:rPr>
          <w:rFonts w:hint="eastAsia" w:ascii="仿宋_GB2312" w:hAnsi="仿宋_GB2312" w:eastAsia="仿宋_GB2312" w:cs="仿宋_GB2312"/>
          <w:kern w:val="0"/>
          <w:sz w:val="32"/>
          <w:szCs w:val="32"/>
          <w:lang w:eastAsia="zh-CN"/>
        </w:rPr>
        <w:t>了</w:t>
      </w:r>
      <w:r>
        <w:rPr>
          <w:rFonts w:hint="eastAsia" w:ascii="仿宋_GB2312" w:hAnsi="仿宋_GB2312" w:eastAsia="仿宋_GB2312" w:cs="仿宋_GB2312"/>
          <w:kern w:val="0"/>
          <w:sz w:val="32"/>
          <w:szCs w:val="32"/>
        </w:rPr>
        <w:t>由局</w:t>
      </w:r>
      <w:r>
        <w:rPr>
          <w:rFonts w:hint="eastAsia" w:ascii="仿宋_GB2312" w:hAnsi="仿宋_GB2312" w:eastAsia="仿宋_GB2312" w:cs="仿宋_GB2312"/>
          <w:kern w:val="0"/>
          <w:sz w:val="32"/>
          <w:szCs w:val="32"/>
          <w:lang w:eastAsia="zh-CN"/>
        </w:rPr>
        <w:t>长</w:t>
      </w:r>
      <w:r>
        <w:rPr>
          <w:rFonts w:hint="eastAsia" w:ascii="仿宋_GB2312" w:hAnsi="仿宋_GB2312" w:eastAsia="仿宋_GB2312" w:cs="仿宋_GB2312"/>
          <w:kern w:val="0"/>
          <w:sz w:val="32"/>
          <w:szCs w:val="32"/>
        </w:rPr>
        <w:t>为组长，局党委委员为副组长，其他相关</w:t>
      </w:r>
      <w:r>
        <w:rPr>
          <w:rFonts w:hint="eastAsia" w:ascii="仿宋_GB2312" w:hAnsi="仿宋_GB2312" w:eastAsia="仿宋_GB2312" w:cs="仿宋_GB2312"/>
          <w:kern w:val="0"/>
          <w:sz w:val="32"/>
          <w:szCs w:val="32"/>
          <w:lang w:eastAsia="zh-CN"/>
        </w:rPr>
        <w:t>警种</w:t>
      </w:r>
      <w:r>
        <w:rPr>
          <w:rFonts w:hint="eastAsia" w:ascii="仿宋_GB2312" w:hAnsi="仿宋_GB2312" w:eastAsia="仿宋_GB2312" w:cs="仿宋_GB2312"/>
          <w:kern w:val="0"/>
          <w:sz w:val="32"/>
          <w:szCs w:val="32"/>
        </w:rPr>
        <w:t>部门为成员的法治政府建设工作领导小组，对法治政府建设工作进行统筹安排部署，处置解决法治政府建设中遇到的困难和问题，为推进法治政府建设工作提供坚实的组织保障</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sz w:val="32"/>
          <w:szCs w:val="32"/>
        </w:rPr>
        <w:t>确保各项工作落地见效。</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firstLine="640" w:firstLineChars="200"/>
        <w:jc w:val="both"/>
        <w:textAlignment w:val="auto"/>
        <w:outlineLvl w:val="1"/>
        <w:rPr>
          <w:rFonts w:hint="eastAsia" w:ascii="仿宋_GB2312" w:hAnsi="仿宋_GB2312" w:eastAsia="仿宋_GB2312" w:cs="仿宋_GB2312"/>
          <w:b w:val="0"/>
          <w:bCs/>
          <w:sz w:val="32"/>
          <w:szCs w:val="32"/>
          <w:lang w:val="en-US" w:eastAsia="zh-CN"/>
        </w:rPr>
      </w:pPr>
      <w:r>
        <w:rPr>
          <w:rFonts w:hint="eastAsia" w:ascii="楷体_GB2312" w:hAnsi="楷体_GB2312" w:eastAsia="楷体_GB2312" w:cs="楷体_GB2312"/>
          <w:b w:val="0"/>
          <w:bCs/>
          <w:sz w:val="32"/>
          <w:szCs w:val="32"/>
        </w:rPr>
        <w:t>强化政治引领，筑牢法治建设根本方向</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outlineLvl w:val="1"/>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val="0"/>
          <w:bCs w:val="0"/>
          <w:kern w:val="2"/>
          <w:sz w:val="32"/>
          <w:szCs w:val="32"/>
          <w:lang w:val="en-US" w:eastAsia="zh-CN" w:bidi="ar-SA"/>
        </w:rPr>
        <w:t>一是始</w:t>
      </w:r>
      <w:r>
        <w:rPr>
          <w:rFonts w:hint="eastAsia" w:ascii="仿宋_GB2312" w:hAnsi="仿宋_GB2312" w:eastAsia="仿宋_GB2312" w:cs="仿宋_GB2312"/>
          <w:kern w:val="2"/>
          <w:sz w:val="32"/>
          <w:szCs w:val="32"/>
          <w:lang w:val="en-US" w:eastAsia="zh-CN" w:bidi="ar-SA"/>
        </w:rPr>
        <w:t>终将党的政治建设置于首位，开展习近平新时代中国特色社会主义思想党委会专题学习</w:t>
      </w:r>
      <w:r>
        <w:rPr>
          <w:rFonts w:hint="default" w:ascii="Times New Roman" w:hAnsi="Times New Roman" w:cs="Times New Roman"/>
          <w:kern w:val="2"/>
          <w:sz w:val="32"/>
          <w:szCs w:val="32"/>
          <w:lang w:val="en-US" w:eastAsia="zh-CN" w:bidi="ar-SA"/>
        </w:rPr>
        <w:t>21</w:t>
      </w:r>
      <w:r>
        <w:rPr>
          <w:rFonts w:hint="eastAsia" w:ascii="仿宋_GB2312" w:hAnsi="仿宋_GB2312" w:eastAsia="仿宋_GB2312" w:cs="仿宋_GB2312"/>
          <w:kern w:val="2"/>
          <w:sz w:val="32"/>
          <w:szCs w:val="32"/>
          <w:lang w:val="en-US" w:eastAsia="zh-CN" w:bidi="ar-SA"/>
        </w:rPr>
        <w:t>次、党委理论中心组集中学习</w:t>
      </w:r>
      <w:r>
        <w:rPr>
          <w:rFonts w:hint="default" w:ascii="Times New Roman" w:hAnsi="Times New Roman" w:cs="Times New Roman"/>
          <w:kern w:val="2"/>
          <w:sz w:val="32"/>
          <w:szCs w:val="32"/>
          <w:lang w:val="en-US" w:eastAsia="zh-CN" w:bidi="ar-SA"/>
        </w:rPr>
        <w:t>12</w:t>
      </w:r>
      <w:r>
        <w:rPr>
          <w:rFonts w:hint="eastAsia" w:ascii="仿宋_GB2312" w:hAnsi="仿宋_GB2312" w:eastAsia="仿宋_GB2312" w:cs="仿宋_GB2312"/>
          <w:kern w:val="2"/>
          <w:sz w:val="32"/>
          <w:szCs w:val="32"/>
          <w:lang w:val="en-US" w:eastAsia="zh-CN" w:bidi="ar-SA"/>
        </w:rPr>
        <w:t>次，中央八项规定精神及实施细则政治学习覆盖党员、民辅警</w:t>
      </w:r>
      <w:r>
        <w:rPr>
          <w:rFonts w:hint="default" w:ascii="Times New Roman" w:hAnsi="Times New Roman" w:cs="Times New Roman"/>
          <w:kern w:val="2"/>
          <w:sz w:val="32"/>
          <w:szCs w:val="32"/>
          <w:lang w:val="en-US" w:eastAsia="zh-CN" w:bidi="ar-SA"/>
        </w:rPr>
        <w:t>1600</w:t>
      </w:r>
      <w:r>
        <w:rPr>
          <w:rFonts w:hint="eastAsia" w:ascii="仿宋_GB2312" w:hAnsi="仿宋_GB2312" w:eastAsia="仿宋_GB2312" w:cs="仿宋_GB2312"/>
          <w:kern w:val="2"/>
          <w:sz w:val="32"/>
          <w:szCs w:val="32"/>
          <w:lang w:val="en-US" w:eastAsia="zh-CN" w:bidi="ar-SA"/>
        </w:rPr>
        <w:t>余人次。</w:t>
      </w:r>
      <w:r>
        <w:rPr>
          <w:rFonts w:hint="eastAsia" w:ascii="仿宋_GB2312" w:hAnsi="仿宋_GB2312" w:eastAsia="仿宋_GB2312" w:cs="仿宋_GB2312"/>
          <w:b w:val="0"/>
          <w:bCs w:val="0"/>
          <w:kern w:val="2"/>
          <w:sz w:val="32"/>
          <w:szCs w:val="32"/>
          <w:lang w:val="en-US" w:eastAsia="zh-CN" w:bidi="ar-SA"/>
        </w:rPr>
        <w:t>二是</w:t>
      </w:r>
      <w:r>
        <w:rPr>
          <w:rFonts w:hint="eastAsia" w:ascii="仿宋_GB2312" w:hAnsi="仿宋_GB2312" w:eastAsia="仿宋_GB2312" w:cs="仿宋_GB2312"/>
          <w:kern w:val="2"/>
          <w:sz w:val="32"/>
          <w:szCs w:val="32"/>
          <w:lang w:val="en-US" w:eastAsia="zh-CN" w:bidi="ar-SA"/>
        </w:rPr>
        <w:t>不断强化组织建设，对机构改革后的基层党支部予以合并，完成</w:t>
      </w:r>
      <w:r>
        <w:rPr>
          <w:rFonts w:hint="default" w:ascii="Times New Roman" w:hAnsi="Times New Roman" w:cs="Times New Roman"/>
          <w:kern w:val="2"/>
          <w:sz w:val="32"/>
          <w:szCs w:val="32"/>
          <w:lang w:val="en-US" w:eastAsia="zh-CN" w:bidi="ar-SA"/>
        </w:rPr>
        <w:t>39</w:t>
      </w:r>
      <w:r>
        <w:rPr>
          <w:rFonts w:hint="eastAsia" w:ascii="仿宋_GB2312" w:hAnsi="仿宋_GB2312" w:eastAsia="仿宋_GB2312" w:cs="仿宋_GB2312"/>
          <w:kern w:val="2"/>
          <w:sz w:val="32"/>
          <w:szCs w:val="32"/>
          <w:lang w:val="en-US" w:eastAsia="zh-CN" w:bidi="ar-SA"/>
        </w:rPr>
        <w:t>个党支部换届选举，补选支委成员</w:t>
      </w:r>
      <w:r>
        <w:rPr>
          <w:rFonts w:hint="default" w:ascii="Times New Roman" w:hAnsi="Times New Roman" w:cs="Times New Roman"/>
          <w:kern w:val="2"/>
          <w:sz w:val="32"/>
          <w:szCs w:val="32"/>
          <w:lang w:val="en-US" w:eastAsia="zh-CN" w:bidi="ar-SA"/>
        </w:rPr>
        <w:t>88</w:t>
      </w:r>
      <w:r>
        <w:rPr>
          <w:rFonts w:hint="eastAsia" w:ascii="仿宋_GB2312" w:hAnsi="仿宋_GB2312" w:eastAsia="仿宋_GB2312" w:cs="仿宋_GB2312"/>
          <w:kern w:val="2"/>
          <w:sz w:val="32"/>
          <w:szCs w:val="32"/>
          <w:lang w:val="en-US" w:eastAsia="zh-CN" w:bidi="ar-SA"/>
        </w:rPr>
        <w:t>名；召开民主生活会1次，组织基层各党支部召开支部党员大会</w:t>
      </w:r>
      <w:r>
        <w:rPr>
          <w:rFonts w:hint="default" w:ascii="Times New Roman" w:hAnsi="Times New Roman" w:eastAsia="仿宋_GB2312" w:cs="Times New Roman"/>
          <w:kern w:val="2"/>
          <w:sz w:val="32"/>
          <w:szCs w:val="32"/>
          <w:lang w:val="en-US" w:eastAsia="zh-CN" w:bidi="ar-SA"/>
        </w:rPr>
        <w:t>120</w:t>
      </w:r>
      <w:r>
        <w:rPr>
          <w:rFonts w:hint="eastAsia" w:ascii="仿宋_GB2312" w:hAnsi="仿宋_GB2312" w:eastAsia="仿宋_GB2312" w:cs="仿宋_GB2312"/>
          <w:kern w:val="2"/>
          <w:sz w:val="32"/>
          <w:szCs w:val="32"/>
          <w:lang w:val="en-US" w:eastAsia="zh-CN" w:bidi="ar-SA"/>
        </w:rPr>
        <w:t>次，组织支部书记上党课活动</w:t>
      </w:r>
      <w:r>
        <w:rPr>
          <w:rFonts w:hint="default" w:ascii="Times New Roman" w:hAnsi="Times New Roman" w:eastAsia="仿宋_GB2312" w:cs="Times New Roman"/>
          <w:kern w:val="2"/>
          <w:sz w:val="32"/>
          <w:szCs w:val="32"/>
          <w:lang w:val="en-US" w:eastAsia="zh-CN" w:bidi="ar-SA"/>
        </w:rPr>
        <w:t>500</w:t>
      </w:r>
      <w:r>
        <w:rPr>
          <w:rFonts w:hint="eastAsia" w:ascii="仿宋_GB2312" w:hAnsi="仿宋_GB2312" w:eastAsia="仿宋_GB2312" w:cs="仿宋_GB2312"/>
          <w:kern w:val="2"/>
          <w:sz w:val="32"/>
          <w:szCs w:val="32"/>
          <w:lang w:val="en-US" w:eastAsia="zh-CN" w:bidi="ar-SA"/>
        </w:rPr>
        <w:t>余次。</w:t>
      </w:r>
      <w:r>
        <w:rPr>
          <w:rFonts w:hint="eastAsia" w:ascii="仿宋_GB2312" w:hAnsi="仿宋_GB2312" w:eastAsia="仿宋_GB2312" w:cs="仿宋_GB2312"/>
          <w:b w:val="0"/>
          <w:bCs w:val="0"/>
          <w:kern w:val="2"/>
          <w:sz w:val="32"/>
          <w:szCs w:val="32"/>
          <w:lang w:val="en-US" w:eastAsia="zh-CN" w:bidi="ar-SA"/>
        </w:rPr>
        <w:t>三是</w:t>
      </w:r>
      <w:r>
        <w:rPr>
          <w:rFonts w:hint="eastAsia" w:ascii="仿宋_GB2312" w:hAnsi="仿宋_GB2312" w:eastAsia="仿宋_GB2312" w:cs="仿宋_GB2312"/>
          <w:kern w:val="2"/>
          <w:sz w:val="32"/>
          <w:szCs w:val="32"/>
          <w:lang w:val="en-US" w:eastAsia="zh-CN" w:bidi="ar-SA"/>
        </w:rPr>
        <w:t>深入开展红色教育，组织开展红色基地参观学习活动</w:t>
      </w:r>
      <w:r>
        <w:rPr>
          <w:rFonts w:hint="default" w:ascii="Times New Roman" w:hAnsi="Times New Roman" w:eastAsia="仿宋_GB2312" w:cs="Times New Roman"/>
          <w:kern w:val="2"/>
          <w:sz w:val="32"/>
          <w:szCs w:val="32"/>
          <w:lang w:val="en-US" w:eastAsia="zh-CN" w:bidi="ar-SA"/>
        </w:rPr>
        <w:t>3</w:t>
      </w:r>
      <w:r>
        <w:rPr>
          <w:rFonts w:hint="eastAsia" w:ascii="仿宋_GB2312" w:hAnsi="仿宋_GB2312" w:eastAsia="仿宋_GB2312" w:cs="仿宋_GB2312"/>
          <w:kern w:val="2"/>
          <w:sz w:val="32"/>
          <w:szCs w:val="32"/>
          <w:lang w:val="en-US" w:eastAsia="zh-CN" w:bidi="ar-SA"/>
        </w:rPr>
        <w:t>批次，覆盖中层以上领导干部</w:t>
      </w:r>
      <w:r>
        <w:rPr>
          <w:rFonts w:hint="default" w:ascii="Times New Roman" w:hAnsi="Times New Roman" w:eastAsia="仿宋_GB2312" w:cs="Times New Roman"/>
          <w:kern w:val="2"/>
          <w:sz w:val="32"/>
          <w:szCs w:val="32"/>
          <w:lang w:val="en-US" w:eastAsia="zh-CN" w:bidi="ar-SA"/>
        </w:rPr>
        <w:t>120</w:t>
      </w:r>
      <w:r>
        <w:rPr>
          <w:rFonts w:hint="eastAsia" w:ascii="仿宋_GB2312" w:hAnsi="仿宋_GB2312" w:eastAsia="仿宋_GB2312" w:cs="仿宋_GB2312"/>
          <w:kern w:val="2"/>
          <w:sz w:val="32"/>
          <w:szCs w:val="32"/>
          <w:lang w:val="en-US" w:eastAsia="zh-CN" w:bidi="ar-SA"/>
        </w:rPr>
        <w:t>余人次。</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b w:val="0"/>
          <w:bCs/>
          <w:sz w:val="32"/>
          <w:szCs w:val="32"/>
        </w:rPr>
      </w:pPr>
      <w:bookmarkStart w:id="1" w:name="heading_3"/>
      <w:r>
        <w:rPr>
          <w:rFonts w:hint="eastAsia" w:ascii="楷体_GB2312" w:hAnsi="楷体_GB2312" w:eastAsia="楷体_GB2312" w:cs="楷体_GB2312"/>
          <w:b w:val="0"/>
          <w:bCs/>
          <w:sz w:val="32"/>
          <w:szCs w:val="32"/>
        </w:rPr>
        <w:t>服务发展大局</w:t>
      </w:r>
      <w:r>
        <w:rPr>
          <w:rFonts w:hint="eastAsia" w:ascii="楷体_GB2312" w:hAnsi="楷体_GB2312" w:eastAsia="楷体_GB2312" w:cs="楷体_GB2312"/>
          <w:b w:val="0"/>
          <w:bCs/>
          <w:sz w:val="32"/>
          <w:szCs w:val="32"/>
          <w:lang w:eastAsia="zh-CN"/>
        </w:rPr>
        <w:t>，护航</w:t>
      </w:r>
      <w:bookmarkEnd w:id="1"/>
      <w:r>
        <w:rPr>
          <w:rFonts w:hint="eastAsia" w:ascii="楷体_GB2312" w:hAnsi="楷体_GB2312" w:eastAsia="楷体_GB2312" w:cs="楷体_GB2312"/>
          <w:b w:val="0"/>
          <w:bCs/>
          <w:sz w:val="32"/>
          <w:szCs w:val="32"/>
          <w:lang w:eastAsia="zh-CN"/>
        </w:rPr>
        <w:t>中心工作</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紧扣</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委、</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政府中心工作，找准法治公安服务保障高质量发展的切入点，将法治政府建设与</w:t>
      </w:r>
      <w:r>
        <w:rPr>
          <w:rFonts w:hint="eastAsia" w:ascii="仿宋_GB2312" w:hAnsi="仿宋_GB2312" w:eastAsia="仿宋_GB2312" w:cs="仿宋_GB2312"/>
          <w:sz w:val="32"/>
          <w:szCs w:val="32"/>
          <w:lang w:eastAsia="zh-CN"/>
        </w:rPr>
        <w:t>政务服务</w:t>
      </w:r>
      <w:r>
        <w:rPr>
          <w:rFonts w:hint="eastAsia" w:ascii="仿宋_GB2312" w:hAnsi="仿宋_GB2312" w:eastAsia="仿宋_GB2312" w:cs="仿宋_GB2312"/>
          <w:sz w:val="32"/>
          <w:szCs w:val="32"/>
        </w:rPr>
        <w:t>、优化营商环境、</w:t>
      </w:r>
      <w:r>
        <w:rPr>
          <w:rFonts w:hint="eastAsia" w:ascii="仿宋_GB2312" w:hAnsi="仿宋_GB2312" w:eastAsia="仿宋_GB2312" w:cs="仿宋_GB2312"/>
          <w:b w:val="0"/>
          <w:bCs/>
          <w:color w:val="000000"/>
          <w:sz w:val="32"/>
          <w:szCs w:val="32"/>
        </w:rPr>
        <w:t>普法宣传</w:t>
      </w:r>
      <w:r>
        <w:rPr>
          <w:rFonts w:hint="eastAsia" w:ascii="仿宋_GB2312" w:hAnsi="仿宋_GB2312" w:eastAsia="仿宋_GB2312" w:cs="仿宋_GB2312"/>
          <w:b w:val="0"/>
          <w:bCs/>
          <w:color w:val="000000"/>
          <w:sz w:val="32"/>
          <w:szCs w:val="32"/>
          <w:lang w:eastAsia="zh-CN"/>
        </w:rPr>
        <w:t>、</w:t>
      </w:r>
      <w:r>
        <w:rPr>
          <w:rFonts w:hint="eastAsia" w:ascii="仿宋_GB2312" w:hAnsi="仿宋_GB2312" w:eastAsia="仿宋_GB2312" w:cs="仿宋_GB2312"/>
          <w:sz w:val="32"/>
          <w:szCs w:val="32"/>
        </w:rPr>
        <w:t>重大安保任务等重点工作同部署、同推进、同落实。</w:t>
      </w:r>
      <w:r>
        <w:rPr>
          <w:rFonts w:hint="eastAsia" w:ascii="仿宋_GB2312" w:hAnsi="宋体" w:eastAsia="仿宋_GB2312" w:cs="方正黑体简体"/>
          <w:sz w:val="32"/>
          <w:szCs w:val="32"/>
        </w:rPr>
        <w:t>围绕防风险、保安全、护稳定、促发展中心任务，</w:t>
      </w:r>
      <w:r>
        <w:rPr>
          <w:rFonts w:hint="eastAsia" w:ascii="仿宋_GB2312" w:hAnsi="宋体" w:eastAsia="仿宋_GB2312" w:cs="方正黑体简体"/>
          <w:sz w:val="32"/>
          <w:szCs w:val="32"/>
          <w:lang w:eastAsia="zh-CN"/>
        </w:rPr>
        <w:t>强力</w:t>
      </w:r>
      <w:r>
        <w:rPr>
          <w:rFonts w:hint="eastAsia" w:ascii="仿宋_GB2312" w:hAnsi="仿宋_GB2312" w:eastAsia="仿宋_GB2312" w:cs="仿宋_GB2312"/>
          <w:sz w:val="32"/>
          <w:szCs w:val="32"/>
        </w:rPr>
        <w:t>推动法治建设与公安主责主业深度融合，</w:t>
      </w:r>
      <w:r>
        <w:rPr>
          <w:rFonts w:hint="default" w:ascii="仿宋_GB2312" w:hAnsi="仿宋_GB2312" w:eastAsia="仿宋_GB2312" w:cs="仿宋_GB2312"/>
          <w:sz w:val="32"/>
          <w:szCs w:val="32"/>
          <w:lang w:eastAsia="zh-CN"/>
        </w:rPr>
        <w:t>以高水平法治公安建设</w:t>
      </w:r>
      <w:r>
        <w:rPr>
          <w:rFonts w:hint="eastAsia" w:ascii="仿宋_GB2312" w:hAnsi="仿宋_GB2312" w:eastAsia="仿宋_GB2312" w:cs="仿宋_GB2312"/>
          <w:sz w:val="32"/>
          <w:szCs w:val="32"/>
          <w:lang w:val="en-US" w:eastAsia="zh-CN"/>
        </w:rPr>
        <w:t>更好</w:t>
      </w:r>
      <w:r>
        <w:rPr>
          <w:rFonts w:hint="default" w:ascii="仿宋_GB2312" w:hAnsi="仿宋_GB2312" w:eastAsia="仿宋_GB2312" w:cs="仿宋_GB2312"/>
          <w:sz w:val="32"/>
          <w:szCs w:val="32"/>
          <w:lang w:val="en-US" w:eastAsia="zh-CN"/>
        </w:rPr>
        <w:t>护航</w:t>
      </w:r>
      <w:r>
        <w:rPr>
          <w:rFonts w:hint="eastAsia" w:ascii="仿宋_GB2312" w:hAnsi="仿宋_GB2312" w:eastAsia="仿宋_GB2312" w:cs="仿宋_GB2312"/>
          <w:sz w:val="32"/>
          <w:szCs w:val="32"/>
          <w:lang w:val="en-US" w:eastAsia="zh-CN"/>
        </w:rPr>
        <w:t>县域经济</w:t>
      </w:r>
      <w:r>
        <w:rPr>
          <w:rFonts w:hint="default" w:ascii="仿宋_GB2312" w:hAnsi="仿宋_GB2312" w:eastAsia="仿宋_GB2312" w:cs="仿宋_GB2312"/>
          <w:sz w:val="32"/>
          <w:szCs w:val="32"/>
          <w:lang w:val="en-US" w:eastAsia="zh-CN"/>
        </w:rPr>
        <w:t>高质量发展</w:t>
      </w:r>
      <w:r>
        <w:rPr>
          <w:rFonts w:hint="eastAsia" w:ascii="仿宋_GB2312" w:hAnsi="仿宋_GB2312" w:eastAsia="仿宋_GB2312" w:cs="仿宋_GB2312"/>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二、2025年度推进法治政府建设的主要举措和成效</w:t>
      </w:r>
    </w:p>
    <w:p>
      <w:pPr>
        <w:keepNext w:val="0"/>
        <w:keepLines w:val="0"/>
        <w:pageBreakBefore w:val="0"/>
        <w:widowControl w:val="0"/>
        <w:tabs>
          <w:tab w:val="left" w:pos="688"/>
        </w:tabs>
        <w:kinsoku/>
        <w:wordWrap/>
        <w:overflowPunct/>
        <w:topLinePunct w:val="0"/>
        <w:autoSpaceDE/>
        <w:autoSpaceDN/>
        <w:bidi w:val="0"/>
        <w:adjustRightInd/>
        <w:snapToGrid/>
        <w:spacing w:line="580" w:lineRule="exact"/>
        <w:ind w:firstLine="640" w:firstLineChars="200"/>
        <w:jc w:val="both"/>
        <w:textAlignment w:val="auto"/>
        <w:rPr>
          <w:rFonts w:hint="eastAsia" w:ascii="楷体_GB2312" w:hAnsi="楷体_GB2312" w:eastAsia="楷体_GB2312" w:cs="楷体_GB2312"/>
          <w:b w:val="0"/>
          <w:bCs w:val="0"/>
          <w:i w:val="0"/>
          <w:iCs w:val="0"/>
          <w:kern w:val="2"/>
          <w:sz w:val="32"/>
          <w:szCs w:val="32"/>
          <w:lang w:val="en-US" w:eastAsia="zh-CN" w:bidi="ar-SA"/>
        </w:rPr>
      </w:pPr>
      <w:bookmarkStart w:id="2" w:name="heading_9"/>
      <w:r>
        <w:rPr>
          <w:rFonts w:hint="eastAsia" w:ascii="楷体_GB2312" w:hAnsi="楷体_GB2312" w:eastAsia="楷体_GB2312" w:cs="楷体_GB2312"/>
          <w:b w:val="0"/>
          <w:bCs w:val="0"/>
          <w:i w:val="0"/>
          <w:iCs w:val="0"/>
          <w:kern w:val="2"/>
          <w:sz w:val="32"/>
          <w:szCs w:val="32"/>
          <w:lang w:val="en-US" w:eastAsia="zh-CN" w:bidi="ar-SA"/>
        </w:rPr>
        <w:t>（一）坚定不移捍卫国家政治安全</w:t>
      </w:r>
    </w:p>
    <w:p>
      <w:pPr>
        <w:keepNext w:val="0"/>
        <w:keepLines w:val="0"/>
        <w:pageBreakBefore w:val="0"/>
        <w:widowControl w:val="0"/>
        <w:tabs>
          <w:tab w:val="left" w:pos="688"/>
        </w:tabs>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是坚决贯彻总体国家安全观，深入开展反渗透、反颠覆、反邪教、反恐怖、反分裂斗争和网上斗争，坚决维护国家政权安全、制度安全、意识形态安全。二是牢固树立风险意识、底线意识，接收推送涉稳指令，第一时间组织开展核查、稳控工作。三是圆满完成重大节日、重要活动期间的安保任务，有力确保了重要节点和敏感时期的平稳度过，实现了安全“零事故”。四是严厉打击非访，依托“</w:t>
      </w:r>
      <w:r>
        <w:rPr>
          <w:rFonts w:hint="default" w:ascii="Times New Roman" w:hAnsi="Times New Roman" w:eastAsia="仿宋_GB2312" w:cs="Times New Roman"/>
          <w:kern w:val="2"/>
          <w:sz w:val="32"/>
          <w:szCs w:val="32"/>
          <w:lang w:val="en-US" w:eastAsia="zh-CN" w:bidi="ar-SA"/>
        </w:rPr>
        <w:t>1+3+2</w:t>
      </w:r>
      <w:r>
        <w:rPr>
          <w:rFonts w:hint="eastAsia" w:ascii="仿宋_GB2312" w:hAnsi="仿宋_GB2312" w:eastAsia="仿宋_GB2312" w:cs="仿宋_GB2312"/>
          <w:kern w:val="2"/>
          <w:sz w:val="32"/>
          <w:szCs w:val="32"/>
          <w:lang w:val="en-US" w:eastAsia="zh-CN" w:bidi="ar-SA"/>
        </w:rPr>
        <w:t>”机制刑事打击非访人员</w:t>
      </w:r>
      <w:r>
        <w:rPr>
          <w:rFonts w:hint="default" w:ascii="Times New Roman" w:hAnsi="Times New Roman" w:eastAsia="仿宋_GB2312" w:cs="Times New Roman"/>
          <w:kern w:val="2"/>
          <w:sz w:val="32"/>
          <w:szCs w:val="32"/>
          <w:lang w:val="en-US" w:eastAsia="zh-CN" w:bidi="ar-SA"/>
        </w:rPr>
        <w:t>4</w:t>
      </w:r>
      <w:r>
        <w:rPr>
          <w:rFonts w:hint="eastAsia" w:ascii="仿宋_GB2312" w:hAnsi="仿宋_GB2312" w:eastAsia="仿宋_GB2312" w:cs="仿宋_GB2312"/>
          <w:kern w:val="2"/>
          <w:sz w:val="32"/>
          <w:szCs w:val="32"/>
          <w:lang w:val="en-US" w:eastAsia="zh-CN" w:bidi="ar-SA"/>
        </w:rPr>
        <w:t>人、行政处罚</w:t>
      </w:r>
      <w:r>
        <w:rPr>
          <w:rFonts w:hint="default" w:ascii="Times New Roman" w:hAnsi="Times New Roman" w:eastAsia="仿宋_GB2312" w:cs="Times New Roman"/>
          <w:kern w:val="2"/>
          <w:sz w:val="32"/>
          <w:szCs w:val="32"/>
          <w:lang w:val="en-US" w:eastAsia="zh-CN" w:bidi="ar-SA"/>
        </w:rPr>
        <w:t>20</w:t>
      </w:r>
      <w:r>
        <w:rPr>
          <w:rFonts w:hint="eastAsia" w:ascii="仿宋_GB2312" w:hAnsi="仿宋_GB2312" w:eastAsia="仿宋_GB2312" w:cs="仿宋_GB2312"/>
          <w:kern w:val="2"/>
          <w:sz w:val="32"/>
          <w:szCs w:val="32"/>
          <w:lang w:val="en-US" w:eastAsia="zh-CN" w:bidi="ar-SA"/>
        </w:rPr>
        <w:t>人。</w:t>
      </w:r>
    </w:p>
    <w:p>
      <w:pPr>
        <w:keepNext w:val="0"/>
        <w:keepLines w:val="0"/>
        <w:pageBreakBefore w:val="0"/>
        <w:widowControl w:val="0"/>
        <w:tabs>
          <w:tab w:val="left" w:pos="688"/>
        </w:tabs>
        <w:kinsoku/>
        <w:wordWrap/>
        <w:overflowPunct/>
        <w:topLinePunct w:val="0"/>
        <w:autoSpaceDE/>
        <w:autoSpaceDN/>
        <w:bidi w:val="0"/>
        <w:adjustRightInd/>
        <w:snapToGrid/>
        <w:spacing w:line="580" w:lineRule="exact"/>
        <w:ind w:firstLine="640" w:firstLineChars="200"/>
        <w:jc w:val="both"/>
        <w:textAlignment w:val="auto"/>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（二）坚定不移严打违法犯罪</w:t>
      </w:r>
    </w:p>
    <w:p>
      <w:pPr>
        <w:keepNext w:val="0"/>
        <w:keepLines w:val="0"/>
        <w:pageBreakBefore w:val="0"/>
        <w:widowControl w:val="0"/>
        <w:tabs>
          <w:tab w:val="left" w:pos="688"/>
        </w:tabs>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紧扣公安部、省厅和市局部署要求，聚焦主责主业，坚持以侦查中心建设为抓手，推动侦查能力从“分散单一”向“集约高效”转变，实现“破案率显著提升、发案数持续下降”的良性态势。</w:t>
      </w:r>
      <w:r>
        <w:rPr>
          <w:rFonts w:hint="default" w:ascii="Times New Roman" w:hAnsi="Times New Roman" w:eastAsia="仿宋_GB2312" w:cs="Times New Roman"/>
          <w:kern w:val="2"/>
          <w:sz w:val="32"/>
          <w:szCs w:val="32"/>
          <w:lang w:val="en-US" w:eastAsia="zh-CN" w:bidi="ar-SA"/>
        </w:rPr>
        <w:t>2025</w:t>
      </w:r>
      <w:r>
        <w:rPr>
          <w:rFonts w:hint="eastAsia" w:ascii="仿宋_GB2312" w:hAnsi="仿宋_GB2312" w:eastAsia="仿宋_GB2312" w:cs="仿宋_GB2312"/>
          <w:kern w:val="2"/>
          <w:sz w:val="32"/>
          <w:szCs w:val="32"/>
          <w:lang w:val="en-US" w:eastAsia="zh-CN" w:bidi="ar-SA"/>
        </w:rPr>
        <w:t>年，全县刑事立案同比下降，破案率同比提升；八类严重暴力犯罪破案率</w:t>
      </w:r>
      <w:r>
        <w:rPr>
          <w:rFonts w:hint="default" w:ascii="Times New Roman" w:hAnsi="Times New Roman" w:eastAsia="仿宋_GB2312" w:cs="Times New Roman"/>
          <w:kern w:val="2"/>
          <w:sz w:val="32"/>
          <w:szCs w:val="32"/>
          <w:lang w:val="en-US" w:eastAsia="zh-CN" w:bidi="ar-SA"/>
        </w:rPr>
        <w:t>100%</w:t>
      </w:r>
      <w:r>
        <w:rPr>
          <w:rFonts w:hint="eastAsia" w:ascii="仿宋_GB2312" w:hAnsi="仿宋_GB2312" w:eastAsia="仿宋_GB2312" w:cs="仿宋_GB2312"/>
          <w:kern w:val="2"/>
          <w:sz w:val="32"/>
          <w:szCs w:val="32"/>
          <w:lang w:val="en-US" w:eastAsia="zh-CN" w:bidi="ar-SA"/>
        </w:rPr>
        <w:t>。特别是四类民生刑事案件、行政案件和电诈案件破案率高于全省平均值；刑事案件总数、盗抢骗类案件发案数、电诈类案件发案数同比下降，打防犯罪效能显著提升；成功侦办1起部督案件，一举抓获国内外电诈人员</w:t>
      </w:r>
      <w:r>
        <w:rPr>
          <w:rFonts w:hint="default" w:ascii="Times New Roman" w:hAnsi="Times New Roman" w:eastAsia="仿宋_GB2312" w:cs="Times New Roman"/>
          <w:kern w:val="2"/>
          <w:sz w:val="32"/>
          <w:szCs w:val="32"/>
          <w:lang w:val="en-US" w:eastAsia="zh-CN" w:bidi="ar-SA"/>
        </w:rPr>
        <w:t>200</w:t>
      </w:r>
      <w:r>
        <w:rPr>
          <w:rFonts w:hint="eastAsia" w:ascii="仿宋_GB2312" w:hAnsi="仿宋_GB2312" w:eastAsia="仿宋_GB2312" w:cs="仿宋_GB2312"/>
          <w:kern w:val="2"/>
          <w:sz w:val="32"/>
          <w:szCs w:val="32"/>
          <w:lang w:val="en-US" w:eastAsia="zh-CN" w:bidi="ar-SA"/>
        </w:rPr>
        <w:t>余人；成功侦办一批有影响的大要案件，获国家版权局表彰和省公安厅、市公安局贺电表扬。</w:t>
      </w:r>
    </w:p>
    <w:p>
      <w:pPr>
        <w:keepNext w:val="0"/>
        <w:keepLines w:val="0"/>
        <w:pageBreakBefore w:val="0"/>
        <w:widowControl w:val="0"/>
        <w:tabs>
          <w:tab w:val="left" w:pos="688"/>
        </w:tabs>
        <w:kinsoku/>
        <w:wordWrap/>
        <w:overflowPunct/>
        <w:topLinePunct w:val="0"/>
        <w:autoSpaceDE/>
        <w:autoSpaceDN/>
        <w:bidi w:val="0"/>
        <w:adjustRightInd/>
        <w:snapToGrid/>
        <w:spacing w:line="580" w:lineRule="exact"/>
        <w:ind w:firstLine="640" w:firstLineChars="200"/>
        <w:jc w:val="both"/>
        <w:textAlignment w:val="auto"/>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（三）坚定不移完善公共治理体系</w:t>
      </w:r>
    </w:p>
    <w:p>
      <w:pPr>
        <w:keepNext w:val="0"/>
        <w:keepLines w:val="0"/>
        <w:pageBreakBefore w:val="0"/>
        <w:widowControl w:val="0"/>
        <w:tabs>
          <w:tab w:val="left" w:pos="688"/>
        </w:tabs>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一是</w:t>
      </w:r>
      <w:r>
        <w:rPr>
          <w:rFonts w:hint="eastAsia" w:ascii="仿宋_GB2312" w:hAnsi="仿宋_GB2312" w:eastAsia="仿宋_GB2312" w:cs="仿宋_GB2312"/>
          <w:kern w:val="2"/>
          <w:sz w:val="32"/>
          <w:szCs w:val="32"/>
          <w:lang w:val="en-US" w:eastAsia="zh-CN" w:bidi="ar-SA"/>
        </w:rPr>
        <w:t>全域推进“警网融合”。自觉将公安基层基础工作融入到全县“警网融合”模式中，持续深化“一村（格）一警”工作机制，积极向县委政法委沟通汇报，建立了以县级矛盾纠纷排查指挥中心为龙头，以全县</w:t>
      </w:r>
      <w:r>
        <w:rPr>
          <w:rFonts w:hint="default" w:ascii="Times New Roman" w:hAnsi="Times New Roman" w:eastAsia="仿宋_GB2312" w:cs="Times New Roman"/>
          <w:kern w:val="2"/>
          <w:sz w:val="32"/>
          <w:szCs w:val="32"/>
          <w:lang w:val="en-US" w:eastAsia="zh-CN" w:bidi="ar-SA"/>
        </w:rPr>
        <w:t>27</w:t>
      </w:r>
      <w:r>
        <w:rPr>
          <w:rFonts w:hint="eastAsia" w:ascii="仿宋_GB2312" w:hAnsi="仿宋_GB2312" w:eastAsia="仿宋_GB2312" w:cs="仿宋_GB2312"/>
          <w:kern w:val="2"/>
          <w:sz w:val="32"/>
          <w:szCs w:val="32"/>
          <w:lang w:val="en-US" w:eastAsia="zh-CN" w:bidi="ar-SA"/>
        </w:rPr>
        <w:t>个乡级矛盾纠纷排查指挥中心为抓手，以</w:t>
      </w:r>
      <w:r>
        <w:rPr>
          <w:rFonts w:hint="default" w:ascii="Times New Roman" w:hAnsi="Times New Roman" w:eastAsia="仿宋_GB2312" w:cs="Times New Roman"/>
          <w:kern w:val="2"/>
          <w:sz w:val="32"/>
          <w:szCs w:val="32"/>
          <w:lang w:val="en-US" w:eastAsia="zh-CN" w:bidi="ar-SA"/>
        </w:rPr>
        <w:t>557</w:t>
      </w:r>
      <w:r>
        <w:rPr>
          <w:rFonts w:hint="eastAsia" w:ascii="仿宋_GB2312" w:hAnsi="仿宋_GB2312" w:eastAsia="仿宋_GB2312" w:cs="仿宋_GB2312"/>
          <w:kern w:val="2"/>
          <w:sz w:val="32"/>
          <w:szCs w:val="32"/>
          <w:lang w:val="en-US" w:eastAsia="zh-CN" w:bidi="ar-SA"/>
        </w:rPr>
        <w:t>个村级矛盾纠纷排查指挥中心为基础，以</w:t>
      </w:r>
      <w:r>
        <w:rPr>
          <w:rFonts w:hint="default" w:ascii="Times New Roman" w:hAnsi="Times New Roman" w:eastAsia="仿宋_GB2312" w:cs="Times New Roman"/>
          <w:kern w:val="2"/>
          <w:sz w:val="32"/>
          <w:szCs w:val="32"/>
          <w:lang w:val="en-US" w:eastAsia="zh-CN" w:bidi="ar-SA"/>
        </w:rPr>
        <w:t>3145</w:t>
      </w:r>
      <w:r>
        <w:rPr>
          <w:rFonts w:hint="eastAsia" w:ascii="仿宋_GB2312" w:hAnsi="仿宋_GB2312" w:eastAsia="仿宋_GB2312" w:cs="仿宋_GB2312"/>
          <w:kern w:val="2"/>
          <w:sz w:val="32"/>
          <w:szCs w:val="32"/>
          <w:lang w:val="en-US" w:eastAsia="zh-CN" w:bidi="ar-SA"/>
        </w:rPr>
        <w:t>个社区网格为矩阵，以</w:t>
      </w:r>
      <w:r>
        <w:rPr>
          <w:rFonts w:hint="default" w:ascii="Times New Roman" w:hAnsi="Times New Roman" w:eastAsia="仿宋_GB2312" w:cs="Times New Roman"/>
          <w:kern w:val="2"/>
          <w:sz w:val="32"/>
          <w:szCs w:val="32"/>
          <w:lang w:val="en-US" w:eastAsia="zh-CN" w:bidi="ar-SA"/>
        </w:rPr>
        <w:t>9000</w:t>
      </w:r>
      <w:r>
        <w:rPr>
          <w:rFonts w:hint="eastAsia" w:ascii="仿宋_GB2312" w:hAnsi="仿宋_GB2312" w:eastAsia="仿宋_GB2312" w:cs="仿宋_GB2312"/>
          <w:kern w:val="2"/>
          <w:sz w:val="32"/>
          <w:szCs w:val="32"/>
          <w:lang w:val="en-US" w:eastAsia="zh-CN" w:bidi="ar-SA"/>
        </w:rPr>
        <w:t>余名网格长和网格员为触角的“警网融合”工作模式，做到公安警格与社会网格的相互对应，围绕“三提升四下降”目标，聚焦解决群众急难愁盼的问题，构建了源头预防、排查预警、调处化解、应急处置的矛盾纠纷全链条治理新格局，最大限度预防和减少极端案事件的发生。</w:t>
      </w:r>
      <w:r>
        <w:rPr>
          <w:rFonts w:hint="default" w:ascii="Times New Roman" w:hAnsi="Times New Roman" w:eastAsia="仿宋_GB2312" w:cs="Times New Roman"/>
          <w:kern w:val="2"/>
          <w:sz w:val="32"/>
          <w:szCs w:val="32"/>
          <w:lang w:val="en-US" w:eastAsia="zh-CN" w:bidi="ar-SA"/>
        </w:rPr>
        <w:t>2025</w:t>
      </w:r>
      <w:r>
        <w:rPr>
          <w:rFonts w:hint="eastAsia" w:ascii="仿宋_GB2312" w:hAnsi="仿宋_GB2312" w:eastAsia="仿宋_GB2312" w:cs="仿宋_GB2312"/>
          <w:kern w:val="2"/>
          <w:sz w:val="32"/>
          <w:szCs w:val="32"/>
          <w:lang w:val="en-US" w:eastAsia="zh-CN" w:bidi="ar-SA"/>
        </w:rPr>
        <w:t>年，共排查化解各类矛盾纠纷</w:t>
      </w:r>
      <w:r>
        <w:rPr>
          <w:rFonts w:hint="default" w:ascii="Times New Roman" w:hAnsi="Times New Roman" w:eastAsia="仿宋_GB2312" w:cs="Times New Roman"/>
          <w:kern w:val="2"/>
          <w:sz w:val="32"/>
          <w:szCs w:val="32"/>
          <w:lang w:val="en-US" w:eastAsia="zh-CN" w:bidi="ar-SA"/>
        </w:rPr>
        <w:t>4461</w:t>
      </w:r>
      <w:r>
        <w:rPr>
          <w:rFonts w:hint="eastAsia" w:ascii="仿宋_GB2312" w:hAnsi="仿宋_GB2312" w:eastAsia="仿宋_GB2312" w:cs="仿宋_GB2312"/>
          <w:kern w:val="2"/>
          <w:sz w:val="32"/>
          <w:szCs w:val="32"/>
          <w:lang w:val="en-US" w:eastAsia="zh-CN" w:bidi="ar-SA"/>
        </w:rPr>
        <w:t>起，化解处置</w:t>
      </w:r>
      <w:r>
        <w:rPr>
          <w:rFonts w:hint="default" w:ascii="Times New Roman" w:hAnsi="Times New Roman" w:eastAsia="仿宋_GB2312" w:cs="Times New Roman"/>
          <w:kern w:val="2"/>
          <w:sz w:val="32"/>
          <w:szCs w:val="32"/>
          <w:lang w:val="en-US" w:eastAsia="zh-CN" w:bidi="ar-SA"/>
        </w:rPr>
        <w:t>4459</w:t>
      </w:r>
      <w:r>
        <w:rPr>
          <w:rFonts w:hint="eastAsia" w:ascii="仿宋_GB2312" w:hAnsi="仿宋_GB2312" w:eastAsia="仿宋_GB2312" w:cs="仿宋_GB2312"/>
          <w:kern w:val="2"/>
          <w:sz w:val="32"/>
          <w:szCs w:val="32"/>
          <w:lang w:val="en-US" w:eastAsia="zh-CN" w:bidi="ar-SA"/>
        </w:rPr>
        <w:t>起，整体化解处置率为</w:t>
      </w:r>
      <w:r>
        <w:rPr>
          <w:rFonts w:hint="default" w:ascii="Times New Roman" w:hAnsi="Times New Roman" w:eastAsia="仿宋_GB2312" w:cs="Times New Roman"/>
          <w:kern w:val="2"/>
          <w:sz w:val="32"/>
          <w:szCs w:val="32"/>
          <w:lang w:val="en-US" w:eastAsia="zh-CN" w:bidi="ar-SA"/>
        </w:rPr>
        <w:t>99.96%</w:t>
      </w:r>
      <w:r>
        <w:rPr>
          <w:rFonts w:hint="eastAsia" w:ascii="Times New Roman" w:hAnsi="Times New Roman" w:eastAsia="仿宋_GB2312" w:cs="Times New Roman"/>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累计向县委政法委报送矛盾纠纷风险隐患</w:t>
      </w:r>
      <w:r>
        <w:rPr>
          <w:rFonts w:hint="default" w:ascii="Times New Roman" w:hAnsi="Times New Roman" w:eastAsia="仿宋_GB2312" w:cs="Times New Roman"/>
          <w:kern w:val="2"/>
          <w:sz w:val="32"/>
          <w:szCs w:val="32"/>
          <w:lang w:val="en-US" w:eastAsia="zh-CN" w:bidi="ar-SA"/>
        </w:rPr>
        <w:t>39</w:t>
      </w:r>
      <w:r>
        <w:rPr>
          <w:rFonts w:hint="eastAsia" w:ascii="仿宋_GB2312" w:hAnsi="仿宋_GB2312" w:eastAsia="仿宋_GB2312" w:cs="仿宋_GB2312"/>
          <w:kern w:val="2"/>
          <w:sz w:val="32"/>
          <w:szCs w:val="32"/>
          <w:lang w:val="en-US" w:eastAsia="zh-CN" w:bidi="ar-SA"/>
        </w:rPr>
        <w:t>起，发出《风险提示函》</w:t>
      </w:r>
      <w:r>
        <w:rPr>
          <w:rFonts w:hint="default" w:ascii="Times New Roman" w:hAnsi="Times New Roman" w:eastAsia="仿宋_GB2312" w:cs="Times New Roman"/>
          <w:kern w:val="2"/>
          <w:sz w:val="32"/>
          <w:szCs w:val="32"/>
          <w:lang w:val="en-US" w:eastAsia="zh-CN" w:bidi="ar-SA"/>
        </w:rPr>
        <w:t>12</w:t>
      </w:r>
      <w:r>
        <w:rPr>
          <w:rFonts w:hint="eastAsia" w:ascii="仿宋_GB2312" w:hAnsi="仿宋_GB2312" w:eastAsia="仿宋_GB2312" w:cs="仿宋_GB2312"/>
          <w:kern w:val="2"/>
          <w:sz w:val="32"/>
          <w:szCs w:val="32"/>
          <w:lang w:val="en-US" w:eastAsia="zh-CN" w:bidi="ar-SA"/>
        </w:rPr>
        <w:t>份；全县未发生有影响的群体性案事件和“民转刑”“刑转命”以及个人极端案事件，初步实现了“三提升四下降”的工作目标。</w:t>
      </w:r>
      <w:r>
        <w:rPr>
          <w:rFonts w:hint="eastAsia" w:ascii="仿宋_GB2312" w:hAnsi="仿宋_GB2312" w:eastAsia="仿宋_GB2312" w:cs="仿宋_GB2312"/>
          <w:b w:val="0"/>
          <w:bCs w:val="0"/>
          <w:kern w:val="2"/>
          <w:sz w:val="32"/>
          <w:szCs w:val="32"/>
          <w:lang w:val="en-US" w:eastAsia="zh-CN" w:bidi="ar-SA"/>
        </w:rPr>
        <w:t>二是</w:t>
      </w:r>
      <w:r>
        <w:rPr>
          <w:rFonts w:hint="eastAsia" w:ascii="仿宋_GB2312" w:hAnsi="仿宋_GB2312" w:eastAsia="仿宋_GB2312" w:cs="仿宋_GB2312"/>
          <w:kern w:val="2"/>
          <w:sz w:val="32"/>
          <w:szCs w:val="32"/>
          <w:lang w:val="en-US" w:eastAsia="zh-CN" w:bidi="ar-SA"/>
        </w:rPr>
        <w:t>推动未成年人违法犯罪多方面、多维度治理格局。依托“警网融合”工作机制，深入排查各类涉校矛盾纠纷，切实做好校外风险系统性排查、涉未成年人矛盾纠纷的源头性化解、校园周边治安的联防联控。全面落实“一校一警”护学岗制度，督促指导学校全面开展安全隐患排查整改和安全巡查，全力筑牢校园安全防线。全年发现整改安全隐患</w:t>
      </w:r>
      <w:r>
        <w:rPr>
          <w:rFonts w:hint="default" w:ascii="Times New Roman" w:hAnsi="Times New Roman" w:eastAsia="仿宋_GB2312" w:cs="Times New Roman"/>
          <w:kern w:val="2"/>
          <w:sz w:val="32"/>
          <w:szCs w:val="32"/>
          <w:lang w:val="en-US" w:eastAsia="zh-CN" w:bidi="ar-SA"/>
        </w:rPr>
        <w:t>1528</w:t>
      </w:r>
      <w:r>
        <w:rPr>
          <w:rFonts w:hint="eastAsia" w:ascii="仿宋_GB2312" w:hAnsi="仿宋_GB2312" w:eastAsia="仿宋_GB2312" w:cs="仿宋_GB2312"/>
          <w:kern w:val="2"/>
          <w:sz w:val="32"/>
          <w:szCs w:val="32"/>
          <w:lang w:val="en-US" w:eastAsia="zh-CN" w:bidi="ar-SA"/>
        </w:rPr>
        <w:t>处，下发责令限期整改通知书</w:t>
      </w:r>
      <w:r>
        <w:rPr>
          <w:rFonts w:hint="default" w:ascii="Times New Roman" w:hAnsi="Times New Roman" w:eastAsia="仿宋_GB2312" w:cs="Times New Roman"/>
          <w:kern w:val="2"/>
          <w:sz w:val="32"/>
          <w:szCs w:val="32"/>
          <w:lang w:val="en-US" w:eastAsia="zh-CN" w:bidi="ar-SA"/>
        </w:rPr>
        <w:t>540</w:t>
      </w:r>
      <w:r>
        <w:rPr>
          <w:rFonts w:hint="eastAsia" w:ascii="仿宋_GB2312" w:hAnsi="仿宋_GB2312" w:eastAsia="仿宋_GB2312" w:cs="仿宋_GB2312"/>
          <w:kern w:val="2"/>
          <w:sz w:val="32"/>
          <w:szCs w:val="32"/>
          <w:lang w:val="en-US" w:eastAsia="zh-CN" w:bidi="ar-SA"/>
        </w:rPr>
        <w:t>份，行政警告</w:t>
      </w:r>
      <w:r>
        <w:rPr>
          <w:rFonts w:hint="default" w:ascii="Times New Roman" w:hAnsi="Times New Roman" w:eastAsia="仿宋_GB2312" w:cs="Times New Roman"/>
          <w:kern w:val="2"/>
          <w:sz w:val="32"/>
          <w:szCs w:val="32"/>
          <w:lang w:val="en-US" w:eastAsia="zh-CN" w:bidi="ar-SA"/>
        </w:rPr>
        <w:t>255</w:t>
      </w:r>
      <w:r>
        <w:rPr>
          <w:rFonts w:hint="eastAsia" w:ascii="仿宋_GB2312" w:hAnsi="仿宋_GB2312" w:eastAsia="仿宋_GB2312" w:cs="仿宋_GB2312"/>
          <w:kern w:val="2"/>
          <w:sz w:val="32"/>
          <w:szCs w:val="32"/>
          <w:lang w:val="en-US" w:eastAsia="zh-CN" w:bidi="ar-SA"/>
        </w:rPr>
        <w:t>所。依托鲁山县专门教育指导委员会，分级分类开展矫治服务，全年共投入</w:t>
      </w:r>
      <w:r>
        <w:rPr>
          <w:rFonts w:hint="default" w:ascii="Times New Roman" w:hAnsi="Times New Roman" w:eastAsia="仿宋_GB2312" w:cs="Times New Roman"/>
          <w:kern w:val="2"/>
          <w:sz w:val="32"/>
          <w:szCs w:val="32"/>
          <w:lang w:val="en-US" w:eastAsia="zh-CN" w:bidi="ar-SA"/>
        </w:rPr>
        <w:t>43</w:t>
      </w:r>
      <w:r>
        <w:rPr>
          <w:rFonts w:hint="eastAsia" w:ascii="仿宋_GB2312" w:hAnsi="仿宋_GB2312" w:eastAsia="仿宋_GB2312" w:cs="仿宋_GB2312"/>
          <w:kern w:val="2"/>
          <w:sz w:val="32"/>
          <w:szCs w:val="32"/>
          <w:lang w:val="en-US" w:eastAsia="zh-CN" w:bidi="ar-SA"/>
        </w:rPr>
        <w:t>万余元，送汝州市若水专门学校</w:t>
      </w:r>
      <w:r>
        <w:rPr>
          <w:rFonts w:hint="default" w:ascii="Times New Roman" w:hAnsi="Times New Roman" w:eastAsia="仿宋_GB2312" w:cs="Times New Roman"/>
          <w:kern w:val="2"/>
          <w:sz w:val="32"/>
          <w:szCs w:val="32"/>
          <w:lang w:val="en-US" w:eastAsia="zh-CN" w:bidi="ar-SA"/>
        </w:rPr>
        <w:t>18</w:t>
      </w:r>
      <w:r>
        <w:rPr>
          <w:rFonts w:hint="eastAsia" w:ascii="仿宋_GB2312" w:hAnsi="仿宋_GB2312" w:eastAsia="仿宋_GB2312" w:cs="仿宋_GB2312"/>
          <w:kern w:val="2"/>
          <w:sz w:val="32"/>
          <w:szCs w:val="32"/>
          <w:lang w:val="en-US" w:eastAsia="zh-CN" w:bidi="ar-SA"/>
        </w:rPr>
        <w:t>人、送市二十一中</w:t>
      </w:r>
      <w:r>
        <w:rPr>
          <w:rFonts w:hint="default" w:ascii="Times New Roman" w:hAnsi="Times New Roman" w:eastAsia="仿宋_GB2312" w:cs="Times New Roman"/>
          <w:kern w:val="2"/>
          <w:sz w:val="32"/>
          <w:szCs w:val="32"/>
          <w:lang w:val="en-US" w:eastAsia="zh-CN" w:bidi="ar-SA"/>
        </w:rPr>
        <w:t>3</w:t>
      </w:r>
      <w:r>
        <w:rPr>
          <w:rFonts w:hint="eastAsia" w:ascii="仿宋_GB2312" w:hAnsi="仿宋_GB2312" w:eastAsia="仿宋_GB2312" w:cs="仿宋_GB2312"/>
          <w:kern w:val="2"/>
          <w:sz w:val="32"/>
          <w:szCs w:val="32"/>
          <w:lang w:val="en-US" w:eastAsia="zh-CN" w:bidi="ar-SA"/>
        </w:rPr>
        <w:t>人。</w:t>
      </w:r>
      <w:r>
        <w:rPr>
          <w:rFonts w:hint="eastAsia" w:ascii="仿宋_GB2312" w:hAnsi="仿宋_GB2312" w:eastAsia="仿宋_GB2312" w:cs="仿宋_GB2312"/>
          <w:b w:val="0"/>
          <w:bCs w:val="0"/>
          <w:kern w:val="2"/>
          <w:sz w:val="32"/>
          <w:szCs w:val="32"/>
          <w:lang w:val="en-US" w:eastAsia="zh-CN" w:bidi="ar-SA"/>
        </w:rPr>
        <w:t>三是</w:t>
      </w:r>
      <w:r>
        <w:rPr>
          <w:rFonts w:hint="eastAsia" w:ascii="仿宋_GB2312" w:hAnsi="仿宋_GB2312" w:eastAsia="仿宋_GB2312" w:cs="仿宋_GB2312"/>
          <w:kern w:val="2"/>
          <w:sz w:val="32"/>
          <w:szCs w:val="32"/>
          <w:lang w:val="en-US" w:eastAsia="zh-CN" w:bidi="ar-SA"/>
        </w:rPr>
        <w:t>强化社会面巡逻管控。严格落实快速响应等机制，最大限度将警力压向街面、压向重点要害部位，不断织密织牢安全防护网。</w:t>
      </w:r>
    </w:p>
    <w:p>
      <w:pPr>
        <w:keepNext w:val="0"/>
        <w:keepLines w:val="0"/>
        <w:pageBreakBefore w:val="0"/>
        <w:widowControl w:val="0"/>
        <w:tabs>
          <w:tab w:val="left" w:pos="688"/>
        </w:tabs>
        <w:kinsoku/>
        <w:wordWrap/>
        <w:overflowPunct/>
        <w:topLinePunct w:val="0"/>
        <w:autoSpaceDE/>
        <w:autoSpaceDN/>
        <w:bidi w:val="0"/>
        <w:adjustRightInd/>
        <w:snapToGrid/>
        <w:spacing w:line="580" w:lineRule="exact"/>
        <w:ind w:firstLine="640" w:firstLineChars="200"/>
        <w:jc w:val="both"/>
        <w:textAlignment w:val="auto"/>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（四）坚定不移做好行业管理服务</w:t>
      </w:r>
    </w:p>
    <w:p>
      <w:pPr>
        <w:keepNext w:val="0"/>
        <w:keepLines w:val="0"/>
        <w:pageBreakBefore w:val="0"/>
        <w:widowControl w:val="0"/>
        <w:tabs>
          <w:tab w:val="left" w:pos="688"/>
        </w:tabs>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一是持续强化治安管理，全年检查旅馆</w:t>
      </w:r>
      <w:r>
        <w:rPr>
          <w:rFonts w:hint="default" w:ascii="Times New Roman" w:hAnsi="Times New Roman" w:eastAsia="仿宋_GB2312" w:cs="Times New Roman"/>
          <w:kern w:val="2"/>
          <w:sz w:val="32"/>
          <w:szCs w:val="32"/>
          <w:lang w:val="en-US" w:eastAsia="zh-CN" w:bidi="ar-SA"/>
        </w:rPr>
        <w:t>227</w:t>
      </w:r>
      <w:r>
        <w:rPr>
          <w:rFonts w:hint="eastAsia" w:ascii="仿宋_GB2312" w:hAnsi="仿宋_GB2312" w:eastAsia="仿宋_GB2312" w:cs="仿宋_GB2312"/>
          <w:kern w:val="2"/>
          <w:sz w:val="32"/>
          <w:szCs w:val="32"/>
          <w:lang w:val="en-US" w:eastAsia="zh-CN" w:bidi="ar-SA"/>
        </w:rPr>
        <w:t>家次、棋牌室</w:t>
      </w:r>
      <w:r>
        <w:rPr>
          <w:rFonts w:hint="default" w:ascii="Times New Roman" w:hAnsi="Times New Roman" w:eastAsia="仿宋_GB2312" w:cs="Times New Roman"/>
          <w:kern w:val="2"/>
          <w:sz w:val="32"/>
          <w:szCs w:val="32"/>
          <w:lang w:val="en-US" w:eastAsia="zh-CN" w:bidi="ar-SA"/>
        </w:rPr>
        <w:t>83</w:t>
      </w:r>
      <w:r>
        <w:rPr>
          <w:rFonts w:hint="eastAsia" w:ascii="仿宋_GB2312" w:hAnsi="仿宋_GB2312" w:eastAsia="仿宋_GB2312" w:cs="仿宋_GB2312"/>
          <w:kern w:val="2"/>
          <w:sz w:val="32"/>
          <w:szCs w:val="32"/>
          <w:lang w:val="en-US" w:eastAsia="zh-CN" w:bidi="ar-SA"/>
        </w:rPr>
        <w:t>家次、废旧金属收购站点</w:t>
      </w:r>
      <w:r>
        <w:rPr>
          <w:rFonts w:hint="default" w:ascii="Times New Roman" w:hAnsi="Times New Roman" w:eastAsia="仿宋_GB2312" w:cs="Times New Roman"/>
          <w:kern w:val="2"/>
          <w:sz w:val="32"/>
          <w:szCs w:val="32"/>
          <w:lang w:val="en-US" w:eastAsia="zh-CN" w:bidi="ar-SA"/>
        </w:rPr>
        <w:t>45</w:t>
      </w:r>
      <w:r>
        <w:rPr>
          <w:rFonts w:hint="eastAsia" w:ascii="仿宋_GB2312" w:hAnsi="仿宋_GB2312" w:eastAsia="仿宋_GB2312" w:cs="仿宋_GB2312"/>
          <w:kern w:val="2"/>
          <w:sz w:val="32"/>
          <w:szCs w:val="32"/>
          <w:lang w:val="en-US" w:eastAsia="zh-CN" w:bidi="ar-SA"/>
        </w:rPr>
        <w:t>家次，发现并整改安全隐患</w:t>
      </w:r>
      <w:r>
        <w:rPr>
          <w:rFonts w:hint="default" w:ascii="Times New Roman" w:hAnsi="Times New Roman" w:eastAsia="仿宋_GB2312" w:cs="Times New Roman"/>
          <w:kern w:val="2"/>
          <w:sz w:val="32"/>
          <w:szCs w:val="32"/>
          <w:lang w:val="en-US" w:eastAsia="zh-CN" w:bidi="ar-SA"/>
        </w:rPr>
        <w:t>129</w:t>
      </w:r>
      <w:r>
        <w:rPr>
          <w:rFonts w:hint="eastAsia" w:ascii="仿宋_GB2312" w:hAnsi="仿宋_GB2312" w:eastAsia="仿宋_GB2312" w:cs="仿宋_GB2312"/>
          <w:kern w:val="2"/>
          <w:sz w:val="32"/>
          <w:szCs w:val="32"/>
          <w:lang w:val="en-US" w:eastAsia="zh-CN" w:bidi="ar-SA"/>
        </w:rPr>
        <w:t>处；依法处罚违规经营旅馆</w:t>
      </w:r>
      <w:r>
        <w:rPr>
          <w:rFonts w:hint="default" w:ascii="Times New Roman" w:hAnsi="Times New Roman" w:eastAsia="仿宋_GB2312" w:cs="Times New Roman"/>
          <w:kern w:val="2"/>
          <w:sz w:val="32"/>
          <w:szCs w:val="32"/>
          <w:lang w:val="en-US" w:eastAsia="zh-CN" w:bidi="ar-SA"/>
        </w:rPr>
        <w:t>12</w:t>
      </w:r>
      <w:r>
        <w:rPr>
          <w:rFonts w:hint="eastAsia" w:ascii="仿宋_GB2312" w:hAnsi="仿宋_GB2312" w:eastAsia="仿宋_GB2312" w:cs="仿宋_GB2312"/>
          <w:kern w:val="2"/>
          <w:sz w:val="32"/>
          <w:szCs w:val="32"/>
          <w:lang w:val="en-US" w:eastAsia="zh-CN" w:bidi="ar-SA"/>
        </w:rPr>
        <w:t>家，注销不符合经营条件的废旧金属站点</w:t>
      </w:r>
      <w:r>
        <w:rPr>
          <w:rFonts w:hint="default" w:ascii="Times New Roman" w:hAnsi="Times New Roman" w:eastAsia="仿宋_GB2312" w:cs="Times New Roman"/>
          <w:kern w:val="2"/>
          <w:sz w:val="32"/>
          <w:szCs w:val="32"/>
          <w:lang w:val="en-US" w:eastAsia="zh-CN" w:bidi="ar-SA"/>
        </w:rPr>
        <w:t>5</w:t>
      </w:r>
      <w:r>
        <w:rPr>
          <w:rFonts w:hint="eastAsia" w:ascii="仿宋_GB2312" w:hAnsi="仿宋_GB2312" w:eastAsia="仿宋_GB2312" w:cs="仿宋_GB2312"/>
          <w:kern w:val="2"/>
          <w:sz w:val="32"/>
          <w:szCs w:val="32"/>
          <w:lang w:val="en-US" w:eastAsia="zh-CN" w:bidi="ar-SA"/>
        </w:rPr>
        <w:t>家，下发行业风险提示函</w:t>
      </w:r>
      <w:r>
        <w:rPr>
          <w:rFonts w:hint="default" w:ascii="Times New Roman" w:hAnsi="Times New Roman" w:eastAsia="仿宋_GB2312" w:cs="Times New Roman"/>
          <w:kern w:val="2"/>
          <w:sz w:val="32"/>
          <w:szCs w:val="32"/>
          <w:lang w:val="en-US" w:eastAsia="zh-CN" w:bidi="ar-SA"/>
        </w:rPr>
        <w:t>56</w:t>
      </w:r>
      <w:r>
        <w:rPr>
          <w:rFonts w:hint="eastAsia" w:ascii="仿宋_GB2312" w:hAnsi="仿宋_GB2312" w:eastAsia="仿宋_GB2312" w:cs="仿宋_GB2312"/>
          <w:kern w:val="2"/>
          <w:sz w:val="32"/>
          <w:szCs w:val="32"/>
          <w:lang w:val="en-US" w:eastAsia="zh-CN" w:bidi="ar-SA"/>
        </w:rPr>
        <w:t>份。二是狠抓危爆物品监管，检查从业单位</w:t>
      </w:r>
      <w:r>
        <w:rPr>
          <w:rFonts w:hint="default" w:ascii="Times New Roman" w:hAnsi="Times New Roman" w:eastAsia="仿宋_GB2312" w:cs="Times New Roman"/>
          <w:kern w:val="2"/>
          <w:sz w:val="32"/>
          <w:szCs w:val="32"/>
          <w:lang w:val="en-US" w:eastAsia="zh-CN" w:bidi="ar-SA"/>
        </w:rPr>
        <w:t>130</w:t>
      </w:r>
      <w:r>
        <w:rPr>
          <w:rFonts w:hint="eastAsia" w:ascii="仿宋_GB2312" w:hAnsi="仿宋_GB2312" w:eastAsia="仿宋_GB2312" w:cs="仿宋_GB2312"/>
          <w:kern w:val="2"/>
          <w:sz w:val="32"/>
          <w:szCs w:val="32"/>
          <w:lang w:val="en-US" w:eastAsia="zh-CN" w:bidi="ar-SA"/>
        </w:rPr>
        <w:t>余家次，发现并督促整改安全隐患</w:t>
      </w:r>
      <w:r>
        <w:rPr>
          <w:rFonts w:hint="default" w:ascii="Times New Roman" w:hAnsi="Times New Roman" w:eastAsia="仿宋_GB2312" w:cs="Times New Roman"/>
          <w:kern w:val="2"/>
          <w:sz w:val="32"/>
          <w:szCs w:val="32"/>
          <w:lang w:val="en-US" w:eastAsia="zh-CN" w:bidi="ar-SA"/>
        </w:rPr>
        <w:t>20</w:t>
      </w:r>
      <w:r>
        <w:rPr>
          <w:rFonts w:hint="eastAsia" w:ascii="仿宋_GB2312" w:hAnsi="仿宋_GB2312" w:eastAsia="仿宋_GB2312" w:cs="仿宋_GB2312"/>
          <w:kern w:val="2"/>
          <w:sz w:val="32"/>
          <w:szCs w:val="32"/>
          <w:lang w:val="en-US" w:eastAsia="zh-CN" w:bidi="ar-SA"/>
        </w:rPr>
        <w:t>余处，下发隐患整改通知书</w:t>
      </w:r>
      <w:r>
        <w:rPr>
          <w:rFonts w:hint="default" w:ascii="Times New Roman" w:hAnsi="Times New Roman" w:eastAsia="仿宋_GB2312" w:cs="Times New Roman"/>
          <w:kern w:val="2"/>
          <w:sz w:val="32"/>
          <w:szCs w:val="32"/>
          <w:lang w:val="en-US" w:eastAsia="zh-CN" w:bidi="ar-SA"/>
        </w:rPr>
        <w:t>4</w:t>
      </w:r>
      <w:r>
        <w:rPr>
          <w:rFonts w:hint="eastAsia" w:ascii="仿宋_GB2312" w:hAnsi="仿宋_GB2312" w:eastAsia="仿宋_GB2312" w:cs="仿宋_GB2312"/>
          <w:kern w:val="2"/>
          <w:sz w:val="32"/>
          <w:szCs w:val="32"/>
          <w:lang w:val="en-US" w:eastAsia="zh-CN" w:bidi="ar-SA"/>
        </w:rPr>
        <w:t>份。三是强化“九小场所”消防综合治理。采取“拉网式”排查与“回头看”复查相结合的方式，全面排查整治隐患，全年排查“九小场所”</w:t>
      </w:r>
      <w:r>
        <w:rPr>
          <w:rFonts w:hint="default" w:ascii="Times New Roman" w:hAnsi="Times New Roman" w:eastAsia="仿宋_GB2312" w:cs="Times New Roman"/>
          <w:kern w:val="2"/>
          <w:sz w:val="32"/>
          <w:szCs w:val="32"/>
          <w:lang w:val="en-US" w:eastAsia="zh-CN" w:bidi="ar-SA"/>
        </w:rPr>
        <w:t>3805</w:t>
      </w:r>
      <w:r>
        <w:rPr>
          <w:rFonts w:hint="eastAsia" w:ascii="仿宋_GB2312" w:hAnsi="仿宋_GB2312" w:eastAsia="仿宋_GB2312" w:cs="仿宋_GB2312"/>
          <w:kern w:val="2"/>
          <w:sz w:val="32"/>
          <w:szCs w:val="32"/>
          <w:lang w:val="en-US" w:eastAsia="zh-CN" w:bidi="ar-SA"/>
        </w:rPr>
        <w:t>家次，发现消防安全隐患</w:t>
      </w:r>
      <w:r>
        <w:rPr>
          <w:rFonts w:hint="default" w:ascii="Times New Roman" w:hAnsi="Times New Roman" w:eastAsia="仿宋_GB2312" w:cs="Times New Roman"/>
          <w:kern w:val="2"/>
          <w:sz w:val="32"/>
          <w:szCs w:val="32"/>
          <w:lang w:val="en-US" w:eastAsia="zh-CN" w:bidi="ar-SA"/>
        </w:rPr>
        <w:t>185</w:t>
      </w:r>
      <w:r>
        <w:rPr>
          <w:rFonts w:hint="eastAsia" w:ascii="仿宋_GB2312" w:hAnsi="仿宋_GB2312" w:eastAsia="仿宋_GB2312" w:cs="仿宋_GB2312"/>
          <w:kern w:val="2"/>
          <w:sz w:val="32"/>
          <w:szCs w:val="32"/>
          <w:lang w:val="en-US" w:eastAsia="zh-CN" w:bidi="ar-SA"/>
        </w:rPr>
        <w:t>处，整改</w:t>
      </w:r>
      <w:r>
        <w:rPr>
          <w:rFonts w:hint="default" w:ascii="Times New Roman" w:hAnsi="Times New Roman" w:eastAsia="仿宋_GB2312" w:cs="Times New Roman"/>
          <w:kern w:val="2"/>
          <w:sz w:val="32"/>
          <w:szCs w:val="32"/>
          <w:lang w:val="en-US" w:eastAsia="zh-CN" w:bidi="ar-SA"/>
        </w:rPr>
        <w:t>185</w:t>
      </w:r>
      <w:r>
        <w:rPr>
          <w:rFonts w:hint="eastAsia" w:ascii="仿宋_GB2312" w:hAnsi="仿宋_GB2312" w:eastAsia="仿宋_GB2312" w:cs="仿宋_GB2312"/>
          <w:kern w:val="2"/>
          <w:sz w:val="32"/>
          <w:szCs w:val="32"/>
          <w:lang w:val="en-US" w:eastAsia="zh-CN" w:bidi="ar-SA"/>
        </w:rPr>
        <w:t>处，全县未发生“九小场所”重大消防安全事故。四是持续强化交通管理。紧盯交通事故高发多发路段时段，严守农村和校园重点区域，严查“三超一疲劳”、酒驾醉驾等易肇事肇祸交通违法行为，深入组织开展重大道路交通事故隐患专项排查整治等专项行动，严防发生重特大交通事故。全年累计录入非现场交通违法</w:t>
      </w:r>
      <w:r>
        <w:rPr>
          <w:rFonts w:hint="default" w:ascii="Times New Roman" w:hAnsi="Times New Roman" w:eastAsia="仿宋_GB2312" w:cs="Times New Roman"/>
          <w:kern w:val="2"/>
          <w:sz w:val="32"/>
          <w:szCs w:val="32"/>
          <w:lang w:val="en-US" w:eastAsia="zh-CN" w:bidi="ar-SA"/>
        </w:rPr>
        <w:t>7.17</w:t>
      </w:r>
      <w:r>
        <w:rPr>
          <w:rFonts w:hint="eastAsia" w:ascii="仿宋_GB2312" w:hAnsi="仿宋_GB2312" w:eastAsia="仿宋_GB2312" w:cs="仿宋_GB2312"/>
          <w:kern w:val="2"/>
          <w:sz w:val="32"/>
          <w:szCs w:val="32"/>
          <w:lang w:val="en-US" w:eastAsia="zh-CN" w:bidi="ar-SA"/>
        </w:rPr>
        <w:t>万起、现场查处各类交通违法</w:t>
      </w:r>
      <w:r>
        <w:rPr>
          <w:rFonts w:hint="default" w:ascii="Times New Roman" w:hAnsi="Times New Roman" w:eastAsia="仿宋_GB2312" w:cs="Times New Roman"/>
          <w:kern w:val="2"/>
          <w:sz w:val="32"/>
          <w:szCs w:val="32"/>
          <w:lang w:val="en-US" w:eastAsia="zh-CN" w:bidi="ar-SA"/>
        </w:rPr>
        <w:t>1.1935</w:t>
      </w:r>
      <w:r>
        <w:rPr>
          <w:rFonts w:hint="eastAsia" w:ascii="仿宋_GB2312" w:hAnsi="仿宋_GB2312" w:eastAsia="仿宋_GB2312" w:cs="仿宋_GB2312"/>
          <w:kern w:val="2"/>
          <w:sz w:val="32"/>
          <w:szCs w:val="32"/>
          <w:lang w:val="en-US" w:eastAsia="zh-CN" w:bidi="ar-SA"/>
        </w:rPr>
        <w:t>万起；一般程序道路交通违法事故起数、死亡人数、受伤人数，分别同比下降</w:t>
      </w:r>
      <w:r>
        <w:rPr>
          <w:rFonts w:hint="default" w:ascii="Times New Roman" w:hAnsi="Times New Roman" w:eastAsia="仿宋_GB2312" w:cs="Times New Roman"/>
          <w:kern w:val="2"/>
          <w:sz w:val="32"/>
          <w:szCs w:val="32"/>
          <w:lang w:val="en-US" w:eastAsia="zh-CN" w:bidi="ar-SA"/>
        </w:rPr>
        <w:t>62.4%、3.5%、73.1%</w:t>
      </w:r>
      <w:r>
        <w:rPr>
          <w:rFonts w:hint="eastAsia" w:ascii="仿宋_GB2312" w:hAnsi="仿宋_GB2312" w:eastAsia="仿宋_GB2312" w:cs="仿宋_GB2312"/>
          <w:kern w:val="2"/>
          <w:sz w:val="32"/>
          <w:szCs w:val="32"/>
          <w:lang w:val="en-US" w:eastAsia="zh-CN" w:bidi="ar-SA"/>
        </w:rPr>
        <w:t>，其中涉及电动自行车死亡事故下降</w:t>
      </w:r>
      <w:r>
        <w:rPr>
          <w:rFonts w:hint="default" w:ascii="Times New Roman" w:hAnsi="Times New Roman" w:eastAsia="仿宋_GB2312" w:cs="Times New Roman"/>
          <w:kern w:val="2"/>
          <w:sz w:val="32"/>
          <w:szCs w:val="32"/>
          <w:lang w:val="en-US" w:eastAsia="zh-CN" w:bidi="ar-SA"/>
        </w:rPr>
        <w:t>12.7%</w:t>
      </w:r>
      <w:r>
        <w:rPr>
          <w:rFonts w:hint="eastAsia" w:ascii="仿宋_GB2312" w:hAnsi="仿宋_GB2312" w:eastAsia="仿宋_GB2312" w:cs="仿宋_GB2312"/>
          <w:kern w:val="2"/>
          <w:sz w:val="32"/>
          <w:szCs w:val="32"/>
          <w:lang w:val="en-US" w:eastAsia="zh-CN" w:bidi="ar-SA"/>
        </w:rPr>
        <w:t>；以办理省市县民生实事为抓手，对排查出的</w:t>
      </w:r>
      <w:r>
        <w:rPr>
          <w:rFonts w:hint="default" w:ascii="Times New Roman" w:hAnsi="Times New Roman" w:eastAsia="仿宋_GB2312" w:cs="Times New Roman"/>
          <w:kern w:val="2"/>
          <w:sz w:val="32"/>
          <w:szCs w:val="32"/>
          <w:lang w:val="en-US" w:eastAsia="zh-CN" w:bidi="ar-SA"/>
        </w:rPr>
        <w:t>203</w:t>
      </w:r>
      <w:r>
        <w:rPr>
          <w:rFonts w:hint="eastAsia" w:ascii="仿宋_GB2312" w:hAnsi="仿宋_GB2312" w:eastAsia="仿宋_GB2312" w:cs="仿宋_GB2312"/>
          <w:kern w:val="2"/>
          <w:sz w:val="32"/>
          <w:szCs w:val="32"/>
          <w:lang w:val="en-US" w:eastAsia="zh-CN" w:bidi="ar-SA"/>
        </w:rPr>
        <w:t>处交通安全隐患点段，实行“一点一策、专班负责、挂牌督办”，全部按时完成整治；全县未发生一次死亡</w:t>
      </w:r>
      <w:r>
        <w:rPr>
          <w:rFonts w:hint="default" w:ascii="Times New Roman" w:hAnsi="Times New Roman" w:eastAsia="仿宋_GB2312" w:cs="Times New Roman"/>
          <w:kern w:val="2"/>
          <w:sz w:val="32"/>
          <w:szCs w:val="32"/>
          <w:lang w:val="en-US" w:eastAsia="zh-CN" w:bidi="ar-SA"/>
        </w:rPr>
        <w:t>3</w:t>
      </w:r>
      <w:r>
        <w:rPr>
          <w:rFonts w:hint="eastAsia" w:ascii="仿宋_GB2312" w:hAnsi="仿宋_GB2312" w:eastAsia="仿宋_GB2312" w:cs="仿宋_GB2312"/>
          <w:kern w:val="2"/>
          <w:sz w:val="32"/>
          <w:szCs w:val="32"/>
          <w:lang w:val="en-US" w:eastAsia="zh-CN" w:bidi="ar-SA"/>
        </w:rPr>
        <w:t>人以上较大交通事故。五是持续创优法治化营商环境，认真贯彻市局关于“助企日”的各项安排部署，持续深化“一项目一警长一专班”机制，不断强化警企沟通合作，持续加大对企法治宣传，狠抓涉企风险预警，严厉打击涉企违法犯罪，全力护航企业健康发展。2025年开展“助企日”集中走访活动4次，走访企业和重点项目400家余次，收集诉求建议</w:t>
      </w:r>
      <w:r>
        <w:rPr>
          <w:rFonts w:hint="default" w:ascii="Times New Roman" w:hAnsi="Times New Roman" w:eastAsia="仿宋_GB2312" w:cs="Times New Roman"/>
          <w:kern w:val="2"/>
          <w:sz w:val="32"/>
          <w:szCs w:val="32"/>
          <w:lang w:val="en-US" w:eastAsia="zh-CN" w:bidi="ar-SA"/>
        </w:rPr>
        <w:t>17</w:t>
      </w:r>
      <w:r>
        <w:rPr>
          <w:rFonts w:hint="eastAsia" w:ascii="仿宋_GB2312" w:hAnsi="仿宋_GB2312" w:eastAsia="仿宋_GB2312" w:cs="仿宋_GB2312"/>
          <w:kern w:val="2"/>
          <w:sz w:val="32"/>
          <w:szCs w:val="32"/>
          <w:lang w:val="en-US" w:eastAsia="zh-CN" w:bidi="ar-SA"/>
        </w:rPr>
        <w:t>条，帮助解决企业实际困难</w:t>
      </w:r>
      <w:r>
        <w:rPr>
          <w:rFonts w:hint="default" w:ascii="Times New Roman" w:hAnsi="Times New Roman" w:eastAsia="仿宋_GB2312" w:cs="Times New Roman"/>
          <w:kern w:val="2"/>
          <w:sz w:val="32"/>
          <w:szCs w:val="32"/>
          <w:lang w:val="en-US" w:eastAsia="zh-CN" w:bidi="ar-SA"/>
        </w:rPr>
        <w:t>27</w:t>
      </w:r>
      <w:r>
        <w:rPr>
          <w:rFonts w:hint="eastAsia" w:ascii="仿宋_GB2312" w:hAnsi="仿宋_GB2312" w:eastAsia="仿宋_GB2312" w:cs="仿宋_GB2312"/>
          <w:kern w:val="2"/>
          <w:sz w:val="32"/>
          <w:szCs w:val="32"/>
          <w:lang w:val="en-US" w:eastAsia="zh-CN" w:bidi="ar-SA"/>
        </w:rPr>
        <w:t>项；常态化开展“万警助万企”“送法进企”活动</w:t>
      </w:r>
      <w:r>
        <w:rPr>
          <w:rFonts w:hint="default" w:ascii="Times New Roman" w:hAnsi="Times New Roman" w:eastAsia="仿宋_GB2312" w:cs="Times New Roman"/>
          <w:kern w:val="2"/>
          <w:sz w:val="32"/>
          <w:szCs w:val="32"/>
          <w:lang w:val="en-US" w:eastAsia="zh-CN" w:bidi="ar-SA"/>
        </w:rPr>
        <w:t>27</w:t>
      </w:r>
      <w:r>
        <w:rPr>
          <w:rFonts w:hint="eastAsia" w:ascii="仿宋_GB2312" w:hAnsi="仿宋_GB2312" w:eastAsia="仿宋_GB2312" w:cs="仿宋_GB2312"/>
          <w:kern w:val="2"/>
          <w:sz w:val="32"/>
          <w:szCs w:val="32"/>
          <w:lang w:val="en-US" w:eastAsia="zh-CN" w:bidi="ar-SA"/>
        </w:rPr>
        <w:t>场次，发放各类宣传资料</w:t>
      </w:r>
      <w:r>
        <w:rPr>
          <w:rFonts w:hint="default" w:ascii="Times New Roman" w:hAnsi="Times New Roman" w:eastAsia="仿宋_GB2312" w:cs="Times New Roman"/>
          <w:kern w:val="2"/>
          <w:sz w:val="32"/>
          <w:szCs w:val="32"/>
          <w:lang w:val="en-US" w:eastAsia="zh-CN" w:bidi="ar-SA"/>
        </w:rPr>
        <w:t>1</w:t>
      </w:r>
      <w:r>
        <w:rPr>
          <w:rFonts w:hint="eastAsia" w:ascii="仿宋_GB2312" w:hAnsi="仿宋_GB2312" w:eastAsia="仿宋_GB2312" w:cs="仿宋_GB2312"/>
          <w:kern w:val="2"/>
          <w:sz w:val="32"/>
          <w:szCs w:val="32"/>
          <w:lang w:val="en-US" w:eastAsia="zh-CN" w:bidi="ar-SA"/>
        </w:rPr>
        <w:t>万余份；帮助</w:t>
      </w:r>
      <w:r>
        <w:rPr>
          <w:rFonts w:hint="default" w:ascii="Times New Roman" w:hAnsi="Times New Roman" w:eastAsia="仿宋_GB2312" w:cs="Times New Roman"/>
          <w:kern w:val="2"/>
          <w:sz w:val="32"/>
          <w:szCs w:val="32"/>
          <w:lang w:val="en-US" w:eastAsia="zh-CN" w:bidi="ar-SA"/>
        </w:rPr>
        <w:t>40</w:t>
      </w:r>
      <w:r>
        <w:rPr>
          <w:rFonts w:hint="eastAsia" w:ascii="仿宋_GB2312" w:hAnsi="仿宋_GB2312" w:eastAsia="仿宋_GB2312" w:cs="仿宋_GB2312"/>
          <w:kern w:val="2"/>
          <w:sz w:val="32"/>
          <w:szCs w:val="32"/>
          <w:lang w:val="en-US" w:eastAsia="zh-CN" w:bidi="ar-SA"/>
        </w:rPr>
        <w:t>余家企业进行“法治体检”，梳理堵塞法律风险点60余处，进一步优化了法治化营商环境。六是持续做细旅游警务，细化景区秩序维护、快速响应游客求助，用心守护游客安心，为推动我县经济高质量发展保驾护航。</w:t>
      </w:r>
    </w:p>
    <w:p>
      <w:pPr>
        <w:keepNext w:val="0"/>
        <w:keepLines w:val="0"/>
        <w:pageBreakBefore w:val="0"/>
        <w:widowControl w:val="0"/>
        <w:tabs>
          <w:tab w:val="left" w:pos="688"/>
        </w:tabs>
        <w:kinsoku/>
        <w:wordWrap/>
        <w:overflowPunct/>
        <w:topLinePunct w:val="0"/>
        <w:autoSpaceDE/>
        <w:autoSpaceDN/>
        <w:bidi w:val="0"/>
        <w:adjustRightInd/>
        <w:snapToGrid/>
        <w:spacing w:line="580" w:lineRule="exact"/>
        <w:ind w:firstLine="640" w:firstLineChars="200"/>
        <w:jc w:val="both"/>
        <w:textAlignment w:val="auto"/>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（五）坚定不移强化科技赋能</w:t>
      </w:r>
    </w:p>
    <w:p>
      <w:pPr>
        <w:keepNext w:val="0"/>
        <w:keepLines w:val="0"/>
        <w:pageBreakBefore w:val="0"/>
        <w:widowControl w:val="0"/>
        <w:tabs>
          <w:tab w:val="left" w:pos="688"/>
        </w:tabs>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一是按照“</w:t>
      </w:r>
      <w:r>
        <w:rPr>
          <w:rFonts w:hint="default" w:ascii="Times New Roman" w:hAnsi="Times New Roman" w:eastAsia="仿宋_GB2312" w:cs="Times New Roman"/>
          <w:kern w:val="2"/>
          <w:sz w:val="32"/>
          <w:szCs w:val="32"/>
          <w:lang w:val="en-US" w:eastAsia="zh-CN" w:bidi="ar-SA"/>
        </w:rPr>
        <w:t>1+5+N</w:t>
      </w:r>
      <w:r>
        <w:rPr>
          <w:rFonts w:hint="eastAsia" w:ascii="仿宋_GB2312" w:hAnsi="仿宋_GB2312" w:eastAsia="仿宋_GB2312" w:cs="仿宋_GB2312"/>
          <w:kern w:val="2"/>
          <w:sz w:val="32"/>
          <w:szCs w:val="32"/>
          <w:lang w:val="en-US" w:eastAsia="zh-CN" w:bidi="ar-SA"/>
        </w:rPr>
        <w:t>”工作思路，结合鲁山公安实际，完善</w:t>
      </w:r>
      <w:r>
        <w:rPr>
          <w:rFonts w:hint="default" w:ascii="Times New Roman" w:hAnsi="Times New Roman" w:eastAsia="仿宋_GB2312" w:cs="Times New Roman"/>
          <w:kern w:val="2"/>
          <w:sz w:val="32"/>
          <w:szCs w:val="32"/>
          <w:lang w:val="en-US" w:eastAsia="zh-CN" w:bidi="ar-SA"/>
        </w:rPr>
        <w:t>5</w:t>
      </w:r>
      <w:r>
        <w:rPr>
          <w:rFonts w:hint="eastAsia" w:ascii="仿宋_GB2312" w:hAnsi="仿宋_GB2312" w:eastAsia="仿宋_GB2312" w:cs="仿宋_GB2312"/>
          <w:kern w:val="2"/>
          <w:sz w:val="32"/>
          <w:szCs w:val="32"/>
          <w:lang w:val="en-US" w:eastAsia="zh-CN" w:bidi="ar-SA"/>
        </w:rPr>
        <w:t>项工作机制，建成了侦查中心等实战化基地。如，我局将侦查中心作为“尖刀利刃”，以严厉打击电信诈骗和民生小案为强劲牵引，向各类违法犯罪发起凌厉攻势，打防犯罪能力实现了质的提升。</w:t>
      </w:r>
      <w:r>
        <w:rPr>
          <w:rFonts w:hint="default" w:ascii="Times New Roman" w:hAnsi="Times New Roman" w:eastAsia="仿宋_GB2312" w:cs="Times New Roman"/>
          <w:kern w:val="2"/>
          <w:sz w:val="32"/>
          <w:szCs w:val="32"/>
          <w:lang w:val="en-US" w:eastAsia="zh-CN" w:bidi="ar-SA"/>
        </w:rPr>
        <w:t>2025</w:t>
      </w:r>
      <w:r>
        <w:rPr>
          <w:rFonts w:hint="eastAsia" w:ascii="仿宋_GB2312" w:hAnsi="仿宋_GB2312" w:eastAsia="仿宋_GB2312" w:cs="仿宋_GB2312"/>
          <w:kern w:val="2"/>
          <w:sz w:val="32"/>
          <w:szCs w:val="32"/>
          <w:lang w:val="en-US" w:eastAsia="zh-CN" w:bidi="ar-SA"/>
        </w:rPr>
        <w:t>年</w:t>
      </w:r>
      <w:r>
        <w:rPr>
          <w:rFonts w:hint="default" w:ascii="Times New Roman" w:hAnsi="Times New Roman" w:eastAsia="仿宋_GB2312" w:cs="Times New Roman"/>
          <w:kern w:val="2"/>
          <w:sz w:val="32"/>
          <w:szCs w:val="32"/>
          <w:lang w:val="en-US" w:eastAsia="zh-CN" w:bidi="ar-SA"/>
        </w:rPr>
        <w:t>12</w:t>
      </w:r>
      <w:r>
        <w:rPr>
          <w:rFonts w:hint="eastAsia" w:ascii="仿宋_GB2312" w:hAnsi="仿宋_GB2312" w:eastAsia="仿宋_GB2312" w:cs="仿宋_GB2312"/>
          <w:kern w:val="2"/>
          <w:sz w:val="32"/>
          <w:szCs w:val="32"/>
          <w:lang w:val="en-US" w:eastAsia="zh-CN" w:bidi="ar-SA"/>
        </w:rPr>
        <w:t>月，在全省侦查中心建设推进会上，我局作书面经验介绍；同月，在全省侦查中心现场观摩交流活动中，南阳、濮阳、鹤壁、漯河、新乡、安阳、信阳等</w:t>
      </w:r>
      <w:r>
        <w:rPr>
          <w:rFonts w:hint="default" w:ascii="Times New Roman" w:hAnsi="Times New Roman" w:eastAsia="仿宋_GB2312" w:cs="Times New Roman"/>
          <w:kern w:val="2"/>
          <w:sz w:val="32"/>
          <w:szCs w:val="32"/>
          <w:lang w:val="en-US" w:eastAsia="zh-CN" w:bidi="ar-SA"/>
        </w:rPr>
        <w:t>7</w:t>
      </w:r>
      <w:r>
        <w:rPr>
          <w:rFonts w:hint="eastAsia" w:ascii="仿宋_GB2312" w:hAnsi="仿宋_GB2312" w:eastAsia="仿宋_GB2312" w:cs="仿宋_GB2312"/>
          <w:kern w:val="2"/>
          <w:sz w:val="32"/>
          <w:szCs w:val="32"/>
          <w:lang w:val="en-US" w:eastAsia="zh-CN" w:bidi="ar-SA"/>
        </w:rPr>
        <w:t>个地市及所属分县局的</w:t>
      </w:r>
      <w:r>
        <w:rPr>
          <w:rFonts w:hint="default" w:ascii="Times New Roman" w:hAnsi="Times New Roman" w:eastAsia="仿宋_GB2312" w:cs="Times New Roman"/>
          <w:kern w:val="2"/>
          <w:sz w:val="32"/>
          <w:szCs w:val="32"/>
          <w:lang w:val="en-US" w:eastAsia="zh-CN" w:bidi="ar-SA"/>
        </w:rPr>
        <w:t>140</w:t>
      </w:r>
      <w:r>
        <w:rPr>
          <w:rFonts w:hint="eastAsia" w:ascii="仿宋_GB2312" w:hAnsi="仿宋_GB2312" w:eastAsia="仿宋_GB2312" w:cs="仿宋_GB2312"/>
          <w:kern w:val="2"/>
          <w:sz w:val="32"/>
          <w:szCs w:val="32"/>
          <w:lang w:val="en-US" w:eastAsia="zh-CN" w:bidi="ar-SA"/>
        </w:rPr>
        <w:t>余人到我局学习参观，赢得了省厅和其他地市的一致好评。二是深入推进视频监控安装应用，由省电信公司投资</w:t>
      </w:r>
      <w:r>
        <w:rPr>
          <w:rFonts w:hint="default" w:ascii="Times New Roman" w:hAnsi="Times New Roman" w:eastAsia="仿宋_GB2312" w:cs="Times New Roman"/>
          <w:kern w:val="2"/>
          <w:sz w:val="32"/>
          <w:szCs w:val="32"/>
          <w:lang w:val="en-US" w:eastAsia="zh-CN" w:bidi="ar-SA"/>
        </w:rPr>
        <w:t>200</w:t>
      </w:r>
      <w:r>
        <w:rPr>
          <w:rFonts w:hint="eastAsia" w:ascii="仿宋_GB2312" w:hAnsi="仿宋_GB2312" w:eastAsia="仿宋_GB2312" w:cs="仿宋_GB2312"/>
          <w:kern w:val="2"/>
          <w:sz w:val="32"/>
          <w:szCs w:val="32"/>
          <w:lang w:val="en-US" w:eastAsia="zh-CN" w:bidi="ar-SA"/>
        </w:rPr>
        <w:t>余万元为我局免费建设基层基础管控平台，介入社会视频监控资源，实现重点区域布防、重点车辆和人员布控、重要事件预警等基础性治安防范功能，动态保持在线</w:t>
      </w:r>
      <w:r>
        <w:rPr>
          <w:rFonts w:hint="default" w:ascii="Times New Roman" w:hAnsi="Times New Roman" w:eastAsia="仿宋_GB2312" w:cs="Times New Roman"/>
          <w:kern w:val="2"/>
          <w:sz w:val="32"/>
          <w:szCs w:val="32"/>
          <w:lang w:val="en-US" w:eastAsia="zh-CN" w:bidi="ar-SA"/>
        </w:rPr>
        <w:t>1.2</w:t>
      </w:r>
      <w:r>
        <w:rPr>
          <w:rFonts w:hint="eastAsia" w:ascii="仿宋_GB2312" w:hAnsi="仿宋_GB2312" w:eastAsia="仿宋_GB2312" w:cs="仿宋_GB2312"/>
          <w:kern w:val="2"/>
          <w:sz w:val="32"/>
          <w:szCs w:val="32"/>
          <w:lang w:val="en-US" w:eastAsia="zh-CN" w:bidi="ar-SA"/>
        </w:rPr>
        <w:t>万余路，节约公安建设及运维成本</w:t>
      </w:r>
      <w:r>
        <w:rPr>
          <w:rFonts w:hint="default" w:ascii="Times New Roman" w:hAnsi="Times New Roman" w:eastAsia="仿宋_GB2312" w:cs="Times New Roman"/>
          <w:kern w:val="2"/>
          <w:sz w:val="32"/>
          <w:szCs w:val="32"/>
          <w:lang w:val="en-US" w:eastAsia="zh-CN" w:bidi="ar-SA"/>
        </w:rPr>
        <w:t>1000</w:t>
      </w:r>
      <w:r>
        <w:rPr>
          <w:rFonts w:hint="eastAsia" w:ascii="仿宋_GB2312" w:hAnsi="仿宋_GB2312" w:eastAsia="仿宋_GB2312" w:cs="仿宋_GB2312"/>
          <w:kern w:val="2"/>
          <w:sz w:val="32"/>
          <w:szCs w:val="32"/>
          <w:lang w:val="en-US" w:eastAsia="zh-CN" w:bidi="ar-SA"/>
        </w:rPr>
        <w:t>余万元。三是加快推进“雪亮工程”建设，依托“数据鲁山”和“智能城管”项目，推进建设具有视频图像全结构化能力的平台和覆盖各县乡道路的车辆卡口智能化治安监控的视频系统。目前，已进入整体规划阶段。</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outlineLvl w:val="1"/>
        <w:rPr>
          <w:rFonts w:hint="eastAsia" w:ascii="黑体" w:hAnsi="黑体" w:eastAsia="黑体" w:cs="黑体"/>
          <w:b w:val="0"/>
          <w:bCs w:val="0"/>
          <w:sz w:val="32"/>
          <w:szCs w:val="32"/>
        </w:rPr>
      </w:pPr>
      <w:r>
        <w:rPr>
          <w:rFonts w:hint="eastAsia" w:ascii="黑体" w:hAnsi="黑体" w:eastAsia="黑体" w:cs="黑体"/>
          <w:b w:val="0"/>
          <w:bCs w:val="0"/>
          <w:kern w:val="2"/>
          <w:sz w:val="32"/>
          <w:szCs w:val="32"/>
          <w:lang w:val="en-US" w:eastAsia="zh-CN" w:bidi="ar-SA"/>
        </w:rPr>
        <w:t>三、</w:t>
      </w:r>
      <w:r>
        <w:rPr>
          <w:rFonts w:hint="eastAsia" w:ascii="黑体" w:hAnsi="黑体" w:eastAsia="黑体" w:cs="黑体"/>
          <w:b w:val="0"/>
          <w:bCs w:val="0"/>
          <w:sz w:val="32"/>
          <w:szCs w:val="32"/>
        </w:rPr>
        <w:t>存在的问题与不足</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存在问题：</w:t>
      </w:r>
      <w:r>
        <w:rPr>
          <w:rFonts w:hint="eastAsia" w:ascii="仿宋_GB2312" w:hAnsi="仿宋_GB2312" w:eastAsia="仿宋_GB2312" w:cs="仿宋_GB2312"/>
          <w:sz w:val="32"/>
          <w:szCs w:val="32"/>
        </w:rPr>
        <w:t>部分民警的法治意识和依法行政能力还有待提高；法治宣传还没有完全入脑入心，村居普法宣传形式相对单一，深入群众程度不够，群众的法治意识和法律素养还需进一步提升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法治服务精准性有待提升。</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问题原因：一是</w:t>
      </w:r>
      <w:r>
        <w:rPr>
          <w:rFonts w:hint="eastAsia" w:ascii="仿宋_GB2312" w:hAnsi="仿宋_GB2312" w:eastAsia="仿宋_GB2312" w:cs="仿宋_GB2312"/>
          <w:sz w:val="32"/>
          <w:szCs w:val="32"/>
        </w:rPr>
        <w:t>法治思想理论学习不足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部分民辅警对习近平法治思想的学习理解不够透彻，运用法治思维和法治方式解决复杂问题的能力有待提升，少数民警存在重实体、轻程序的惯性思维。</w:t>
      </w:r>
      <w:r>
        <w:rPr>
          <w:rFonts w:hint="eastAsia" w:ascii="仿宋_GB2312" w:hAnsi="仿宋_GB2312" w:eastAsia="仿宋_GB2312" w:cs="仿宋_GB2312"/>
          <w:sz w:val="32"/>
          <w:szCs w:val="32"/>
          <w:lang w:val="en-US" w:eastAsia="zh-CN"/>
        </w:rPr>
        <w:t>二是</w:t>
      </w:r>
      <w:r>
        <w:rPr>
          <w:rFonts w:hint="eastAsia" w:ascii="仿宋_GB2312" w:hAnsi="仿宋_GB2312" w:eastAsia="仿宋_GB2312" w:cs="仿宋_GB2312"/>
          <w:sz w:val="32"/>
          <w:szCs w:val="32"/>
        </w:rPr>
        <w:t>执法规范化水平不均衡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基层派出所之间执法质量存在差异，部分民警在调查取证、法律文书制作等方面仍存在不规范问题，新型执法场景下的执法指引有待进一步完善。</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outlineLvl w:val="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整改举措：持续</w:t>
      </w:r>
      <w:r>
        <w:rPr>
          <w:rFonts w:hint="eastAsia" w:ascii="仿宋_GB2312" w:hAnsi="仿宋_GB2312" w:eastAsia="仿宋_GB2312" w:cs="仿宋_GB2312"/>
          <w:sz w:val="32"/>
          <w:szCs w:val="32"/>
        </w:rPr>
        <w:t>提升法治服务精准性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法治服务保障数字经济、新业态等领域</w:t>
      </w:r>
      <w:r>
        <w:rPr>
          <w:rFonts w:hint="eastAsia" w:ascii="仿宋_GB2312" w:hAnsi="仿宋_GB2312" w:eastAsia="仿宋_GB2312" w:cs="仿宋_GB2312"/>
          <w:sz w:val="32"/>
          <w:szCs w:val="32"/>
          <w:lang w:val="en-US" w:eastAsia="zh-CN"/>
        </w:rPr>
        <w:t>发展</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进一步健全</w:t>
      </w:r>
      <w:r>
        <w:rPr>
          <w:rFonts w:hint="eastAsia" w:ascii="仿宋_GB2312" w:hAnsi="仿宋_GB2312" w:eastAsia="仿宋_GB2312" w:cs="仿宋_GB2312"/>
          <w:sz w:val="32"/>
          <w:szCs w:val="32"/>
        </w:rPr>
        <w:t>涉企执法“差异化监管”“柔性执法”等机制。</w:t>
      </w:r>
      <w:r>
        <w:rPr>
          <w:rFonts w:hint="eastAsia" w:ascii="仿宋_GB2312" w:hAnsi="仿宋_GB2312" w:eastAsia="仿宋_GB2312" w:cs="仿宋_GB2312"/>
          <w:sz w:val="32"/>
          <w:szCs w:val="32"/>
          <w:lang w:val="en-US" w:eastAsia="zh-CN"/>
        </w:rPr>
        <w:t>进一步强化</w:t>
      </w:r>
      <w:r>
        <w:rPr>
          <w:rFonts w:hint="eastAsia" w:ascii="仿宋_GB2312" w:hAnsi="仿宋_GB2312" w:eastAsia="仿宋_GB2312" w:cs="仿宋_GB2312"/>
          <w:sz w:val="32"/>
          <w:szCs w:val="32"/>
        </w:rPr>
        <w:t>法治信息化建设，</w:t>
      </w:r>
      <w:r>
        <w:rPr>
          <w:rFonts w:hint="eastAsia" w:ascii="仿宋_GB2312" w:hAnsi="仿宋_GB2312" w:eastAsia="仿宋_GB2312" w:cs="仿宋_GB2312"/>
          <w:sz w:val="32"/>
          <w:szCs w:val="32"/>
          <w:lang w:val="en-US" w:eastAsia="zh-CN"/>
        </w:rPr>
        <w:t>持续强化</w:t>
      </w:r>
      <w:r>
        <w:rPr>
          <w:rFonts w:hint="eastAsia" w:ascii="仿宋_GB2312" w:hAnsi="仿宋_GB2312" w:eastAsia="仿宋_GB2312" w:cs="仿宋_GB2312"/>
          <w:sz w:val="32"/>
          <w:szCs w:val="32"/>
        </w:rPr>
        <w:t>部分基层单位法制力量</w:t>
      </w:r>
      <w:r>
        <w:rPr>
          <w:rFonts w:hint="eastAsia" w:ascii="仿宋_GB2312" w:hAnsi="仿宋_GB2312" w:eastAsia="仿宋_GB2312" w:cs="仿宋_GB2312"/>
          <w:sz w:val="32"/>
          <w:szCs w:val="32"/>
          <w:lang w:val="en-US" w:eastAsia="zh-CN"/>
        </w:rPr>
        <w:t>及</w:t>
      </w:r>
      <w:r>
        <w:rPr>
          <w:rFonts w:hint="eastAsia" w:ascii="仿宋_GB2312" w:hAnsi="仿宋_GB2312" w:eastAsia="仿宋_GB2312" w:cs="仿宋_GB2312"/>
          <w:sz w:val="32"/>
          <w:szCs w:val="32"/>
        </w:rPr>
        <w:t>专业化水平。</w:t>
      </w:r>
    </w:p>
    <w:p>
      <w:pPr>
        <w:keepNext w:val="0"/>
        <w:keepLines w:val="0"/>
        <w:pageBreakBefore w:val="0"/>
        <w:kinsoku/>
        <w:wordWrap/>
        <w:overflowPunct/>
        <w:topLinePunct w:val="0"/>
        <w:autoSpaceDE/>
        <w:autoSpaceDN/>
        <w:bidi w:val="0"/>
        <w:adjustRightInd/>
        <w:snapToGrid/>
        <w:spacing w:line="580" w:lineRule="exact"/>
        <w:textAlignment w:val="auto"/>
        <w:rPr>
          <w:rFonts w:hint="eastAsia"/>
          <w:lang w:val="en-US" w:eastAsia="zh-CN"/>
        </w:rPr>
      </w:pPr>
    </w:p>
    <w:bookmarkEnd w:id="2"/>
    <w:p>
      <w:pPr>
        <w:keepNext w:val="0"/>
        <w:keepLines w:val="0"/>
        <w:pageBreakBefore w:val="0"/>
        <w:kinsoku/>
        <w:wordWrap/>
        <w:overflowPunct/>
        <w:topLinePunct w:val="0"/>
        <w:autoSpaceDE/>
        <w:autoSpaceDN/>
        <w:bidi w:val="0"/>
        <w:adjustRightInd/>
        <w:snapToGrid/>
        <w:spacing w:line="580" w:lineRule="exact"/>
        <w:ind w:left="0" w:firstLine="640" w:firstLineChars="200"/>
        <w:jc w:val="both"/>
        <w:textAlignment w:val="auto"/>
        <w:outlineLvl w:val="1"/>
        <w:rPr>
          <w:rFonts w:hint="eastAsia" w:ascii="仿宋_GB2312" w:hAnsi="仿宋_GB2312" w:eastAsia="仿宋_GB2312" w:cs="仿宋_GB2312"/>
          <w:b w:val="0"/>
          <w:bCs/>
          <w:sz w:val="32"/>
          <w:szCs w:val="32"/>
        </w:rPr>
      </w:pPr>
      <w:r>
        <w:rPr>
          <w:rFonts w:hint="eastAsia" w:ascii="黑体" w:hAnsi="黑体" w:eastAsia="黑体" w:cs="黑体"/>
          <w:b w:val="0"/>
          <w:bCs/>
          <w:sz w:val="32"/>
          <w:szCs w:val="32"/>
          <w:lang w:val="en-US" w:eastAsia="zh-CN"/>
        </w:rPr>
        <w:t>四、下一年度推进法治政府建设的主要工作安排</w:t>
      </w:r>
      <w:bookmarkEnd w:id="0"/>
    </w:p>
    <w:p>
      <w:pPr>
        <w:keepNext w:val="0"/>
        <w:keepLines w:val="0"/>
        <w:pageBreakBefore w:val="0"/>
        <w:kinsoku/>
        <w:wordWrap/>
        <w:overflowPunct/>
        <w:topLinePunct w:val="0"/>
        <w:autoSpaceDE/>
        <w:autoSpaceDN/>
        <w:bidi w:val="0"/>
        <w:adjustRightInd/>
        <w:snapToGrid/>
        <w:spacing w:line="580" w:lineRule="exact"/>
        <w:ind w:left="0" w:firstLine="640" w:firstLineChars="200"/>
        <w:jc w:val="both"/>
        <w:textAlignment w:val="auto"/>
        <w:outlineLvl w:val="2"/>
        <w:rPr>
          <w:rFonts w:hint="eastAsia" w:ascii="楷体_GB2312" w:hAnsi="楷体_GB2312" w:eastAsia="楷体_GB2312" w:cs="楷体_GB2312"/>
          <w:b w:val="0"/>
          <w:bCs/>
          <w:sz w:val="32"/>
          <w:szCs w:val="32"/>
        </w:rPr>
      </w:pPr>
      <w:bookmarkStart w:id="3" w:name="heading_19"/>
      <w:r>
        <w:rPr>
          <w:rFonts w:hint="eastAsia" w:ascii="楷体_GB2312" w:hAnsi="楷体_GB2312" w:eastAsia="楷体_GB2312" w:cs="楷体_GB2312"/>
          <w:b w:val="0"/>
          <w:bCs/>
          <w:sz w:val="32"/>
          <w:szCs w:val="32"/>
        </w:rPr>
        <w:t>（一）深化法治思想武装</w:t>
      </w:r>
      <w:bookmarkEnd w:id="3"/>
    </w:p>
    <w:p>
      <w:pPr>
        <w:keepNext w:val="0"/>
        <w:keepLines w:val="0"/>
        <w:pageBreakBefore w:val="0"/>
        <w:kinsoku/>
        <w:wordWrap/>
        <w:overflowPunct/>
        <w:topLinePunct w:val="0"/>
        <w:autoSpaceDE/>
        <w:autoSpaceDN/>
        <w:bidi w:val="0"/>
        <w:adjustRightInd/>
        <w:snapToGrid/>
        <w:spacing w:line="580" w:lineRule="exact"/>
        <w:ind w:left="0" w:firstLine="640" w:firstLineChars="200"/>
        <w:jc w:val="both"/>
        <w:textAlignment w:val="auto"/>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把习近平法治思想列入党委理论学习中心组学习内容，充分发挥领导干部带头示范作用，落实第一议题制度，组织各单位把学习宣传贯彻习近平法治思想与各项学习教育紧密结合，进一步强化学习运用习近平法治思想的能力和引领示范作用；继续加强法治宣传，丰富普法宣传方式，将法治宣传常态化，并贯穿到日常工作中，为法治政府建设营造良好的社会氛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持续推进习近平法治思想学习教育常态化、制度化，创新学习载体和方式，开展专题培训、案例教学、实战演练等活动，推动法治理念入脑入心，提升全警运用法治思维解决问题、推动工作的能力。</w:t>
      </w:r>
    </w:p>
    <w:p>
      <w:pPr>
        <w:keepNext w:val="0"/>
        <w:keepLines w:val="0"/>
        <w:pageBreakBefore w:val="0"/>
        <w:kinsoku/>
        <w:wordWrap/>
        <w:overflowPunct/>
        <w:topLinePunct w:val="0"/>
        <w:autoSpaceDE/>
        <w:autoSpaceDN/>
        <w:bidi w:val="0"/>
        <w:adjustRightInd/>
        <w:snapToGrid/>
        <w:spacing w:line="580" w:lineRule="exact"/>
        <w:ind w:left="0" w:firstLine="640" w:firstLineChars="200"/>
        <w:jc w:val="both"/>
        <w:textAlignment w:val="auto"/>
        <w:outlineLvl w:val="2"/>
        <w:rPr>
          <w:rFonts w:hint="eastAsia" w:ascii="楷体_GB2312" w:hAnsi="楷体_GB2312" w:eastAsia="楷体_GB2312" w:cs="楷体_GB2312"/>
          <w:b w:val="0"/>
          <w:bCs/>
          <w:sz w:val="32"/>
          <w:szCs w:val="32"/>
        </w:rPr>
      </w:pPr>
      <w:bookmarkStart w:id="4" w:name="heading_20"/>
      <w:r>
        <w:rPr>
          <w:rFonts w:hint="eastAsia" w:ascii="楷体_GB2312" w:hAnsi="楷体_GB2312" w:eastAsia="楷体_GB2312" w:cs="楷体_GB2312"/>
          <w:b w:val="0"/>
          <w:bCs/>
          <w:sz w:val="32"/>
          <w:szCs w:val="32"/>
        </w:rPr>
        <w:t>（二）持续深化执法规范化建设</w:t>
      </w:r>
      <w:bookmarkEnd w:id="4"/>
    </w:p>
    <w:p>
      <w:pPr>
        <w:keepNext w:val="0"/>
        <w:keepLines w:val="0"/>
        <w:pageBreakBefore w:val="0"/>
        <w:kinsoku/>
        <w:wordWrap/>
        <w:overflowPunct/>
        <w:topLinePunct w:val="0"/>
        <w:autoSpaceDE/>
        <w:autoSpaceDN/>
        <w:bidi w:val="0"/>
        <w:adjustRightInd/>
        <w:snapToGrid/>
        <w:spacing w:line="580" w:lineRule="exact"/>
        <w:ind w:left="0" w:firstLine="640" w:firstLineChars="200"/>
        <w:jc w:val="both"/>
        <w:textAlignment w:val="auto"/>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完成《法治公安建设实施方案（2021-2025年）》终期评估，总结经验成效，谋划新一轮法治公安建设规划。深化执法办案管理中心智能化升级，完善新型执法场景操作指引，加强执法全流程智能监管，深化执法大数据应用，构建智能化执法监督体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推动执法质量再上新台阶。</w:t>
      </w:r>
    </w:p>
    <w:p>
      <w:pPr>
        <w:keepNext w:val="0"/>
        <w:keepLines w:val="0"/>
        <w:pageBreakBefore w:val="0"/>
        <w:widowControl/>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val="0"/>
          <w:bCs/>
          <w:sz w:val="32"/>
          <w:szCs w:val="32"/>
        </w:rPr>
      </w:pPr>
      <w:bookmarkStart w:id="5" w:name="heading_21"/>
      <w:r>
        <w:rPr>
          <w:rFonts w:hint="eastAsia" w:ascii="楷体_GB2312" w:hAnsi="楷体_GB2312" w:eastAsia="楷体_GB2312" w:cs="楷体_GB2312"/>
          <w:b w:val="0"/>
          <w:bCs/>
          <w:sz w:val="32"/>
          <w:szCs w:val="32"/>
        </w:rPr>
        <w:t>（三）提升法治服务保障质效</w:t>
      </w:r>
      <w:bookmarkEnd w:id="5"/>
    </w:p>
    <w:p>
      <w:pPr>
        <w:keepNext w:val="0"/>
        <w:keepLines w:val="0"/>
        <w:pageBreakBefore w:val="0"/>
        <w:widowControl/>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持续优化法治化营商环境，健全涉企执法分级分类监管机制，推行“综合查一次”联合执法。深化公安“放管服”改革，拓展“一网通办”事项范围，提升政务服务智能化、便捷化水平，优化政务服务，提高服务效率，以简政放权充分释放市场活力和动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更好服务经济社会高质量发展。</w:t>
      </w:r>
    </w:p>
    <w:p>
      <w:pPr>
        <w:keepNext w:val="0"/>
        <w:keepLines w:val="0"/>
        <w:pageBreakBefore w:val="0"/>
        <w:kinsoku/>
        <w:wordWrap/>
        <w:overflowPunct/>
        <w:topLinePunct w:val="0"/>
        <w:autoSpaceDE/>
        <w:autoSpaceDN/>
        <w:bidi w:val="0"/>
        <w:adjustRightInd/>
        <w:snapToGrid/>
        <w:spacing w:line="580" w:lineRule="exact"/>
        <w:ind w:left="0" w:firstLine="640" w:firstLineChars="200"/>
        <w:jc w:val="both"/>
        <w:textAlignment w:val="auto"/>
        <w:outlineLvl w:val="2"/>
        <w:rPr>
          <w:rFonts w:hint="eastAsia" w:ascii="仿宋_GB2312" w:hAnsi="仿宋_GB2312" w:eastAsia="仿宋_GB2312" w:cs="仿宋_GB2312"/>
          <w:b w:val="0"/>
          <w:bCs/>
          <w:sz w:val="32"/>
          <w:szCs w:val="32"/>
        </w:rPr>
      </w:pPr>
      <w:bookmarkStart w:id="6" w:name="heading_22"/>
      <w:r>
        <w:rPr>
          <w:rFonts w:hint="eastAsia" w:ascii="仿宋_GB2312" w:hAnsi="仿宋_GB2312" w:eastAsia="仿宋_GB2312" w:cs="仿宋_GB2312"/>
          <w:b w:val="0"/>
          <w:bCs/>
          <w:sz w:val="32"/>
          <w:szCs w:val="32"/>
        </w:rPr>
        <w:t>（四）强化法治队伍建设</w:t>
      </w:r>
      <w:bookmarkEnd w:id="6"/>
    </w:p>
    <w:p>
      <w:pPr>
        <w:keepNext w:val="0"/>
        <w:keepLines w:val="0"/>
        <w:pageBreakBefore w:val="0"/>
        <w:kinsoku/>
        <w:wordWrap/>
        <w:overflowPunct/>
        <w:topLinePunct w:val="0"/>
        <w:autoSpaceDE/>
        <w:autoSpaceDN/>
        <w:bidi w:val="0"/>
        <w:adjustRightInd/>
        <w:snapToGrid/>
        <w:spacing w:line="580" w:lineRule="exact"/>
        <w:ind w:left="0" w:firstLine="640" w:firstLineChars="200"/>
        <w:jc w:val="both"/>
        <w:textAlignment w:val="auto"/>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一步完善法治机制建设，加强法制员队伍专业化建设，开展专题培训、跟班学习、岗位练兵等活动，提升法治专业能力。建立健全执法办案责任追究制，加大对民警执法过错和执法不规范追究力度，并将执法过错纳入单位、个人评奖评优考虑范围，以此充分调动民警工作积极性，努力构建系统完备、科学规范、运行高效的法治制度体系。</w:t>
      </w:r>
    </w:p>
    <w:p>
      <w:pPr>
        <w:keepNext w:val="0"/>
        <w:keepLines w:val="0"/>
        <w:pageBreakBefore w:val="0"/>
        <w:kinsoku/>
        <w:wordWrap/>
        <w:overflowPunct/>
        <w:topLinePunct w:val="0"/>
        <w:autoSpaceDE/>
        <w:autoSpaceDN/>
        <w:bidi w:val="0"/>
        <w:adjustRightInd/>
        <w:snapToGrid/>
        <w:spacing w:before="120" w:line="580" w:lineRule="exact"/>
        <w:ind w:left="0" w:firstLine="640" w:firstLineChars="200"/>
        <w:jc w:val="both"/>
        <w:textAlignment w:val="auto"/>
        <w:rPr>
          <w:rFonts w:hint="eastAsia" w:ascii="仿宋_GB2312" w:hAnsi="仿宋_GB2312" w:eastAsia="仿宋_GB2312" w:cs="仿宋_GB2312"/>
          <w:sz w:val="32"/>
          <w:szCs w:val="32"/>
          <w:lang w:eastAsia="zh-CN"/>
        </w:rPr>
      </w:pPr>
    </w:p>
    <w:p>
      <w:pPr>
        <w:keepNext w:val="0"/>
        <w:keepLines w:val="0"/>
        <w:pageBreakBefore w:val="0"/>
        <w:kinsoku/>
        <w:wordWrap/>
        <w:overflowPunct/>
        <w:topLinePunct w:val="0"/>
        <w:autoSpaceDE/>
        <w:autoSpaceDN/>
        <w:bidi w:val="0"/>
        <w:adjustRightInd/>
        <w:snapToGrid/>
        <w:spacing w:before="120" w:line="580" w:lineRule="exact"/>
        <w:ind w:left="0" w:firstLine="640" w:firstLineChars="200"/>
        <w:jc w:val="right"/>
        <w:textAlignment w:val="auto"/>
        <w:rPr>
          <w:rFonts w:hint="eastAsia" w:ascii="仿宋_GB2312" w:hAnsi="仿宋_GB2312" w:eastAsia="仿宋_GB2312" w:cs="仿宋_GB2312"/>
          <w:sz w:val="32"/>
          <w:szCs w:val="32"/>
          <w:lang w:eastAsia="zh-CN"/>
        </w:rPr>
      </w:pPr>
    </w:p>
    <w:p>
      <w:pPr>
        <w:keepNext w:val="0"/>
        <w:keepLines w:val="0"/>
        <w:pageBreakBefore w:val="0"/>
        <w:kinsoku/>
        <w:wordWrap/>
        <w:overflowPunct/>
        <w:topLinePunct w:val="0"/>
        <w:autoSpaceDE/>
        <w:autoSpaceDN/>
        <w:bidi w:val="0"/>
        <w:adjustRightInd/>
        <w:snapToGrid/>
        <w:spacing w:before="120" w:line="580" w:lineRule="exact"/>
        <w:ind w:left="0"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鲁山县</w:t>
      </w:r>
      <w:r>
        <w:rPr>
          <w:rFonts w:hint="eastAsia" w:ascii="仿宋_GB2312" w:hAnsi="仿宋_GB2312" w:eastAsia="仿宋_GB2312" w:cs="仿宋_GB2312"/>
          <w:sz w:val="32"/>
          <w:szCs w:val="32"/>
        </w:rPr>
        <w:t>公安局</w:t>
      </w:r>
    </w:p>
    <w:p>
      <w:pPr>
        <w:keepNext w:val="0"/>
        <w:keepLines w:val="0"/>
        <w:pageBreakBefore w:val="0"/>
        <w:kinsoku/>
        <w:wordWrap/>
        <w:overflowPunct/>
        <w:topLinePunct w:val="0"/>
        <w:autoSpaceDE/>
        <w:autoSpaceDN/>
        <w:bidi w:val="0"/>
        <w:adjustRightInd/>
        <w:snapToGrid/>
        <w:spacing w:before="120" w:line="580" w:lineRule="exact"/>
        <w:ind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2026年</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日</w:t>
      </w:r>
    </w:p>
    <w:p>
      <w:pPr>
        <w:keepNext w:val="0"/>
        <w:keepLines w:val="0"/>
        <w:pageBreakBefore w:val="0"/>
        <w:kinsoku/>
        <w:wordWrap/>
        <w:overflowPunct/>
        <w:topLinePunct w:val="0"/>
        <w:autoSpaceDE/>
        <w:autoSpaceDN/>
        <w:bidi w:val="0"/>
        <w:adjustRightInd/>
        <w:snapToGrid/>
        <w:spacing w:before="120" w:line="560" w:lineRule="exact"/>
        <w:ind w:left="0" w:firstLine="640" w:firstLineChars="200"/>
        <w:jc w:val="both"/>
        <w:textAlignment w:val="auto"/>
        <w:rPr>
          <w:rFonts w:hint="eastAsia" w:ascii="仿宋_GB2312" w:hAnsi="仿宋_GB2312" w:eastAsia="仿宋_GB2312" w:cs="仿宋_GB2312"/>
          <w:sz w:val="32"/>
          <w:szCs w:val="32"/>
        </w:rPr>
      </w:pPr>
      <w:bookmarkStart w:id="7" w:name="_GoBack"/>
      <w:bookmarkEnd w:id="7"/>
    </w:p>
    <w:sectPr>
      <w:footerReference r:id="rId3" w:type="default"/>
      <w:pgSz w:w="11905" w:h="16840"/>
      <w:pgMar w:top="2098" w:right="1474" w:bottom="1984" w:left="1587"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modern"/>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黑体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23F997"/>
    <w:multiLevelType w:val="singleLevel"/>
    <w:tmpl w:val="8223F997"/>
    <w:lvl w:ilvl="0" w:tentative="0">
      <w:start w:val="2"/>
      <w:numFmt w:val="chineseCounting"/>
      <w:suff w:val="nothing"/>
      <w:lvlText w:val="（%1）"/>
      <w:lvlJc w:val="left"/>
      <w:rPr>
        <w:rFonts w:hint="eastAsia" w:ascii="楷体_GB2312" w:hAnsi="楷体_GB2312" w:eastAsia="楷体_GB2312" w:cs="楷体_GB2312"/>
        <w:b/>
        <w:bCs/>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hdrShapeDefaults>
    <o:shapelayout v:ext="edit">
      <o:idmap v:ext="edit" data="3,4"/>
    </o:shapelayout>
  </w:hdrShapeDefaults>
  <w:compat>
    <w:useFELayout/>
    <w:splitPgBreakAndParaMark/>
    <w:compatSetting w:name="compatibilityMode" w:uri="http://schemas.microsoft.com/office/word" w:val="12"/>
  </w:compat>
  <w:docVars>
    <w:docVar w:name="commondata" w:val="eyJoZGlkIjoiMmZiMmRlNzBhMWY3MzRkZjM3NjM4ZDgyNjkxM2E1NDcifQ=="/>
  </w:docVars>
  <w:rsids>
    <w:rsidRoot w:val="00000000"/>
    <w:rsid w:val="00032459"/>
    <w:rsid w:val="01AC56B1"/>
    <w:rsid w:val="0606412F"/>
    <w:rsid w:val="074034D4"/>
    <w:rsid w:val="07F76255"/>
    <w:rsid w:val="083A7559"/>
    <w:rsid w:val="0C4E1BC2"/>
    <w:rsid w:val="0D7072FB"/>
    <w:rsid w:val="101427A8"/>
    <w:rsid w:val="104C78BE"/>
    <w:rsid w:val="13601C6B"/>
    <w:rsid w:val="13914FEA"/>
    <w:rsid w:val="13E737E9"/>
    <w:rsid w:val="142604B3"/>
    <w:rsid w:val="148B53F9"/>
    <w:rsid w:val="14AD0BDD"/>
    <w:rsid w:val="15362B36"/>
    <w:rsid w:val="1909211C"/>
    <w:rsid w:val="1A744E70"/>
    <w:rsid w:val="1C0270C1"/>
    <w:rsid w:val="1CD42C4F"/>
    <w:rsid w:val="1DF518D2"/>
    <w:rsid w:val="1E547FF9"/>
    <w:rsid w:val="1F7226CB"/>
    <w:rsid w:val="1F8A74A8"/>
    <w:rsid w:val="1FB94C7D"/>
    <w:rsid w:val="1FF64732"/>
    <w:rsid w:val="21FB0523"/>
    <w:rsid w:val="224C026A"/>
    <w:rsid w:val="22B06C16"/>
    <w:rsid w:val="24D3560B"/>
    <w:rsid w:val="293F5102"/>
    <w:rsid w:val="2A577124"/>
    <w:rsid w:val="2A944659"/>
    <w:rsid w:val="2CAF3548"/>
    <w:rsid w:val="2D8C1725"/>
    <w:rsid w:val="2FAC4261"/>
    <w:rsid w:val="2FE92330"/>
    <w:rsid w:val="30F452E5"/>
    <w:rsid w:val="33097037"/>
    <w:rsid w:val="350F37FD"/>
    <w:rsid w:val="39344FA5"/>
    <w:rsid w:val="3A8C6F3E"/>
    <w:rsid w:val="3B557CE0"/>
    <w:rsid w:val="3BB7086A"/>
    <w:rsid w:val="3CB34DF9"/>
    <w:rsid w:val="3D6C736D"/>
    <w:rsid w:val="3E0B3EAB"/>
    <w:rsid w:val="400C3BAB"/>
    <w:rsid w:val="400D3BBF"/>
    <w:rsid w:val="42B71E8B"/>
    <w:rsid w:val="4387695D"/>
    <w:rsid w:val="47B972C4"/>
    <w:rsid w:val="49FB50B7"/>
    <w:rsid w:val="4CC87175"/>
    <w:rsid w:val="4D5B6156"/>
    <w:rsid w:val="4ED81626"/>
    <w:rsid w:val="530001BE"/>
    <w:rsid w:val="54AF79BD"/>
    <w:rsid w:val="555D1836"/>
    <w:rsid w:val="57646AE2"/>
    <w:rsid w:val="588049EB"/>
    <w:rsid w:val="59003603"/>
    <w:rsid w:val="5CD77855"/>
    <w:rsid w:val="5E3B2163"/>
    <w:rsid w:val="5E3F7726"/>
    <w:rsid w:val="5EA53BC9"/>
    <w:rsid w:val="5F7349B6"/>
    <w:rsid w:val="63A11152"/>
    <w:rsid w:val="65FA43DB"/>
    <w:rsid w:val="67AA52D9"/>
    <w:rsid w:val="683309CB"/>
    <w:rsid w:val="690368D0"/>
    <w:rsid w:val="69B315DE"/>
    <w:rsid w:val="6BD11D6D"/>
    <w:rsid w:val="6F7B2ACD"/>
    <w:rsid w:val="70054EB0"/>
    <w:rsid w:val="7106285B"/>
    <w:rsid w:val="72845EF5"/>
    <w:rsid w:val="74151A1A"/>
    <w:rsid w:val="74DC62FA"/>
    <w:rsid w:val="75597F44"/>
    <w:rsid w:val="75657EF3"/>
    <w:rsid w:val="76933077"/>
    <w:rsid w:val="78AD288F"/>
    <w:rsid w:val="79F2772E"/>
    <w:rsid w:val="7AA43B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sz w:val="21"/>
      <w:szCs w:val="2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toa heading"/>
    <w:basedOn w:val="1"/>
    <w:next w:val="1"/>
    <w:qFormat/>
    <w:uiPriority w:val="0"/>
    <w:pPr>
      <w:spacing w:before="120"/>
    </w:pPr>
    <w:rPr>
      <w:rFonts w:ascii="Calibri Light" w:hAnsi="Calibri Light"/>
      <w:sz w:val="24"/>
    </w:rPr>
  </w:style>
  <w:style w:type="paragraph" w:styleId="3">
    <w:name w:val="footer"/>
    <w:basedOn w:val="1"/>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3</TotalTime>
  <ScaleCrop>false</ScaleCrop>
  <LinksUpToDate>false</LinksUpToDate>
  <Application>WPS Office_11.1.0.14309_F1E327BC-269C-435d-A152-05C5408002CA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2026-01-29T13:59:00Z</dcterms:created>
  <dc:creator>Apache POI</dc:creator>
  <cp:lastModifiedBy>陈哇塞</cp:lastModifiedBy>
  <cp:lastPrinted>2026-01-29T16:52:00Z</cp:lastPrinted>
  <dcterms:modified xsi:type="dcterms:W3CDTF">2026-04-02T06:42:34Z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D96C80EB8C674268B6772287C213AA10_12</vt:lpwstr>
  </property>
</Properties>
</file>