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before="60" w:line="560" w:lineRule="exact"/>
        <w:ind w:left="0"/>
        <w:jc w:val="center"/>
        <w:textAlignment w:val="auto"/>
        <w:rPr>
          <w:rFonts w:hint="default" w:eastAsia="方正小标宋简体"/>
          <w:lang w:val="en-US" w:eastAsia="zh-CN"/>
        </w:rPr>
      </w:pPr>
      <w:bookmarkStart w:id="11" w:name="_GoBack"/>
      <w:r>
        <w:rPr>
          <w:rFonts w:hint="eastAsia" w:ascii="方正小标宋简体" w:hAnsi="方正小标宋简体" w:eastAsia="方正小标宋简体" w:cs="方正小标宋简体"/>
          <w:b w:val="0"/>
          <w:bCs/>
          <w:sz w:val="44"/>
          <w:szCs w:val="20"/>
          <w:lang w:val="en-US" w:eastAsia="zh-CN"/>
        </w:rPr>
        <w:t>鲁山县发展和改革委员会关于2025年</w:t>
      </w:r>
      <w:r>
        <w:rPr>
          <w:rFonts w:hint="eastAsia" w:ascii="方正小标宋简体" w:hAnsi="方正小标宋简体" w:eastAsia="方正小标宋简体" w:cs="方正小标宋简体"/>
          <w:b w:val="0"/>
          <w:bCs/>
          <w:sz w:val="44"/>
          <w:szCs w:val="20"/>
        </w:rPr>
        <w:t>法治政府建设</w:t>
      </w:r>
      <w:r>
        <w:rPr>
          <w:rFonts w:hint="eastAsia" w:ascii="方正小标宋简体" w:hAnsi="方正小标宋简体" w:eastAsia="方正小标宋简体" w:cs="方正小标宋简体"/>
          <w:b w:val="0"/>
          <w:bCs/>
          <w:sz w:val="44"/>
          <w:szCs w:val="20"/>
          <w:lang w:val="en-US" w:eastAsia="zh-CN"/>
        </w:rPr>
        <w:t>情况的报告</w:t>
      </w:r>
    </w:p>
    <w:bookmarkEnd w:id="11"/>
    <w:p>
      <w:pPr>
        <w:keepNext w:val="0"/>
        <w:keepLines w:val="0"/>
        <w:pageBreakBefore w:val="0"/>
        <w:widowControl w:val="0"/>
        <w:kinsoku/>
        <w:wordWrap/>
        <w:overflowPunct/>
        <w:topLinePunct w:val="0"/>
        <w:autoSpaceDE/>
        <w:autoSpaceDN/>
        <w:bidi w:val="0"/>
        <w:adjustRightInd w:val="0"/>
        <w:snapToGrid w:val="0"/>
        <w:spacing w:line="560" w:lineRule="exact"/>
        <w:ind w:left="0" w:firstLine="640" w:firstLineChars="200"/>
        <w:jc w:val="lef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2025年以来</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委</w:t>
      </w:r>
      <w:r>
        <w:rPr>
          <w:rFonts w:hint="eastAsia" w:ascii="仿宋_GB2312" w:hAnsi="仿宋_GB2312" w:eastAsia="仿宋_GB2312" w:cs="仿宋_GB2312"/>
          <w:sz w:val="32"/>
          <w:szCs w:val="32"/>
        </w:rPr>
        <w:t>深入贯彻落实习近平法治思想，严格按照中央、省、市关于法治政府建设的决策部署，聚焦重点任务、强化责任担当、狠抓工作落实，法治政府建设各项工作取得阶段性成效。现将</w:t>
      </w:r>
      <w:r>
        <w:rPr>
          <w:rFonts w:hint="eastAsia" w:ascii="仿宋_GB2312" w:hAnsi="仿宋_GB2312" w:eastAsia="仿宋_GB2312" w:cs="仿宋_GB2312"/>
          <w:sz w:val="32"/>
          <w:szCs w:val="32"/>
          <w:lang w:val="en-US" w:eastAsia="zh-CN"/>
        </w:rPr>
        <w:t>工作</w:t>
      </w:r>
      <w:r>
        <w:rPr>
          <w:rFonts w:hint="eastAsia" w:ascii="仿宋_GB2312" w:hAnsi="仿宋_GB2312" w:eastAsia="仿宋_GB2312" w:cs="仿宋_GB2312"/>
          <w:sz w:val="32"/>
          <w:szCs w:val="32"/>
        </w:rPr>
        <w:t>情况</w:t>
      </w:r>
      <w:r>
        <w:rPr>
          <w:rFonts w:hint="eastAsia" w:ascii="仿宋_GB2312" w:hAnsi="仿宋_GB2312" w:eastAsia="仿宋_GB2312" w:cs="仿宋_GB2312"/>
          <w:sz w:val="32"/>
          <w:szCs w:val="32"/>
          <w:lang w:val="en-US" w:eastAsia="zh-CN"/>
        </w:rPr>
        <w:t>汇报</w:t>
      </w:r>
      <w:r>
        <w:rPr>
          <w:rFonts w:hint="eastAsia" w:ascii="仿宋_GB2312" w:hAnsi="仿宋_GB2312" w:eastAsia="仿宋_GB2312" w:cs="仿宋_GB2312"/>
          <w:sz w:val="32"/>
          <w:szCs w:val="32"/>
        </w:rPr>
        <w:t>如下：</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黑体" w:hAnsi="黑体" w:eastAsia="黑体" w:cs="黑体"/>
          <w:b w:val="0"/>
          <w:bCs/>
          <w:sz w:val="32"/>
          <w:szCs w:val="32"/>
        </w:rPr>
      </w:pPr>
      <w:bookmarkStart w:id="0" w:name="heading_0"/>
      <w:r>
        <w:rPr>
          <w:rFonts w:hint="eastAsia" w:ascii="黑体" w:hAnsi="黑体" w:eastAsia="黑体" w:cs="黑体"/>
          <w:b w:val="0"/>
          <w:bCs/>
          <w:sz w:val="32"/>
          <w:szCs w:val="32"/>
        </w:rPr>
        <w:t>一、</w:t>
      </w:r>
      <w:r>
        <w:rPr>
          <w:rFonts w:hint="eastAsia" w:ascii="黑体" w:hAnsi="黑体" w:eastAsia="黑体" w:cs="黑体"/>
          <w:b w:val="0"/>
          <w:bCs/>
          <w:sz w:val="32"/>
          <w:szCs w:val="32"/>
          <w:lang w:val="en-US" w:eastAsia="zh-CN"/>
        </w:rPr>
        <w:t>2025年度</w:t>
      </w:r>
      <w:r>
        <w:rPr>
          <w:rFonts w:hint="eastAsia" w:ascii="黑体" w:hAnsi="黑体" w:eastAsia="黑体" w:cs="黑体"/>
          <w:b w:val="0"/>
          <w:bCs/>
          <w:sz w:val="32"/>
          <w:szCs w:val="32"/>
        </w:rPr>
        <w:t>党政主要负责人</w:t>
      </w:r>
      <w:r>
        <w:rPr>
          <w:rFonts w:hint="eastAsia" w:ascii="黑体" w:hAnsi="黑体" w:eastAsia="黑体" w:cs="黑体"/>
          <w:b w:val="0"/>
          <w:bCs/>
          <w:sz w:val="32"/>
          <w:szCs w:val="32"/>
          <w:lang w:val="en-US" w:eastAsia="zh-CN"/>
        </w:rPr>
        <w:t>履行</w:t>
      </w:r>
      <w:r>
        <w:rPr>
          <w:rFonts w:hint="eastAsia" w:ascii="黑体" w:hAnsi="黑体" w:eastAsia="黑体" w:cs="黑体"/>
          <w:b w:val="0"/>
          <w:bCs/>
          <w:sz w:val="32"/>
          <w:szCs w:val="32"/>
        </w:rPr>
        <w:t>推进法治建设第一责任人职责</w:t>
      </w:r>
      <w:r>
        <w:rPr>
          <w:rFonts w:hint="eastAsia" w:ascii="黑体" w:hAnsi="黑体" w:eastAsia="黑体" w:cs="黑体"/>
          <w:b w:val="0"/>
          <w:bCs/>
          <w:sz w:val="32"/>
          <w:szCs w:val="32"/>
          <w:lang w:val="en-US" w:eastAsia="zh-CN"/>
        </w:rPr>
        <w:t>的</w:t>
      </w:r>
      <w:r>
        <w:rPr>
          <w:rFonts w:hint="eastAsia" w:ascii="黑体" w:hAnsi="黑体" w:eastAsia="黑体" w:cs="黑体"/>
          <w:b w:val="0"/>
          <w:bCs/>
          <w:sz w:val="32"/>
          <w:szCs w:val="32"/>
        </w:rPr>
        <w:t>情况</w:t>
      </w:r>
      <w:bookmarkEnd w:id="0"/>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rPr>
      </w:pPr>
      <w:bookmarkStart w:id="1" w:name="heading_1"/>
      <w:r>
        <w:rPr>
          <w:rFonts w:hint="eastAsia" w:ascii="楷体_GB2312" w:hAnsi="楷体_GB2312" w:eastAsia="楷体_GB2312" w:cs="楷体_GB2312"/>
          <w:b w:val="0"/>
          <w:bCs/>
          <w:sz w:val="32"/>
          <w:szCs w:val="32"/>
        </w:rPr>
        <w:t>（一）强化政治引领，压实法治责任</w:t>
      </w:r>
      <w:bookmarkEnd w:id="1"/>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始终以习近平法治思想为指导，将法治政府建设纳入党组理论学习中心组学习重点，本年度累计开展专题学习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次，深刻领会新时代法治建设的重大意义和实践要求。将法治政府建设纳入</w:t>
      </w:r>
      <w:r>
        <w:rPr>
          <w:rFonts w:hint="eastAsia" w:ascii="仿宋_GB2312" w:hAnsi="仿宋_GB2312" w:eastAsia="仿宋_GB2312" w:cs="仿宋_GB2312"/>
          <w:sz w:val="32"/>
          <w:szCs w:val="32"/>
          <w:lang w:val="en-US" w:eastAsia="zh-CN"/>
        </w:rPr>
        <w:t>我委</w:t>
      </w:r>
      <w:r>
        <w:rPr>
          <w:rFonts w:hint="eastAsia" w:ascii="仿宋_GB2312" w:hAnsi="仿宋_GB2312" w:eastAsia="仿宋_GB2312" w:cs="仿宋_GB2312"/>
          <w:sz w:val="32"/>
          <w:szCs w:val="32"/>
        </w:rPr>
        <w:t>发展总体规划和年度工作要点，与经济社会发展同部署、同推进、同考核的工作格局。党组书记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主任孔令凯</w:t>
      </w:r>
      <w:r>
        <w:rPr>
          <w:rFonts w:hint="eastAsia" w:ascii="仿宋_GB2312" w:hAnsi="仿宋_GB2312" w:eastAsia="仿宋_GB2312" w:cs="仿宋_GB2312"/>
          <w:sz w:val="32"/>
          <w:szCs w:val="32"/>
        </w:rPr>
        <w:t>带头履行法治建设领导职责，本年度主持召开法治建设专题党组会议</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次，推动各项任务落地见效。</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rPr>
      </w:pPr>
      <w:bookmarkStart w:id="2" w:name="heading_2"/>
      <w:r>
        <w:rPr>
          <w:rFonts w:hint="eastAsia" w:ascii="楷体_GB2312" w:hAnsi="楷体_GB2312" w:eastAsia="楷体_GB2312" w:cs="楷体_GB2312"/>
          <w:b w:val="0"/>
          <w:bCs/>
          <w:sz w:val="32"/>
          <w:szCs w:val="32"/>
        </w:rPr>
        <w:t>（二）带头尊法学法守法用法，发挥示范作用</w:t>
      </w:r>
      <w:bookmarkEnd w:id="2"/>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党政主要负责人坚持以身作则、以上率下，带头遵守宪法法律，严格执行重大行政决策程序、行政规范性文件制定程序等制度规定，在重大项目审批、</w:t>
      </w:r>
      <w:r>
        <w:rPr>
          <w:rFonts w:hint="eastAsia" w:ascii="仿宋_GB2312" w:hAnsi="仿宋_GB2312" w:eastAsia="仿宋_GB2312" w:cs="仿宋_GB2312"/>
          <w:sz w:val="32"/>
          <w:szCs w:val="32"/>
          <w:lang w:eastAsia="zh-CN"/>
        </w:rPr>
        <w:t>重大</w:t>
      </w:r>
      <w:r>
        <w:rPr>
          <w:rFonts w:hint="eastAsia" w:ascii="仿宋_GB2312" w:hAnsi="仿宋_GB2312" w:eastAsia="仿宋_GB2312" w:cs="仿宋_GB2312"/>
          <w:sz w:val="32"/>
          <w:szCs w:val="32"/>
        </w:rPr>
        <w:t>民生</w:t>
      </w:r>
      <w:r>
        <w:rPr>
          <w:rFonts w:hint="eastAsia" w:ascii="仿宋_GB2312" w:hAnsi="仿宋_GB2312" w:eastAsia="仿宋_GB2312" w:cs="仿宋_GB2312"/>
          <w:sz w:val="32"/>
          <w:szCs w:val="32"/>
          <w:lang w:eastAsia="zh-CN"/>
        </w:rPr>
        <w:t>实事、重大</w:t>
      </w:r>
      <w:r>
        <w:rPr>
          <w:rFonts w:hint="eastAsia" w:ascii="仿宋_GB2312" w:hAnsi="仿宋_GB2312" w:eastAsia="仿宋_GB2312" w:cs="仿宋_GB2312"/>
          <w:sz w:val="32"/>
          <w:szCs w:val="32"/>
        </w:rPr>
        <w:t>矛盾纠纷化解等工作中，</w:t>
      </w:r>
      <w:r>
        <w:rPr>
          <w:rFonts w:hint="eastAsia" w:ascii="仿宋_GB2312" w:hAnsi="仿宋_GB2312" w:eastAsia="仿宋_GB2312" w:cs="仿宋_GB2312"/>
          <w:sz w:val="32"/>
          <w:szCs w:val="32"/>
          <w:lang w:eastAsia="zh-CN"/>
        </w:rPr>
        <w:t>召开三重一大会议，分析研判，</w:t>
      </w:r>
      <w:r>
        <w:rPr>
          <w:rFonts w:hint="eastAsia" w:ascii="仿宋_GB2312" w:hAnsi="仿宋_GB2312" w:eastAsia="仿宋_GB2312" w:cs="仿宋_GB2312"/>
          <w:sz w:val="32"/>
          <w:szCs w:val="32"/>
        </w:rPr>
        <w:t>主动听取法律顾问意见，确保决策合法合规。带头参加法治培训和普法宣传活动，带动</w:t>
      </w:r>
      <w:r>
        <w:rPr>
          <w:rFonts w:hint="eastAsia" w:ascii="仿宋_GB2312" w:hAnsi="仿宋_GB2312" w:eastAsia="仿宋_GB2312" w:cs="仿宋_GB2312"/>
          <w:sz w:val="32"/>
          <w:szCs w:val="32"/>
          <w:lang w:val="en-US" w:eastAsia="zh-CN"/>
        </w:rPr>
        <w:t>全体工作人员</w:t>
      </w:r>
      <w:r>
        <w:rPr>
          <w:rFonts w:hint="eastAsia" w:ascii="仿宋_GB2312" w:hAnsi="仿宋_GB2312" w:eastAsia="仿宋_GB2312" w:cs="仿宋_GB2312"/>
          <w:sz w:val="32"/>
          <w:szCs w:val="32"/>
        </w:rPr>
        <w:t>提升法治思维和依法办事能力。严格落实党政主要负责人年度述法制度，将述法情况纳入领导干部考核评价体系，作为干部选拔任用、评优评先的重要参考，倒逼责任落实。</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sz w:val="32"/>
          <w:szCs w:val="32"/>
        </w:rPr>
      </w:pPr>
      <w:bookmarkStart w:id="3" w:name="heading_3"/>
      <w:r>
        <w:rPr>
          <w:rFonts w:hint="eastAsia" w:ascii="楷体_GB2312" w:hAnsi="楷体_GB2312" w:eastAsia="楷体_GB2312" w:cs="楷体_GB2312"/>
          <w:b w:val="0"/>
          <w:bCs/>
          <w:sz w:val="32"/>
          <w:szCs w:val="32"/>
        </w:rPr>
        <w:t>（三）强化督促检查，推动工作落地</w:t>
      </w:r>
      <w:bookmarkEnd w:id="3"/>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建立法治政府建设督查考核机制，将法治政府建设考核结果与绩效考核、评先评优直接挂钩，对工作推进不力、问题较多的</w:t>
      </w:r>
      <w:r>
        <w:rPr>
          <w:rFonts w:hint="eastAsia" w:ascii="仿宋_GB2312" w:hAnsi="仿宋_GB2312" w:eastAsia="仿宋_GB2312" w:cs="仿宋_GB2312"/>
          <w:sz w:val="32"/>
          <w:szCs w:val="32"/>
          <w:lang w:val="en-US" w:eastAsia="zh-CN"/>
        </w:rPr>
        <w:t>科室</w:t>
      </w:r>
      <w:r>
        <w:rPr>
          <w:rFonts w:hint="eastAsia" w:ascii="仿宋_GB2312" w:hAnsi="仿宋_GB2312" w:eastAsia="仿宋_GB2312" w:cs="仿宋_GB2312"/>
          <w:sz w:val="32"/>
          <w:szCs w:val="32"/>
        </w:rPr>
        <w:t>进行约谈提醒，充分发挥考核“指挥棒”作用。同时，主动接受人大监督、民主监督、司法监督和社会监督。</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仿宋_GB2312" w:hAnsi="仿宋_GB2312" w:eastAsia="仿宋_GB2312" w:cs="仿宋_GB2312"/>
          <w:sz w:val="32"/>
          <w:szCs w:val="32"/>
        </w:rPr>
      </w:pPr>
      <w:bookmarkStart w:id="4" w:name="heading_4"/>
      <w:r>
        <w:rPr>
          <w:rFonts w:hint="eastAsia" w:ascii="黑体" w:hAnsi="黑体" w:eastAsia="黑体" w:cs="黑体"/>
          <w:b w:val="0"/>
          <w:bCs/>
          <w:sz w:val="32"/>
          <w:szCs w:val="32"/>
        </w:rPr>
        <w:t>二、</w:t>
      </w:r>
      <w:r>
        <w:rPr>
          <w:rFonts w:hint="eastAsia" w:ascii="黑体" w:hAnsi="黑体" w:eastAsia="黑体" w:cs="黑体"/>
          <w:b w:val="0"/>
          <w:bCs/>
          <w:sz w:val="32"/>
          <w:szCs w:val="32"/>
          <w:lang w:val="en-US" w:eastAsia="zh-CN"/>
        </w:rPr>
        <w:t>2025年度推进</w:t>
      </w:r>
      <w:r>
        <w:rPr>
          <w:rFonts w:hint="eastAsia" w:ascii="黑体" w:hAnsi="黑体" w:eastAsia="黑体" w:cs="黑体"/>
          <w:b w:val="0"/>
          <w:bCs/>
          <w:sz w:val="32"/>
          <w:szCs w:val="32"/>
        </w:rPr>
        <w:t>法治政府建设</w:t>
      </w:r>
      <w:r>
        <w:rPr>
          <w:rFonts w:hint="eastAsia" w:ascii="黑体" w:hAnsi="黑体" w:eastAsia="黑体" w:cs="黑体"/>
          <w:b w:val="0"/>
          <w:bCs/>
          <w:sz w:val="32"/>
          <w:szCs w:val="32"/>
          <w:lang w:val="en-US" w:eastAsia="zh-CN"/>
        </w:rPr>
        <w:t>的</w:t>
      </w:r>
      <w:r>
        <w:rPr>
          <w:rFonts w:hint="eastAsia" w:ascii="黑体" w:hAnsi="黑体" w:eastAsia="黑体" w:cs="黑体"/>
          <w:b w:val="0"/>
          <w:bCs/>
          <w:sz w:val="32"/>
          <w:szCs w:val="32"/>
        </w:rPr>
        <w:t>主要举措</w:t>
      </w:r>
      <w:r>
        <w:rPr>
          <w:rFonts w:hint="eastAsia" w:ascii="黑体" w:hAnsi="黑体" w:eastAsia="黑体" w:cs="黑体"/>
          <w:b w:val="0"/>
          <w:bCs/>
          <w:sz w:val="32"/>
          <w:szCs w:val="32"/>
          <w:lang w:val="en-US" w:eastAsia="zh-CN"/>
        </w:rPr>
        <w:t>和</w:t>
      </w:r>
      <w:r>
        <w:rPr>
          <w:rFonts w:hint="eastAsia" w:ascii="黑体" w:hAnsi="黑体" w:eastAsia="黑体" w:cs="黑体"/>
          <w:b w:val="0"/>
          <w:bCs/>
          <w:sz w:val="32"/>
          <w:szCs w:val="32"/>
        </w:rPr>
        <w:t>成效</w:t>
      </w:r>
      <w:bookmarkEnd w:id="4"/>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rPr>
      </w:pPr>
      <w:bookmarkStart w:id="5" w:name="heading_8"/>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一</w:t>
      </w:r>
      <w:r>
        <w:rPr>
          <w:rFonts w:hint="eastAsia" w:ascii="楷体_GB2312" w:hAnsi="楷体_GB2312" w:eastAsia="楷体_GB2312" w:cs="楷体_GB2312"/>
          <w:b w:val="0"/>
          <w:bCs/>
          <w:sz w:val="32"/>
          <w:szCs w:val="32"/>
        </w:rPr>
        <w:t>）优化法治化营商环境，服务经济社会高质量发展</w:t>
      </w:r>
      <w:bookmarkEnd w:id="5"/>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1.坚持高位推动。</w:t>
      </w:r>
      <w:r>
        <w:rPr>
          <w:rFonts w:hint="eastAsia" w:ascii="仿宋_GB2312" w:hAnsi="仿宋_GB2312" w:eastAsia="仿宋_GB2312" w:cs="仿宋_GB2312"/>
          <w:sz w:val="32"/>
          <w:szCs w:val="32"/>
          <w:lang w:val="en-US" w:eastAsia="zh-CN"/>
        </w:rPr>
        <w:t>2025年以来，组织召开七次全县优化营商环境工作推进会，贯彻落实上级关于营商环境的决策部署，</w:t>
      </w:r>
      <w:r>
        <w:rPr>
          <w:rFonts w:hint="eastAsia" w:ascii="仿宋_GB2312" w:hAnsi="仿宋_GB2312" w:eastAsia="仿宋_GB2312" w:cs="仿宋_GB2312"/>
          <w:sz w:val="32"/>
          <w:szCs w:val="32"/>
        </w:rPr>
        <w:t>专题研究制约我县营商环境改善的突出问题，</w:t>
      </w:r>
      <w:r>
        <w:rPr>
          <w:rFonts w:hint="eastAsia" w:ascii="仿宋_GB2312" w:hAnsi="仿宋_GB2312" w:eastAsia="仿宋_GB2312" w:cs="仿宋_GB2312"/>
          <w:sz w:val="32"/>
          <w:szCs w:val="32"/>
          <w:lang w:val="en-US" w:eastAsia="zh-CN"/>
        </w:rPr>
        <w:t>推动营商环境工作取得新成效。</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持续政策升级</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先后制定出台</w:t>
      </w:r>
      <w:r>
        <w:rPr>
          <w:rFonts w:hint="eastAsia" w:ascii="仿宋_GB2312" w:hAnsi="仿宋_GB2312" w:eastAsia="仿宋_GB2312" w:cs="仿宋_GB2312"/>
          <w:sz w:val="32"/>
          <w:szCs w:val="32"/>
          <w:lang w:eastAsia="zh-CN"/>
        </w:rPr>
        <w:t>《鲁山县</w:t>
      </w:r>
      <w:r>
        <w:rPr>
          <w:rFonts w:hint="eastAsia" w:ascii="仿宋_GB2312" w:hAnsi="仿宋_GB2312" w:eastAsia="仿宋_GB2312" w:cs="仿宋_GB2312"/>
          <w:sz w:val="32"/>
          <w:szCs w:val="32"/>
        </w:rPr>
        <w:t>2025年营商环境优化提升行动实施方案》等一系列政策文件，为我县优化营商环境工作提供政策支撑和工作指引。</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注重宣传推广</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利用县融媒体中心、《鲁山简报》、政府门户网站、网络自媒体等载体平台，积极宣传各系统各部门出台的惠企政策等。</w:t>
      </w:r>
      <w:r>
        <w:rPr>
          <w:rFonts w:hint="eastAsia" w:ascii="仿宋_GB2312" w:hAnsi="仿宋_GB2312" w:eastAsia="仿宋_GB2312" w:cs="仿宋_GB2312"/>
          <w:sz w:val="32"/>
          <w:szCs w:val="32"/>
          <w:lang w:val="en-US" w:eastAsia="zh-CN"/>
        </w:rPr>
        <w:t>开展“书记局长谈营商环境”访谈节目，邀请27个县直单位主要负责人参与访谈，分享优化营商环境的经验做法和创新举措，为推动经济高质量发展营造良好氛围。</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4.开展营商环境领域专项整治。</w:t>
      </w:r>
      <w:r>
        <w:rPr>
          <w:rFonts w:hint="eastAsia" w:ascii="仿宋_GB2312" w:hAnsi="仿宋_GB2312" w:eastAsia="仿宋_GB2312" w:cs="仿宋_GB2312"/>
          <w:sz w:val="32"/>
          <w:szCs w:val="32"/>
          <w:lang w:val="en-US" w:eastAsia="zh-CN"/>
        </w:rPr>
        <w:t>组织召开鲁山县营商环境领域专项整治工作专班会议，制定出台《鲁山县营商环境领域不正之风和腐败问题专项整治工作专班实施方案》，对营商环境领域专项整治工作进行了全面安排部署。截至目前，通过各部门深入自查排查，共发现职能部门问题23个，已全部完成整改。</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5.开展企业满意度调查工作。</w:t>
      </w:r>
      <w:r>
        <w:rPr>
          <w:rFonts w:hint="eastAsia" w:ascii="仿宋_GB2312" w:hAnsi="仿宋_GB2312" w:eastAsia="仿宋_GB2312" w:cs="仿宋_GB2312"/>
          <w:sz w:val="32"/>
          <w:szCs w:val="32"/>
          <w:lang w:val="en-US" w:eastAsia="zh-CN"/>
        </w:rPr>
        <w:t>2025年3月份以来，围绕部门整体满意度、业务熟练程度、工作态度、办事流程简便程度、服务内容与企业需求匹配程度等五个方面对全县4163家样本企业进行了满意度调查工作。经调查统计，我县2025年市场主体调查中企业整体满意度达98.51%。调查收集问题反馈及意见建议30余条，已交办至相关责任单位，完成整改。</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6.开展营商环境便民利企“微改革”。</w:t>
      </w:r>
      <w:r>
        <w:rPr>
          <w:rFonts w:hint="eastAsia" w:ascii="仿宋_GB2312" w:hAnsi="仿宋_GB2312" w:eastAsia="仿宋_GB2312" w:cs="仿宋_GB2312"/>
          <w:sz w:val="32"/>
          <w:szCs w:val="32"/>
          <w:lang w:val="en-US" w:eastAsia="zh-CN"/>
        </w:rPr>
        <w:t>聚焦解决经营主体和人民群众急难愁盼问题，通过小切口、小变革、小创新开展营商环境便民利企“微改革”，打造一系列便民利企举措。通过对各部门报送的“微改革”举措进行梳理筛选，形成我县第一批共13个营商环境2025年便民利企“微改革”工作任务，要求各实施单位按照时间节点认真组织落实。</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7.推进“扫码入企”监测管理工作。</w:t>
      </w:r>
      <w:r>
        <w:rPr>
          <w:rFonts w:hint="eastAsia" w:ascii="仿宋_GB2312" w:hAnsi="仿宋_GB2312" w:eastAsia="仿宋_GB2312" w:cs="仿宋_GB2312"/>
          <w:sz w:val="32"/>
          <w:szCs w:val="32"/>
          <w:lang w:val="en-US" w:eastAsia="zh-CN"/>
        </w:rPr>
        <w:t>按照省市工作安排及要求，做好经营主体赋码入库和宣传推广工作，持续推进规上企业和规下企业的赋码入库，以及个体工商户自愿赋码入库的推广工作，目前累计完成规上企业赋码390余家，规下企业赋码4300余家，已基本实现规上企业赋码入库全覆盖，规下企业赋码率达39%。</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8.做好营商环境评价指标监测数据的整改提升工作。</w:t>
      </w:r>
      <w:r>
        <w:rPr>
          <w:rFonts w:hint="eastAsia" w:ascii="仿宋_GB2312" w:hAnsi="仿宋_GB2312" w:eastAsia="仿宋_GB2312" w:cs="仿宋_GB2312"/>
          <w:sz w:val="32"/>
          <w:szCs w:val="32"/>
          <w:lang w:val="en-US" w:eastAsia="zh-CN"/>
        </w:rPr>
        <w:t>县级评价监测数据共包括12个一级指标91个监测项。</w:t>
      </w:r>
      <w:r>
        <w:rPr>
          <w:rFonts w:hint="eastAsia" w:ascii="仿宋_GB2312" w:hAnsi="仿宋_GB2312" w:eastAsia="仿宋_GB2312" w:cs="仿宋_GB2312"/>
          <w:sz w:val="32"/>
          <w:szCs w:val="32"/>
        </w:rPr>
        <w:t>从反馈清单看，</w:t>
      </w:r>
      <w:r>
        <w:rPr>
          <w:rFonts w:hint="eastAsia" w:ascii="仿宋_GB2312" w:hAnsi="仿宋_GB2312" w:eastAsia="仿宋_GB2312" w:cs="仿宋_GB2312"/>
          <w:sz w:val="32"/>
          <w:szCs w:val="32"/>
          <w:lang w:val="en-US" w:eastAsia="zh-CN"/>
        </w:rPr>
        <w:t>我县中位值以上（含中位值）监测项共48个，其中首位值29个；中位值以下监测项32个，其中末位值1个；无参考数据监测项1个；无法抓取数据监测项10个。要求各责任单位根据反馈情况开展对照分析，找准自身薄弱环节和突出问题，切实做到整改提升。</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9.</w:t>
      </w:r>
      <w:r>
        <w:rPr>
          <w:rFonts w:hint="eastAsia" w:ascii="仿宋_GB2312" w:hAnsi="仿宋_GB2312" w:eastAsia="仿宋_GB2312" w:cs="仿宋_GB2312"/>
          <w:b/>
          <w:bCs/>
          <w:sz w:val="32"/>
          <w:szCs w:val="32"/>
        </w:rPr>
        <w:t>从快</w:t>
      </w:r>
      <w:r>
        <w:rPr>
          <w:rFonts w:hint="eastAsia" w:ascii="仿宋_GB2312" w:hAnsi="仿宋_GB2312" w:eastAsia="仿宋_GB2312" w:cs="仿宋_GB2312"/>
          <w:b/>
          <w:bCs/>
          <w:sz w:val="32"/>
          <w:szCs w:val="32"/>
          <w:lang w:eastAsia="zh-CN"/>
        </w:rPr>
        <w:t>从</w:t>
      </w:r>
      <w:r>
        <w:rPr>
          <w:rFonts w:hint="eastAsia" w:ascii="仿宋_GB2312" w:hAnsi="仿宋_GB2312" w:eastAsia="仿宋_GB2312" w:cs="仿宋_GB2312"/>
          <w:b/>
          <w:bCs/>
          <w:sz w:val="32"/>
          <w:szCs w:val="32"/>
        </w:rPr>
        <w:t>严查处营商环境投诉举报</w:t>
      </w:r>
      <w:r>
        <w:rPr>
          <w:rFonts w:hint="eastAsia" w:ascii="仿宋_GB2312" w:hAnsi="仿宋_GB2312" w:eastAsia="仿宋_GB2312" w:cs="仿宋_GB2312"/>
          <w:b/>
          <w:bCs/>
          <w:sz w:val="32"/>
          <w:szCs w:val="32"/>
          <w:lang w:eastAsia="zh-CN"/>
        </w:rPr>
        <w:t>案件。</w:t>
      </w:r>
      <w:r>
        <w:rPr>
          <w:rFonts w:hint="eastAsia" w:ascii="仿宋_GB2312" w:hAnsi="仿宋_GB2312" w:eastAsia="仿宋_GB2312" w:cs="仿宋_GB2312"/>
          <w:sz w:val="32"/>
          <w:szCs w:val="32"/>
        </w:rPr>
        <w:t>按照“有信必核、有访必复”原则，凡涉及到营商环境的信访举报，从重从快严肃查处。202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年以来，接到省投诉平台投诉件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val="en-US" w:eastAsia="zh-CN"/>
        </w:rPr>
        <w:t>现</w:t>
      </w:r>
      <w:r>
        <w:rPr>
          <w:rFonts w:hint="eastAsia" w:ascii="仿宋_GB2312" w:hAnsi="仿宋_GB2312" w:eastAsia="仿宋_GB2312" w:cs="仿宋_GB2312"/>
          <w:sz w:val="32"/>
          <w:szCs w:val="32"/>
        </w:rPr>
        <w:t>已</w:t>
      </w:r>
      <w:r>
        <w:rPr>
          <w:rFonts w:hint="eastAsia" w:ascii="仿宋_GB2312" w:hAnsi="仿宋_GB2312" w:eastAsia="仿宋_GB2312" w:cs="仿宋_GB2312"/>
          <w:sz w:val="32"/>
          <w:szCs w:val="32"/>
          <w:lang w:val="en-US" w:eastAsia="zh-CN"/>
        </w:rPr>
        <w:t>全部办结，办结率达100%</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val="en-US" w:eastAsia="zh-CN"/>
        </w:rPr>
        <w:t>10.狠抓信用环境建设。</w:t>
      </w:r>
      <w:r>
        <w:rPr>
          <w:rFonts w:hint="eastAsia" w:ascii="仿宋_GB2312" w:hAnsi="仿宋_GB2312" w:eastAsia="仿宋_GB2312" w:cs="仿宋_GB2312"/>
          <w:sz w:val="32"/>
          <w:szCs w:val="32"/>
        </w:rPr>
        <w:t>信用信息平台已建立全县40余部门的信用信息归集目录，截至目前，共归集信用信息数据35303440条（自然人数据34547336条，法人756104条），其中双公示数据158033条（行政许可114881条，行政处罚43152条），建立目录清单599条，并实现与市级平台的互联互通</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lang w:val="en-US" w:eastAsia="zh-CN"/>
        </w:rPr>
      </w:pPr>
      <w:bookmarkStart w:id="6" w:name="heading_9"/>
      <w:r>
        <w:rPr>
          <w:rFonts w:hint="eastAsia" w:ascii="楷体_GB2312" w:hAnsi="楷体_GB2312" w:eastAsia="楷体_GB2312" w:cs="楷体_GB2312"/>
          <w:b w:val="0"/>
          <w:bCs/>
          <w:sz w:val="32"/>
          <w:szCs w:val="32"/>
          <w:lang w:val="en-US" w:eastAsia="zh-CN"/>
        </w:rPr>
        <w:t>（二）惠企政策“免申即享 直达快享”</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1.人社方面：</w:t>
      </w:r>
      <w:r>
        <w:rPr>
          <w:rFonts w:hint="eastAsia" w:ascii="仿宋_GB2312" w:hAnsi="仿宋_GB2312" w:eastAsia="仿宋_GB2312" w:cs="仿宋_GB2312"/>
          <w:b w:val="0"/>
          <w:bCs/>
          <w:sz w:val="32"/>
          <w:szCs w:val="32"/>
          <w:lang w:val="en-US" w:eastAsia="zh-CN"/>
        </w:rPr>
        <w:t>涉及工伤保险和失业保险两项的税费减免。由于工伤保险和失业保险为捆绑缴费，自政策实施以来，我县已有995家企业受益。工伤保险方面：自2025年1月至今已惠及1985家单位。失业保险方面：2025年已发放失业金1817人次，金额共计325.8万元。此外，还为4家企业发放了开业补贴，金额达2万；为10家企业发放了见习补贴，金额共计121.5220万元。</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2.税务方面：</w:t>
      </w:r>
      <w:r>
        <w:rPr>
          <w:rFonts w:hint="eastAsia" w:ascii="仿宋_GB2312" w:hAnsi="仿宋_GB2312" w:eastAsia="仿宋_GB2312" w:cs="仿宋_GB2312"/>
          <w:b w:val="0"/>
          <w:bCs/>
          <w:sz w:val="32"/>
          <w:szCs w:val="32"/>
          <w:lang w:val="en-US" w:eastAsia="zh-CN"/>
        </w:rPr>
        <w:t>通过大数据分析自动识别符合优惠政策条件的企业或个人无需纳税人申请和资料，纳税人通过电子税务局弹窗和河南税务微信小程序，12366纳税服务热线咨询查阅。2022年，鲁山县税务局认真贯彻税费优惠政策落实工作，累计享受户次约2.8万户，享受金额约1.51亿元。2023年，累计享受户次约2.7万户，享受金额约1.32亿元。2024年累计享受户次约1.3万户，享受金额约908万元。</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3" w:firstLineChars="200"/>
        <w:jc w:val="left"/>
        <w:textAlignment w:val="auto"/>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bCs w:val="0"/>
          <w:sz w:val="32"/>
          <w:szCs w:val="32"/>
          <w:lang w:val="en-US" w:eastAsia="zh-CN"/>
        </w:rPr>
        <w:t>3.财政方面：</w:t>
      </w:r>
      <w:r>
        <w:rPr>
          <w:rFonts w:hint="eastAsia" w:ascii="仿宋_GB2312" w:hAnsi="仿宋_GB2312" w:eastAsia="仿宋_GB2312" w:cs="仿宋_GB2312"/>
          <w:b w:val="0"/>
          <w:bCs/>
          <w:sz w:val="32"/>
          <w:szCs w:val="32"/>
          <w:lang w:val="en-US" w:eastAsia="zh-CN"/>
        </w:rPr>
        <w:t>做好资金保障，按照工作机制，报请县政府同意，计划在行政审批局建立500万元的“免申即享、直达快享”惠企资金池，目前已到位300万元资金，专项用于惠企政策落实。</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lang w:val="en-US"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三</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全国一张负面清单</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全面落实并严格执行全国统一的负面清单制度。通过政府网站、微信公众号等形式，加强对负面清单制度的宣传。清单之外的行业、领域和业务等，各类市场主体皆可依法平等进入。</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仿宋_GB2312" w:hAnsi="仿宋_GB2312" w:eastAsia="仿宋_GB2312" w:cs="仿宋_GB2312"/>
          <w:sz w:val="32"/>
          <w:szCs w:val="32"/>
        </w:rPr>
      </w:pPr>
      <w:r>
        <w:rPr>
          <w:rFonts w:hint="eastAsia" w:ascii="楷体_GB2312" w:hAnsi="楷体_GB2312" w:eastAsia="楷体_GB2312" w:cs="楷体_GB2312"/>
          <w:b w:val="0"/>
          <w:bCs/>
          <w:sz w:val="32"/>
          <w:szCs w:val="32"/>
        </w:rPr>
        <w:t>（</w:t>
      </w:r>
      <w:r>
        <w:rPr>
          <w:rFonts w:hint="eastAsia" w:ascii="楷体_GB2312" w:hAnsi="楷体_GB2312" w:eastAsia="楷体_GB2312" w:cs="楷体_GB2312"/>
          <w:b w:val="0"/>
          <w:bCs/>
          <w:sz w:val="32"/>
          <w:szCs w:val="32"/>
          <w:lang w:val="en-US" w:eastAsia="zh-CN"/>
        </w:rPr>
        <w:t>四</w:t>
      </w:r>
      <w:r>
        <w:rPr>
          <w:rFonts w:hint="eastAsia" w:ascii="楷体_GB2312" w:hAnsi="楷体_GB2312" w:eastAsia="楷体_GB2312" w:cs="楷体_GB2312"/>
          <w:b w:val="0"/>
          <w:bCs/>
          <w:sz w:val="32"/>
          <w:szCs w:val="32"/>
        </w:rPr>
        <w:t>）提升政务服务法治化水平，保障人民群众合法权益</w:t>
      </w:r>
      <w:bookmarkEnd w:id="6"/>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进“放管服”改革法治化，建立政务服务“好差评”制度，接受群众评价。加强公共法律服务体系建设，满足人民群众日益增长的法律服务需求。开展法治宣传教育，围绕宪法、民法典等重点法律法规，组织开展各类普法活动</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场次，全民法治素养和法治意识持续提升。</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黑体" w:hAnsi="黑体" w:eastAsia="黑体" w:cs="黑体"/>
          <w:b w:val="0"/>
          <w:bCs/>
          <w:sz w:val="32"/>
          <w:szCs w:val="32"/>
        </w:rPr>
      </w:pPr>
      <w:bookmarkStart w:id="7" w:name="heading_10"/>
      <w:r>
        <w:rPr>
          <w:rFonts w:hint="eastAsia" w:ascii="黑体" w:hAnsi="黑体" w:eastAsia="黑体" w:cs="黑体"/>
          <w:b w:val="0"/>
          <w:bCs/>
          <w:sz w:val="32"/>
          <w:szCs w:val="32"/>
        </w:rPr>
        <w:t>三、</w:t>
      </w:r>
      <w:bookmarkEnd w:id="7"/>
      <w:r>
        <w:rPr>
          <w:rFonts w:hint="eastAsia" w:ascii="黑体" w:hAnsi="黑体" w:eastAsia="黑体" w:cs="黑体"/>
          <w:b w:val="0"/>
          <w:bCs/>
          <w:sz w:val="32"/>
          <w:szCs w:val="32"/>
          <w:lang w:val="en-US" w:eastAsia="zh-CN"/>
        </w:rPr>
        <w:t>2025年度推进法治政府建设存在的不足、原因和问题整改情况</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rPr>
      </w:pPr>
      <w:bookmarkStart w:id="8" w:name="heading_11"/>
      <w:r>
        <w:rPr>
          <w:rFonts w:hint="eastAsia" w:ascii="楷体_GB2312" w:hAnsi="楷体_GB2312" w:eastAsia="楷体_GB2312" w:cs="楷体_GB2312"/>
          <w:b w:val="0"/>
          <w:bCs/>
          <w:sz w:val="32"/>
          <w:szCs w:val="32"/>
        </w:rPr>
        <w:t>（一）存在的不足</w:t>
      </w:r>
      <w:bookmarkEnd w:id="8"/>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sz w:val="32"/>
          <w:szCs w:val="32"/>
        </w:rPr>
        <w:t>法治思维和依法办事能力有待提升。部分行政执法人员法治意识不强。</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sz w:val="32"/>
          <w:szCs w:val="32"/>
        </w:rPr>
        <w:t>法治政府建设保障机制不够健全。法治建设经费保障不足，用于执法装备更新、法治培训、普法宣传等方面的资金投入有限；法律顾问、公职律师作用发挥不够充分，参与决策和执法的深度、广度有待拓展。</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2"/>
        <w:rPr>
          <w:rFonts w:hint="eastAsia" w:ascii="楷体_GB2312" w:hAnsi="楷体_GB2312" w:eastAsia="楷体_GB2312" w:cs="楷体_GB2312"/>
          <w:b w:val="0"/>
          <w:bCs/>
          <w:sz w:val="32"/>
          <w:szCs w:val="32"/>
        </w:rPr>
      </w:pPr>
      <w:bookmarkStart w:id="9" w:name="heading_12"/>
      <w:r>
        <w:rPr>
          <w:rFonts w:hint="eastAsia" w:ascii="楷体_GB2312" w:hAnsi="楷体_GB2312" w:eastAsia="楷体_GB2312" w:cs="楷体_GB2312"/>
          <w:b w:val="0"/>
          <w:bCs/>
          <w:sz w:val="32"/>
          <w:szCs w:val="32"/>
        </w:rPr>
        <w:t>（二）原因分析</w:t>
      </w:r>
      <w:bookmarkEnd w:id="9"/>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sz w:val="32"/>
          <w:szCs w:val="32"/>
        </w:rPr>
        <w:t>思想认识不够深刻。部分</w:t>
      </w:r>
      <w:r>
        <w:rPr>
          <w:rFonts w:hint="eastAsia" w:ascii="仿宋_GB2312" w:hAnsi="仿宋_GB2312" w:eastAsia="仿宋_GB2312" w:cs="仿宋_GB2312"/>
          <w:sz w:val="32"/>
          <w:szCs w:val="32"/>
          <w:lang w:val="en-US" w:eastAsia="zh-CN"/>
        </w:rPr>
        <w:t>工作人员</w:t>
      </w:r>
      <w:r>
        <w:rPr>
          <w:rFonts w:hint="eastAsia" w:ascii="仿宋_GB2312" w:hAnsi="仿宋_GB2312" w:eastAsia="仿宋_GB2312" w:cs="仿宋_GB2312"/>
          <w:sz w:val="32"/>
          <w:szCs w:val="32"/>
        </w:rPr>
        <w:t>对法治政府建设的重要性认识不足。</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法治氛围不够浓厚。普法方式较为单一，多以集中宣传、发放资料为主，难以满足不同群体的法治需求；部分群众法治观念淡薄，依法维权意识和能力不足，不利于法治政府建设的深入推进。</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楷体_GB2312" w:hAnsi="楷体_GB2312" w:eastAsia="楷体_GB2312" w:cs="楷体_GB2312"/>
          <w:b w:val="0"/>
          <w:bCs/>
          <w:sz w:val="32"/>
          <w:szCs w:val="32"/>
          <w:lang w:val="en-US" w:eastAsia="zh-CN"/>
        </w:rPr>
      </w:pPr>
      <w:bookmarkStart w:id="10" w:name="heading_13"/>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三</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整改情况</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黑体" w:hAnsi="黑体" w:eastAsia="仿宋_GB2312" w:cs="黑体"/>
          <w:b w:val="0"/>
          <w:bCs/>
          <w:sz w:val="32"/>
          <w:szCs w:val="32"/>
          <w:lang w:val="en-US" w:eastAsia="zh-CN"/>
        </w:rPr>
      </w:pPr>
      <w:r>
        <w:rPr>
          <w:rFonts w:hint="eastAsia" w:ascii="仿宋_GB2312" w:hAnsi="仿宋_GB2312" w:eastAsia="仿宋_GB2312" w:cs="仿宋_GB2312"/>
          <w:sz w:val="32"/>
          <w:szCs w:val="32"/>
          <w:lang w:val="en-US" w:eastAsia="zh-CN"/>
        </w:rPr>
        <w:t>针对存在的问题，进一步强化全体干部职工的法治教育，切实提升全体</w:t>
      </w:r>
      <w:r>
        <w:rPr>
          <w:rFonts w:hint="eastAsia" w:ascii="仿宋_GB2312" w:hAnsi="仿宋_GB2312" w:eastAsia="仿宋_GB2312" w:cs="仿宋_GB2312"/>
          <w:sz w:val="32"/>
          <w:szCs w:val="32"/>
          <w:lang w:val="en-US" w:eastAsia="zh-CN"/>
        </w:rPr>
        <w:t>工作人员</w:t>
      </w:r>
      <w:r>
        <w:rPr>
          <w:rFonts w:hint="eastAsia" w:ascii="仿宋_GB2312" w:hAnsi="仿宋_GB2312" w:eastAsia="仿宋_GB2312" w:cs="仿宋_GB2312"/>
          <w:sz w:val="32"/>
          <w:szCs w:val="32"/>
        </w:rPr>
        <w:t>对法治政府建设重要性认识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提升依法行政意识。同时，创新普法教育形式，</w:t>
      </w:r>
      <w:r>
        <w:rPr>
          <w:rFonts w:hint="eastAsia" w:ascii="仿宋_GB2312" w:hAnsi="仿宋_GB2312" w:eastAsia="仿宋_GB2312" w:cs="仿宋_GB2312"/>
          <w:sz w:val="32"/>
          <w:szCs w:val="32"/>
        </w:rPr>
        <w:t>满足不同群体的法治需求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进一步提升群众的</w:t>
      </w:r>
      <w:r>
        <w:rPr>
          <w:rFonts w:hint="eastAsia" w:ascii="仿宋_GB2312" w:hAnsi="仿宋_GB2312" w:eastAsia="仿宋_GB2312" w:cs="仿宋_GB2312"/>
          <w:sz w:val="32"/>
          <w:szCs w:val="32"/>
        </w:rPr>
        <w:t>法治观念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依法维权意识和能力</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left="0" w:firstLine="640" w:firstLineChars="200"/>
        <w:jc w:val="left"/>
        <w:textAlignment w:val="auto"/>
        <w:outlineLvl w:val="1"/>
        <w:rPr>
          <w:rFonts w:hint="eastAsia" w:ascii="仿宋_GB2312" w:hAnsi="仿宋_GB2312" w:eastAsia="仿宋_GB2312" w:cs="仿宋_GB2312"/>
          <w:sz w:val="32"/>
          <w:szCs w:val="32"/>
        </w:rPr>
      </w:pPr>
      <w:r>
        <w:rPr>
          <w:rFonts w:hint="eastAsia" w:ascii="黑体" w:hAnsi="黑体" w:eastAsia="黑体" w:cs="黑体"/>
          <w:b w:val="0"/>
          <w:bCs/>
          <w:sz w:val="32"/>
          <w:szCs w:val="32"/>
        </w:rPr>
        <w:t>四、下一年度</w:t>
      </w:r>
      <w:r>
        <w:rPr>
          <w:rFonts w:hint="eastAsia" w:ascii="黑体" w:hAnsi="黑体" w:eastAsia="黑体" w:cs="黑体"/>
          <w:b w:val="0"/>
          <w:bCs/>
          <w:sz w:val="32"/>
          <w:szCs w:val="32"/>
          <w:lang w:val="en-US" w:eastAsia="zh-CN"/>
        </w:rPr>
        <w:t>推进法治政府建设的主要</w:t>
      </w:r>
      <w:r>
        <w:rPr>
          <w:rFonts w:hint="eastAsia" w:ascii="黑体" w:hAnsi="黑体" w:eastAsia="黑体" w:cs="黑体"/>
          <w:b w:val="0"/>
          <w:bCs/>
          <w:sz w:val="32"/>
          <w:szCs w:val="32"/>
        </w:rPr>
        <w:t>工作安排</w:t>
      </w:r>
      <w:bookmarkEnd w:id="10"/>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1.持续深入学习贯彻习近平法治思想。</w:t>
      </w:r>
      <w:r>
        <w:rPr>
          <w:rFonts w:hint="eastAsia" w:ascii="仿宋_GB2312" w:hAnsi="仿宋_GB2312" w:eastAsia="仿宋_GB2312" w:cs="仿宋_GB2312"/>
          <w:sz w:val="32"/>
          <w:szCs w:val="32"/>
        </w:rPr>
        <w:t>将其纳入党组理论学习中心组学习、干部教育培训的核心内容，开展专题培训，引导</w:t>
      </w:r>
      <w:r>
        <w:rPr>
          <w:rFonts w:hint="eastAsia" w:ascii="仿宋_GB2312" w:hAnsi="仿宋_GB2312" w:eastAsia="仿宋_GB2312" w:cs="仿宋_GB2312"/>
          <w:sz w:val="32"/>
          <w:szCs w:val="32"/>
          <w:lang w:val="en-US" w:eastAsia="zh-CN"/>
        </w:rPr>
        <w:t>我委工作人员</w:t>
      </w:r>
      <w:r>
        <w:rPr>
          <w:rFonts w:hint="eastAsia" w:ascii="仿宋_GB2312" w:hAnsi="仿宋_GB2312" w:eastAsia="仿宋_GB2312" w:cs="仿宋_GB2312"/>
          <w:sz w:val="32"/>
          <w:szCs w:val="32"/>
        </w:rPr>
        <w:t>不断提高运用法治思维和法治方式深化改革、推动发展、化解矛盾、维护稳定、应对风险的能力。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2.严格落实党政主要负责人推进法治政府建设第一责任人职责。</w:t>
      </w:r>
      <w:r>
        <w:rPr>
          <w:rFonts w:hint="eastAsia" w:ascii="仿宋_GB2312" w:hAnsi="仿宋_GB2312" w:eastAsia="仿宋_GB2312" w:cs="仿宋_GB2312"/>
          <w:sz w:val="32"/>
          <w:szCs w:val="32"/>
        </w:rPr>
        <w:t>完善法治政府建设工作机制，细化年度工作任务清单，定期召开专题会议研究解决重大问题。强化法治建设考核评价，优化考核指标体系，加大对实际工作成效和群众满意度的考核权重，将考核结果与干部选拔任用、评优评先、绩效考核紧密挂钩，倒逼责任落实。</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left="0" w:leftChars="0" w:firstLine="643"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加强法治政府建设宣传引导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创新普法宣传方式，开展针对性、实效性强的普法活动，营造全社会尊法学法守法用法的浓厚氛围，凝聚法治政府建设的思想共识和行动合力。</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撰稿人：阮启元  联系电话5090205</w:t>
      </w:r>
      <w:r>
        <w:rPr>
          <w:rFonts w:hint="eastAsia" w:ascii="仿宋_GB2312" w:hAnsi="仿宋_GB2312" w:eastAsia="仿宋_GB2312" w:cs="仿宋_GB2312"/>
          <w:sz w:val="32"/>
          <w:szCs w:val="32"/>
          <w:lang w:eastAsia="zh-CN"/>
        </w:rPr>
        <w:t>）</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8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鲁山县发展和改革委员会    </w:t>
      </w:r>
    </w:p>
    <w:p>
      <w:pPr>
        <w:keepNext w:val="0"/>
        <w:keepLines w:val="0"/>
        <w:pageBreakBefore w:val="0"/>
        <w:widowControl w:val="0"/>
        <w:numPr>
          <w:ilvl w:val="0"/>
          <w:numId w:val="0"/>
        </w:numPr>
        <w:kinsoku/>
        <w:wordWrap w:val="0"/>
        <w:overflowPunct/>
        <w:topLinePunct w:val="0"/>
        <w:autoSpaceDE/>
        <w:autoSpaceDN/>
        <w:bidi w:val="0"/>
        <w:adjustRightInd w:val="0"/>
        <w:snapToGrid w:val="0"/>
        <w:spacing w:line="580" w:lineRule="exact"/>
        <w:jc w:val="right"/>
        <w:textAlignment w:val="auto"/>
      </w:pPr>
      <w:r>
        <w:rPr>
          <w:rFonts w:hint="eastAsia" w:ascii="仿宋_GB2312" w:hAnsi="仿宋_GB2312" w:eastAsia="仿宋_GB2312" w:cs="仿宋_GB2312"/>
          <w:sz w:val="32"/>
          <w:szCs w:val="32"/>
          <w:lang w:val="en-US" w:eastAsia="zh-CN"/>
        </w:rPr>
        <w:t xml:space="preserve">2026年2月         </w:t>
      </w:r>
    </w:p>
    <w:sectPr>
      <w:footerReference r:id="rId3" w:type="default"/>
      <w:pgSz w:w="11905" w:h="16840"/>
      <w:pgMar w:top="2098" w:right="1474" w:bottom="1984" w:left="1587"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hdrShapeDefaults>
    <o:shapelayout v:ext="edit">
      <o:idmap v:ext="edit" data="2"/>
    </o:shapelayout>
  </w:hdrShapeDefaults>
  <w:compat>
    <w:useFELayout/>
    <w:splitPgBreakAndParaMark/>
    <w:compatSetting w:name="compatibilityMode" w:uri="http://schemas.microsoft.com/office/word" w:val="12"/>
  </w:compat>
  <w:docVars>
    <w:docVar w:name="commondata" w:val="eyJoZGlkIjoiMmZiMmRlNzBhMWY3MzRkZjM3NjM4ZDgyNjkxM2E1NDcifQ=="/>
  </w:docVars>
  <w:rsids>
    <w:rsidRoot w:val="00000000"/>
    <w:rsid w:val="16456AD0"/>
    <w:rsid w:val="26022D9A"/>
    <w:rsid w:val="5BB00E1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2283</Words>
  <Characters>2387</Characters>
  <Lines>0</Lines>
  <Paragraphs>0</Paragraphs>
  <TotalTime>1</TotalTime>
  <ScaleCrop>false</ScaleCrop>
  <LinksUpToDate>false</LinksUpToDate>
  <CharactersWithSpaces>2396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2026-02-02T18:00:00Z</dcterms:created>
  <dc:creator>Apache POI</dc:creator>
  <cp:lastModifiedBy>陈哇塞</cp:lastModifiedBy>
  <cp:lastPrinted>2026-02-02T18:23:00Z</cp:lastPrinted>
  <dcterms:modified xsi:type="dcterms:W3CDTF">2026-02-05T01:42:46Z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eyJoZGlkIjoiMGE5NTYwOWI4MDNiM2YzMzE3YTFjMjkwOTVlY2U0YTAiLCJ1c2VySWQiOiIyMzI0NDU1NTkifQ==</vt:lpwstr>
  </property>
  <property fmtid="{D5CDD505-2E9C-101B-9397-08002B2CF9AE}" pid="3" name="KSOProductBuildVer">
    <vt:lpwstr>2052-11.1.0.14309</vt:lpwstr>
  </property>
  <property fmtid="{D5CDD505-2E9C-101B-9397-08002B2CF9AE}" pid="4" name="ICV">
    <vt:lpwstr>7789553878FC4B92B653CE16A6D89A2D_12</vt:lpwstr>
  </property>
</Properties>
</file>