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eastAsia="zh-CN"/>
        </w:rPr>
        <w:t>鲁山县司法局关于</w:t>
      </w:r>
      <w:r>
        <w:rPr>
          <w:rFonts w:hint="eastAsia" w:ascii="方正小标宋简体" w:hAnsi="方正小标宋简体" w:eastAsia="方正小标宋简体" w:cs="方正小标宋简体"/>
          <w:sz w:val="44"/>
          <w:szCs w:val="52"/>
          <w:lang w:val="en-US" w:eastAsia="zh-CN"/>
        </w:rPr>
        <w:t>2025年法治政府建设情况的报告</w:t>
      </w:r>
    </w:p>
    <w:p>
      <w:pPr>
        <w:ind w:firstLine="640"/>
        <w:rPr>
          <w:rFonts w:hint="eastAsia" w:ascii="CESI仿宋-GB2312" w:hAnsi="CESI仿宋-GB2312" w:eastAsia="CESI仿宋-GB2312" w:cs="CESI仿宋-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以来，鲁山县司法局在县委、县政府的坚强领导下，始终坚持以习近平新时代中国特色社会主义思想为指导，深入学习贯彻党的二十大和二十届历次全会精神，全面落实中央、省、市、县关于法治政府建设的决策部署，扎实推进法治政府建设各项任务落地见效，为全县经济社会高质量发展提供了坚实法治保障。现将全年工作情况报告如下:</w:t>
      </w: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一、2025年度党政主要负责人履行推进法治建设第一责任人职责的情况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（一）强化政治引领，压实主体责任</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党政主要负责人始终把法治政府建设作为“一把手”工程，牵头抓总、统筹推进，切实履行第一责任人职责，确保法治建设各项任务落地生根。严格落实《党政主要负责人履行推进法治建设第一责任人职责规定》，建立“主要领导亲自抓、分管领导具体抓、各科室协同抓”的工作格局，形成一级抓一级、层层抓落实的责任链条。</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textAlignment w:val="auto"/>
        <w:rPr>
          <w:rFonts w:hint="eastAsia" w:ascii="CESI楷体-GB2312" w:hAnsi="CESI楷体-GB2312" w:eastAsia="CESI楷体-GB2312" w:cs="CESI楷体-GB2312"/>
          <w:sz w:val="32"/>
          <w:szCs w:val="32"/>
          <w:lang w:val="en-US" w:eastAsia="zh-CN"/>
        </w:rPr>
      </w:pPr>
      <w:r>
        <w:rPr>
          <w:rFonts w:hint="eastAsia" w:ascii="CESI楷体-GB2312" w:hAnsi="CESI楷体-GB2312" w:eastAsia="CESI楷体-GB2312" w:cs="CESI楷体-GB2312"/>
          <w:sz w:val="32"/>
          <w:szCs w:val="32"/>
          <w:lang w:val="en-US" w:eastAsia="zh-CN"/>
        </w:rPr>
        <w:t>深化学习教育，提高守法意识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将习近平法治思想纳入党组会、“三会一课”及干部教育培训核心内容，实现全系统干部职工学习全覆盖，增强法治意识，提高法律素质，推动法治理念入脑入心。坚持学深学广，确切落实理论学习中心组工作。</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二、2024年度推进法治政府建设的主要举措与成效</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楷体" w:hAnsi="楷体" w:eastAsia="楷体" w:cs="楷体"/>
          <w:sz w:val="32"/>
          <w:szCs w:val="40"/>
          <w:lang w:val="en-US" w:eastAsia="zh-CN"/>
        </w:rPr>
      </w:pPr>
      <w:r>
        <w:rPr>
          <w:rFonts w:hint="eastAsia" w:ascii="楷体" w:hAnsi="楷体" w:eastAsia="楷体" w:cs="楷体"/>
          <w:sz w:val="32"/>
          <w:szCs w:val="40"/>
          <w:lang w:val="en-US" w:eastAsia="zh-CN"/>
        </w:rPr>
        <w:t>（一）依法治县工作稳步推进</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推动县委对县委依法治县委员会优化调整，提请县委、县政府及时听取法治建设工作情况汇报。2025年县委常委会议和县政府常务会议听取法治建设专题汇报6次印发《中共鲁山县委全面依法治县委员会2025年度工作要点》等文件，自觉将法治建设工作融入全县工作大局中来谋划推进，进一步强化统筹协调，推动法治建设各项工作高效落实。2025年依托十五届县委第十二、十三、十四轮常规巡察对县政府办、县委办等23个单位开展法治建设专项检查，提出相关建议52条并对相关单位“一对一”制发整改意见，切实推动问题整改到位。2025年2月28日召开中共鲁山县委全面依法治县委员会2024年度专题述法会议，实现107个单位的130余名党政主要负责人述法全覆盖，并针对县领导现场点评存在问题的8个单位及时跟进问题整改情况。并将法治建设考核纳入县委年度综合考核体系，对全县103个单位法治建设工作进行实地考核。</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640" w:leftChars="0"/>
        <w:textAlignment w:val="auto"/>
        <w:rPr>
          <w:rFonts w:hint="eastAsia" w:ascii="Times New Roman" w:hAnsi="Times New Roman" w:eastAsia="楷体_GB2312" w:cs="楷体_GB2312"/>
          <w:color w:val="auto"/>
          <w:sz w:val="32"/>
          <w:szCs w:val="32"/>
          <w:lang w:val="en-US" w:eastAsia="zh-CN"/>
        </w:rPr>
      </w:pPr>
      <w:r>
        <w:rPr>
          <w:rFonts w:hint="eastAsia" w:ascii="Times New Roman" w:hAnsi="Times New Roman" w:eastAsia="楷体_GB2312" w:cs="楷体_GB2312"/>
          <w:color w:val="auto"/>
          <w:sz w:val="32"/>
          <w:szCs w:val="32"/>
          <w:lang w:val="en-US" w:eastAsia="zh-CN"/>
        </w:rPr>
        <w:t>（二）法治政府建设成效明显</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推动各单位扎实开展法律知识学习，组织24个乡镇（街道）和28个县政府组成部门对2024年度法治政府建设报告进行集中评议并在县政府官网统一公示。</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扎实开展法治政府建设调研指导。2025年开展专项调研3轮，共调研指导70余个单位，累计发现和整改问题78条，实现了抓实问题整改、抓实专项调研、抓实成果转化。</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强化府院府检双联动，探索“一庭两所”联动解纷工作站机制。目前，17个乡镇政府和县法院5个基层法庭已联合设立了17个联动解纷工作站，县城周边的3个乡镇和4个街道相关工作由县联动解纷中心负责，逐步实现管辖区域行政纠纷诉调对接平台全覆盖。</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强化法律顾问规范管理，对71个单位法律顾问工作情况进行全面梳理，推动各单位充分发挥法律顾问“参谋”“专业”“把关”“解难”作用，为促进依法决策提供有力支撑。</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0"/>
        <w:textAlignment w:val="auto"/>
        <w:rPr>
          <w:rFonts w:hint="eastAsia" w:ascii="CESI楷体-GB2312" w:hAnsi="CESI楷体-GB2312" w:eastAsia="CESI楷体-GB2312" w:cs="CESI楷体-GB2312"/>
          <w:color w:val="auto"/>
          <w:sz w:val="32"/>
          <w:szCs w:val="32"/>
          <w:lang w:val="en-US" w:eastAsia="zh-CN"/>
        </w:rPr>
      </w:pPr>
      <w:r>
        <w:rPr>
          <w:rFonts w:hint="eastAsia" w:ascii="CESI楷体-GB2312" w:hAnsi="CESI楷体-GB2312" w:eastAsia="CESI楷体-GB2312" w:cs="CESI楷体-GB2312"/>
          <w:color w:val="auto"/>
          <w:sz w:val="32"/>
          <w:szCs w:val="32"/>
          <w:lang w:val="en-US" w:eastAsia="zh-CN"/>
        </w:rPr>
        <w:t>行政执法监督持续推进</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lang w:val="en-US" w:eastAsia="zh-CN"/>
        </w:rPr>
        <w:t>严格规范公正文明执法</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持续</w:t>
      </w:r>
      <w:r>
        <w:rPr>
          <w:rFonts w:hint="eastAsia" w:ascii="仿宋_GB2312" w:hAnsi="仿宋_GB2312" w:eastAsia="仿宋_GB2312" w:cs="仿宋_GB2312"/>
          <w:sz w:val="32"/>
          <w:szCs w:val="32"/>
          <w:lang w:eastAsia="zh-CN"/>
        </w:rPr>
        <w:t>加强执法人员行政执法能力建设，</w:t>
      </w:r>
      <w:r>
        <w:rPr>
          <w:rFonts w:hint="eastAsia" w:ascii="仿宋_GB2312" w:hAnsi="仿宋_GB2312" w:eastAsia="仿宋_GB2312" w:cs="仿宋_GB2312"/>
          <w:sz w:val="32"/>
          <w:szCs w:val="32"/>
        </w:rPr>
        <w:t>行政执法“三项制度”全面推行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加强</w:t>
      </w:r>
      <w:r>
        <w:rPr>
          <w:rFonts w:hint="eastAsia" w:ascii="仿宋_GB2312" w:hAnsi="仿宋_GB2312" w:eastAsia="仿宋_GB2312" w:cs="仿宋_GB2312"/>
          <w:sz w:val="32"/>
          <w:szCs w:val="32"/>
        </w:rPr>
        <w:t>乡镇综合行政执法规范化建设</w:t>
      </w:r>
      <w:r>
        <w:rPr>
          <w:rFonts w:hint="eastAsia" w:ascii="仿宋_GB2312" w:hAnsi="仿宋_GB2312" w:eastAsia="仿宋_GB2312" w:cs="仿宋_GB2312"/>
          <w:sz w:val="32"/>
          <w:szCs w:val="32"/>
          <w:lang w:eastAsia="zh-CN"/>
        </w:rPr>
        <w:t>。全面实行行政执法人员持证上岗和资格管理制度，</w:t>
      </w:r>
      <w:r>
        <w:rPr>
          <w:rFonts w:hint="eastAsia" w:ascii="仿宋_GB2312" w:hAnsi="仿宋_GB2312" w:eastAsia="仿宋_GB2312" w:cs="仿宋_GB2312"/>
          <w:sz w:val="32"/>
          <w:szCs w:val="32"/>
          <w:lang w:val="en-US" w:eastAsia="zh-CN"/>
        </w:rPr>
        <w:t>目前</w:t>
      </w:r>
      <w:r>
        <w:rPr>
          <w:rFonts w:hint="eastAsia" w:ascii="仿宋_GB2312" w:hAnsi="仿宋_GB2312" w:eastAsia="仿宋_GB2312" w:cs="仿宋_GB2312"/>
          <w:sz w:val="32"/>
          <w:szCs w:val="32"/>
          <w:lang w:eastAsia="zh-CN"/>
        </w:rPr>
        <w:t>我县共有55个行政主体，1605个行政执法证、62个监</w:t>
      </w:r>
      <w:r>
        <w:rPr>
          <w:rFonts w:hint="eastAsia" w:ascii="仿宋_GB2312" w:hAnsi="仿宋_GB2312" w:eastAsia="仿宋_GB2312" w:cs="仿宋_GB2312"/>
          <w:sz w:val="32"/>
          <w:szCs w:val="32"/>
          <w:lang w:val="en-US" w:eastAsia="zh-CN"/>
        </w:rPr>
        <w:t>督证。印发《鲁山县行政诉讼败诉案件过错责任追究规定（试行）的通</w:t>
      </w:r>
      <w:r>
        <w:rPr>
          <w:rFonts w:hint="eastAsia" w:ascii="仿宋_GB2312" w:hAnsi="仿宋_GB2312" w:eastAsia="仿宋_GB2312" w:cs="仿宋_GB2312"/>
          <w:sz w:val="32"/>
          <w:szCs w:val="32"/>
          <w:lang w:eastAsia="zh-CN"/>
        </w:rPr>
        <w:t>知》，推动行政诉讼发案量和败诉率“双下降”。</w:t>
      </w:r>
      <w:r>
        <w:rPr>
          <w:rFonts w:hint="eastAsia" w:ascii="仿宋_GB2312" w:hAnsi="仿宋_GB2312" w:eastAsia="仿宋_GB2312" w:cs="仿宋_GB2312"/>
          <w:sz w:val="32"/>
          <w:szCs w:val="32"/>
          <w:lang w:val="en-US" w:eastAsia="zh-CN"/>
        </w:rPr>
        <w:t>扎实</w:t>
      </w:r>
      <w:r>
        <w:rPr>
          <w:rFonts w:hint="eastAsia" w:ascii="仿宋_GB2312" w:hAnsi="仿宋_GB2312" w:eastAsia="仿宋_GB2312" w:cs="仿宋_GB2312"/>
          <w:sz w:val="32"/>
          <w:szCs w:val="32"/>
          <w:lang w:eastAsia="zh-CN"/>
        </w:rPr>
        <w:t>开展行政执法案卷评查</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lang w:eastAsia="zh-CN"/>
        </w:rPr>
        <w:t>行政执法突出问题专项整治，推进行政执法监督工作。</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0"/>
        <w:textAlignment w:val="auto"/>
        <w:rPr>
          <w:rFonts w:hint="eastAsia" w:ascii="CESI楷体-GB2312" w:hAnsi="CESI楷体-GB2312" w:eastAsia="CESI楷体-GB2312" w:cs="CESI楷体-GB2312"/>
          <w:sz w:val="32"/>
          <w:szCs w:val="32"/>
          <w:lang w:val="en-US" w:eastAsia="zh-CN"/>
        </w:rPr>
      </w:pPr>
      <w:r>
        <w:rPr>
          <w:rFonts w:hint="eastAsia" w:ascii="CESI楷体-GB2312" w:hAnsi="CESI楷体-GB2312" w:eastAsia="CESI楷体-GB2312" w:cs="CESI楷体-GB2312"/>
          <w:sz w:val="32"/>
          <w:szCs w:val="32"/>
          <w:lang w:val="en-US" w:eastAsia="zh-CN"/>
        </w:rPr>
        <w:t>法治宣传成效显著</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创新开展“双明白”工程，培养法律明白人4500余人，张贴“法律明白墙”2万余份。充分运用新媒体开展精准普法。在鲁山简报开辟法治专栏。与县融媒体中心联合制作《法治在线》栏目已播出18期。开展“送典进企业”等宣传活动80余场，提升企业员工法治意识和法治理念，在“宪法宣传周”开展普法活动30余场，宣传材料3000余份，将宪法知识、法治服务精准送达群众身边。创新普法形式，开展“乡村法治夜话”“律师讲法”普法活动130余场次，发放普法宣传手册7000余份，帮助解决法律问题500余人次，现场化解矛盾纠纷90余件，河南法治报进行了专刊报道，同时被市委信息快报作为亮点推送。加强法治文化阵地建设，先后建成冶铁遗址法治广场和法治主题游园，将鹁鸽吴村红色法治文化教育基地、鲁山一高校园法治文化教育基地、豫西革命纪念馆法治教育基地等特色法治文化阵地。</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CESI楷体-GB2312" w:hAnsi="CESI楷体-GB2312" w:eastAsia="CESI楷体-GB2312" w:cs="CESI楷体-GB2312"/>
          <w:sz w:val="32"/>
          <w:szCs w:val="32"/>
          <w:lang w:val="en-US" w:eastAsia="zh-CN"/>
        </w:rPr>
      </w:pPr>
      <w:r>
        <w:rPr>
          <w:rFonts w:hint="eastAsia" w:ascii="CESI楷体-GB2312" w:hAnsi="CESI楷体-GB2312" w:eastAsia="CESI楷体-GB2312" w:cs="CESI楷体-GB2312"/>
          <w:sz w:val="32"/>
          <w:szCs w:val="32"/>
          <w:lang w:val="en-US" w:eastAsia="zh-CN"/>
        </w:rPr>
        <w:t>（五）公共法律服务水平不断提升</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持续完善县乡村三级公共法律服务体系，初步形成1个中心、25个站点、555个工作室的公共法律服务体系。累计受理、审查、指派各类法律援助案件806件，办结各类公证事项1217件，减免</w:t>
      </w:r>
      <w:r>
        <w:rPr>
          <w:rFonts w:hint="eastAsia" w:ascii="仿宋_GB2312" w:hAnsi="仿宋_GB2312" w:eastAsia="仿宋_GB2312" w:cs="仿宋_GB2312"/>
          <w:sz w:val="32"/>
          <w:szCs w:val="32"/>
          <w:lang w:val="en-US" w:eastAsia="zh-CN"/>
        </w:rPr>
        <w:t>各类公证费用1万余元，提供上门服务公证16次，被河南省公证协会评为“优秀公证处”。为全县33个党政机关跨部门配备公职律师，实现公职律师统筹使用。同时，牢固树立“服务企业就是服务全县大局”理念。广泛推广企业法律“码上办”，推出助企法律服务“一码通”。企业通过手机随时随地填报生产经营中遇到的法律问题，经后台甄别过的数据第一时间与相关</w:t>
      </w:r>
      <w:r>
        <w:rPr>
          <w:rFonts w:hint="eastAsia" w:ascii="仿宋_GB2312" w:hAnsi="仿宋_GB2312" w:eastAsia="仿宋_GB2312" w:cs="仿宋_GB2312"/>
          <w:sz w:val="32"/>
          <w:szCs w:val="40"/>
          <w:lang w:val="en-US" w:eastAsia="zh-CN"/>
        </w:rPr>
        <w:t>业务股室对接，以专班督办、专人反馈的形式订单化回应企业法律诉求，成为运用科技赋能便民利企的创新成果之一，被媒体誉为“引领法律服务新时代”。</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640" w:leftChars="0"/>
        <w:textAlignment w:val="auto"/>
        <w:rPr>
          <w:rFonts w:hint="eastAsia" w:ascii="CESI楷体-GB2312" w:hAnsi="CESI楷体-GB2312" w:eastAsia="CESI楷体-GB2312" w:cs="CESI楷体-GB2312"/>
          <w:sz w:val="32"/>
          <w:szCs w:val="40"/>
          <w:lang w:val="en-US" w:eastAsia="zh-CN"/>
        </w:rPr>
      </w:pPr>
      <w:r>
        <w:rPr>
          <w:rFonts w:hint="eastAsia" w:ascii="CESI楷体-GB2312" w:hAnsi="CESI楷体-GB2312" w:eastAsia="CESI楷体-GB2312" w:cs="CESI楷体-GB2312"/>
          <w:sz w:val="32"/>
          <w:szCs w:val="40"/>
          <w:lang w:val="en-US" w:eastAsia="zh-CN"/>
        </w:rPr>
        <w:t>（六）平安建设工作提质增效</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3"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一是</w:t>
      </w:r>
      <w:r>
        <w:rPr>
          <w:rFonts w:hint="eastAsia" w:ascii="仿宋_GB2312" w:hAnsi="仿宋_GB2312" w:eastAsia="仿宋_GB2312" w:cs="仿宋_GB2312"/>
          <w:sz w:val="32"/>
          <w:szCs w:val="40"/>
          <w:lang w:val="en-US" w:eastAsia="zh-CN"/>
        </w:rPr>
        <w:t>人民调解工作取得新进展。通过基层法庭联络员与乡镇调解中心、村（居）调解委员会、村民小组调解员共同组成四级调解组织网络，促使大量矛盾纠纷化解在诉前。2025年全县各级人民调解组织共受理矛盾纠纷13280件，成功率达99.82%，上报优秀案例20篇。</w:t>
      </w:r>
      <w:r>
        <w:rPr>
          <w:rFonts w:hint="eastAsia" w:ascii="仿宋_GB2312" w:hAnsi="仿宋_GB2312" w:eastAsia="仿宋_GB2312" w:cs="仿宋_GB2312"/>
          <w:b/>
          <w:bCs/>
          <w:sz w:val="32"/>
          <w:szCs w:val="40"/>
          <w:lang w:val="en-US" w:eastAsia="zh-CN"/>
        </w:rPr>
        <w:t>二是</w:t>
      </w:r>
      <w:r>
        <w:rPr>
          <w:rFonts w:hint="eastAsia" w:ascii="仿宋_GB2312" w:hAnsi="仿宋_GB2312" w:eastAsia="仿宋_GB2312" w:cs="仿宋_GB2312"/>
          <w:sz w:val="32"/>
          <w:szCs w:val="40"/>
          <w:lang w:val="en-US" w:eastAsia="zh-CN"/>
        </w:rPr>
        <w:t>重点人群管控规范有序。打造“基础课程+特色模块”教育模式。创建“联心桥”教育帮扶项目，为社区矫正对象提供心理疏导、就业帮扶、生活救助等全方位、多层次的教育帮扶服务，已帮助133名社区矫正对象解决就业难题、化解家庭矛盾，成功引导其融入社会。累计接收刑满释放人员290人，均已按照刑满释放人员安置帮教制度落实衔接工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三、2025年度推进法治政府建设存在的不足、原因和问题整改情况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在肯定成绩的同时，我们也清醒认识到工作中还存在一些不足和挑战，存在的问题及原因：一是法治建设整体水平还有待提升，部门之间法治建设发展还不平衡，尤其是乡镇（街道）法治建设基础还比较薄弱。二是一些单位对法治建设重视程度还不够，部分领导干部履行推进</w:t>
      </w:r>
      <w:r>
        <w:rPr>
          <w:rFonts w:hint="eastAsia" w:ascii="仿宋_GB2312" w:hAnsi="仿宋_GB2312" w:eastAsia="仿宋_GB2312" w:cs="仿宋_GB2312"/>
          <w:sz w:val="32"/>
          <w:szCs w:val="32"/>
          <w:lang w:val="en-US" w:eastAsia="zh-CN"/>
        </w:rPr>
        <w:t>法治建设第一责任人职责还有待加强。三是公共法律服务供给的精准性、便捷性与人民群众日益增长的需求相比仍有差距，特别是偏远地区和特殊群体的服务可及性需加强。四是高素质专业化法治人才队伍建设仍需加强，基层司法行政力量相对薄弱</w:t>
      </w:r>
      <w:r>
        <w:rPr>
          <w:rFonts w:hint="eastAsia" w:ascii="仿宋_GB2312" w:hAnsi="仿宋_GB2312" w:eastAsia="仿宋_GB2312" w:cs="仿宋_GB2312"/>
          <w:sz w:val="32"/>
          <w:szCs w:val="40"/>
          <w:lang w:val="en-US" w:eastAsia="zh-CN"/>
        </w:rPr>
        <w:t>的情况依然存在。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整改情况：针对上述问题，我局坚持问题导向，立行立改，通过强化统筹协调、优化服务供给、创新普法方式等途径，进一步强化乡镇（街道）法治建设基础，推动</w:t>
      </w:r>
      <w:r>
        <w:rPr>
          <w:rFonts w:hint="eastAsia" w:ascii="仿宋_GB2312" w:hAnsi="仿宋_GB2312" w:eastAsia="仿宋_GB2312" w:cs="仿宋_GB2312"/>
          <w:sz w:val="32"/>
          <w:szCs w:val="32"/>
          <w:lang w:val="en-US" w:eastAsia="zh-CN"/>
        </w:rPr>
        <w:t>高素质专业化法治人才队伍建设，</w:t>
      </w:r>
      <w:r>
        <w:rPr>
          <w:rFonts w:hint="eastAsia" w:ascii="仿宋_GB2312" w:hAnsi="仿宋_GB2312" w:eastAsia="仿宋_GB2312" w:cs="仿宋_GB2312"/>
          <w:sz w:val="32"/>
          <w:szCs w:val="40"/>
          <w:lang w:val="en-US" w:eastAsia="zh-CN"/>
        </w:rPr>
        <w:t>充实</w:t>
      </w:r>
      <w:r>
        <w:rPr>
          <w:rFonts w:hint="eastAsia" w:ascii="仿宋_GB2312" w:hAnsi="仿宋_GB2312" w:eastAsia="仿宋_GB2312" w:cs="仿宋_GB2312"/>
          <w:sz w:val="32"/>
          <w:szCs w:val="32"/>
          <w:lang w:val="en-US" w:eastAsia="zh-CN"/>
        </w:rPr>
        <w:t>基层司法行政力量，推动公共法律服务供给的精准性、便捷性，</w:t>
      </w:r>
      <w:r>
        <w:rPr>
          <w:rFonts w:hint="eastAsia" w:ascii="仿宋_GB2312" w:hAnsi="仿宋_GB2312" w:eastAsia="仿宋_GB2312" w:cs="仿宋_GB2312"/>
          <w:sz w:val="32"/>
          <w:szCs w:val="40"/>
          <w:lang w:val="en-US" w:eastAsia="zh-CN"/>
        </w:rPr>
        <w:t>推动整改工作取得阶段性成效。</w:t>
      </w:r>
    </w:p>
    <w:p>
      <w:pPr>
        <w:keepNext w:val="0"/>
        <w:keepLines w:val="0"/>
        <w:pageBreakBefore w:val="0"/>
        <w:widowControl w:val="0"/>
        <w:numPr>
          <w:numId w:val="0"/>
        </w:numPr>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四、下一年度推进法治政府建设的初步安排</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2026年，我局将坚持以习近平法治思想为指导，补短板、强弱项、提质效，推动法治政府建设再上新台阶。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CESI楷体-GB2312" w:hAnsi="CESI楷体-GB2312" w:eastAsia="CESI楷体-GB2312" w:cs="CESI楷体-GB2312"/>
          <w:sz w:val="32"/>
          <w:szCs w:val="40"/>
          <w:lang w:val="en-US" w:eastAsia="zh-CN"/>
        </w:rPr>
      </w:pPr>
      <w:r>
        <w:rPr>
          <w:rFonts w:hint="eastAsia" w:ascii="CESI楷体-GB2312" w:hAnsi="CESI楷体-GB2312" w:eastAsia="CESI楷体-GB2312" w:cs="CESI楷体-GB2312"/>
          <w:sz w:val="32"/>
          <w:szCs w:val="40"/>
          <w:lang w:val="en-US" w:eastAsia="zh-CN"/>
        </w:rPr>
        <w:t>（一）着力在统抓依法治县上争先创优</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将学习贯彻习近平法治思想作为首要政治任务，全面落实领导干部应知</w:t>
      </w:r>
      <w:r>
        <w:rPr>
          <w:rFonts w:hint="eastAsia" w:ascii="仿宋_GB2312" w:hAnsi="仿宋_GB2312" w:eastAsia="仿宋_GB2312" w:cs="仿宋_GB2312"/>
          <w:sz w:val="32"/>
          <w:szCs w:val="32"/>
          <w:lang w:val="en-US" w:eastAsia="zh-CN"/>
        </w:rPr>
        <w:t>应会党内法规和国家法律清单制度。完善依法治县工作机制，更好发挥参谋助手作用</w:t>
      </w:r>
      <w:r>
        <w:rPr>
          <w:rFonts w:hint="eastAsia" w:ascii="仿宋_GB2312" w:hAnsi="仿宋_GB2312" w:eastAsia="仿宋_GB2312" w:cs="仿宋_GB2312"/>
          <w:sz w:val="32"/>
          <w:szCs w:val="40"/>
          <w:lang w:val="en-US" w:eastAsia="zh-CN"/>
        </w:rPr>
        <w:t>。进一步压实各级党委（党组）法治建设主体责任，紧盯“关键少数”、关键领域，着力破解我县法治建设存在的突出问题。</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eastAsia" w:ascii="CESI楷体-GB2312" w:hAnsi="CESI楷体-GB2312" w:eastAsia="CESI楷体-GB2312" w:cs="CESI楷体-GB2312"/>
          <w:sz w:val="32"/>
          <w:szCs w:val="40"/>
          <w:lang w:val="en-US" w:eastAsia="zh-CN"/>
        </w:rPr>
      </w:pPr>
      <w:r>
        <w:rPr>
          <w:rFonts w:hint="eastAsia" w:ascii="CESI楷体-GB2312" w:hAnsi="CESI楷体-GB2312" w:eastAsia="CESI楷体-GB2312" w:cs="CESI楷体-GB2312"/>
          <w:sz w:val="32"/>
          <w:szCs w:val="40"/>
          <w:lang w:val="en-US" w:eastAsia="zh-CN"/>
        </w:rPr>
        <w:t>着力在融入参与大局上争先创优</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加大行政规范性文件、重大行政决策、重大行政执法决定、行政协议的合法性审查力度。强化业务指导和备案监督，充分发挥法律顾问作用，为党委、政府依法决策、依法行政提供更加优质的服务保障。牢固树立“服务企业就是服务全县大局”理念，做</w:t>
      </w:r>
      <w:r>
        <w:rPr>
          <w:rFonts w:hint="eastAsia" w:ascii="仿宋_GB2312" w:hAnsi="仿宋_GB2312" w:eastAsia="仿宋_GB2312" w:cs="仿宋_GB2312"/>
          <w:sz w:val="32"/>
          <w:szCs w:val="32"/>
          <w:lang w:val="en-US" w:eastAsia="zh-CN"/>
        </w:rPr>
        <w:t>到真心真情全面服务企业。持续推广企业法律服务“码上办”，切实做到“有求必应、无事不扰”。加大涉企执法监督力度，促进严</w:t>
      </w:r>
      <w:r>
        <w:rPr>
          <w:rFonts w:hint="eastAsia" w:ascii="仿宋_GB2312" w:hAnsi="仿宋_GB2312" w:eastAsia="仿宋_GB2312" w:cs="仿宋_GB2312"/>
          <w:sz w:val="32"/>
          <w:szCs w:val="40"/>
          <w:lang w:val="en-US" w:eastAsia="zh-CN"/>
        </w:rPr>
        <w:t>格规范公正文明执法。常态化开展民营企业“法治体检”“万所联万会”“千所联千企”等活动，在风险防范、纠纷化解等方面为企业提供更加及时专业、贴心周到、可信可靠的法律服务。</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eastAsia" w:ascii="CESI楷体-GB2312" w:hAnsi="CESI楷体-GB2312" w:eastAsia="CESI楷体-GB2312" w:cs="CESI楷体-GB2312"/>
          <w:sz w:val="32"/>
          <w:szCs w:val="40"/>
          <w:lang w:val="en-US" w:eastAsia="zh-CN"/>
        </w:rPr>
      </w:pPr>
      <w:r>
        <w:rPr>
          <w:rFonts w:hint="eastAsia" w:ascii="CESI楷体-GB2312" w:hAnsi="CESI楷体-GB2312" w:eastAsia="CESI楷体-GB2312" w:cs="CESI楷体-GB2312"/>
          <w:sz w:val="32"/>
          <w:szCs w:val="40"/>
          <w:lang w:val="en-US" w:eastAsia="zh-CN"/>
        </w:rPr>
        <w:t>着力在法治政府建设上争先创优</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强化对各单位党政主要负责人履行推进法治建设第一责任人职责的监督。完善领导干部述法机制，推动领导干部述法常态化。持续推进行政诉讼发案量和败诉率“双下降”行动。加大个案监督力度，对违法或者不当执法行为严肃追责，实现“办理</w:t>
      </w:r>
      <w:r>
        <w:rPr>
          <w:rFonts w:hint="eastAsia" w:ascii="仿宋_GB2312" w:hAnsi="仿宋_GB2312" w:eastAsia="仿宋_GB2312" w:cs="仿宋_GB2312"/>
          <w:sz w:val="32"/>
          <w:szCs w:val="32"/>
          <w:lang w:val="en-US" w:eastAsia="zh-CN"/>
        </w:rPr>
        <w:t>一案、治理一类、影响一域”。持续深化府院、府检联动。适时召开联席会议，切实解决法治建设和司法实践中的突出问题，推动依法行政和公正司法良性互动。全力推进法治宣传教育。高起点启动“九五</w:t>
      </w:r>
      <w:r>
        <w:rPr>
          <w:rFonts w:hint="eastAsia" w:ascii="仿宋_GB2312" w:hAnsi="仿宋_GB2312" w:eastAsia="仿宋_GB2312" w:cs="仿宋_GB2312"/>
          <w:sz w:val="32"/>
          <w:szCs w:val="40"/>
          <w:lang w:val="en-US" w:eastAsia="zh-CN"/>
        </w:rPr>
        <w:t>”普法规划。持续开展“乡村法治夜话”活动。深入开展法律“八进”活动，推动普法形式由“大水漫灌”向“精准滴灌”转变。加强未成年人保护法治宣传，推动青少年尊法学法守法用法。</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eastAsia" w:ascii="CESI楷体-GB2312" w:hAnsi="CESI楷体-GB2312" w:eastAsia="CESI楷体-GB2312" w:cs="CESI楷体-GB2312"/>
          <w:sz w:val="32"/>
          <w:szCs w:val="40"/>
          <w:lang w:val="en-US" w:eastAsia="zh-CN"/>
        </w:rPr>
      </w:pPr>
      <w:r>
        <w:rPr>
          <w:rFonts w:hint="eastAsia" w:ascii="CESI楷体-GB2312" w:hAnsi="CESI楷体-GB2312" w:eastAsia="CESI楷体-GB2312" w:cs="CESI楷体-GB2312"/>
          <w:sz w:val="32"/>
          <w:szCs w:val="40"/>
          <w:lang w:val="en-US" w:eastAsia="zh-CN"/>
        </w:rPr>
        <w:t>着力在防范化解风险隐患上争先创优</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深化社区矫正等领域反渗透反恐怖反破坏斗争。强化对律师办理涉政类、维权类等重大敏感案件的指导监督，重点关注外地律师在我县代理相关案件的情况，严防利用社会热点问题进行泛政治化炒作。持续完善诉调、警调、检调、访调等工作机制，发挥行业性、专业性调解组织作用，深化大调解格局，切实把矛盾纠纷吸附在当地、化解在基层、消除在萌芽状态。强化重点人群管理，依法落实分类管理、个别化矫正。加强刑满释放人员安置帮教，严格落实必接必送制度和教育帮扶措施，确保不脱管、不失控。</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200"/>
        <w:textAlignment w:val="auto"/>
        <w:rPr>
          <w:rFonts w:hint="eastAsia" w:ascii="CESI楷体-GB2312" w:hAnsi="CESI楷体-GB2312" w:eastAsia="CESI楷体-GB2312" w:cs="CESI楷体-GB2312"/>
          <w:sz w:val="32"/>
          <w:szCs w:val="40"/>
          <w:lang w:val="en-US" w:eastAsia="zh-CN"/>
        </w:rPr>
      </w:pPr>
      <w:r>
        <w:rPr>
          <w:rFonts w:hint="eastAsia" w:ascii="CESI楷体-GB2312" w:hAnsi="CESI楷体-GB2312" w:eastAsia="CESI楷体-GB2312" w:cs="CESI楷体-GB2312"/>
          <w:sz w:val="32"/>
          <w:szCs w:val="40"/>
          <w:lang w:val="en-US" w:eastAsia="zh-CN"/>
        </w:rPr>
        <w:t>（五）着力在公共法律服务上争先创优</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有效整合、合理配置城乡基本公共法律服务资源，不断提高群众体验感和满意度。深化公证减证便民服务。深入开展“法援惠民生”系列活动，实现“应援尽援”。积极参与县政府重大项目、重大信访案件化解等工作并提出意见建议，为相关工作、重要项目的顺利推进、妥善处理提供有力的专业支撑。</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200"/>
        <w:textAlignment w:val="auto"/>
        <w:rPr>
          <w:rFonts w:hint="eastAsia" w:ascii="CESI楷体-GB2312" w:hAnsi="CESI楷体-GB2312" w:eastAsia="CESI楷体-GB2312" w:cs="CESI楷体-GB2312"/>
          <w:sz w:val="32"/>
          <w:szCs w:val="40"/>
          <w:lang w:val="en-US" w:eastAsia="zh-CN"/>
        </w:rPr>
      </w:pPr>
      <w:r>
        <w:rPr>
          <w:rFonts w:hint="eastAsia" w:ascii="CESI楷体-GB2312" w:hAnsi="CESI楷体-GB2312" w:eastAsia="CESI楷体-GB2312" w:cs="CESI楷体-GB2312"/>
          <w:sz w:val="32"/>
          <w:szCs w:val="40"/>
          <w:lang w:val="en-US" w:eastAsia="zh-CN"/>
        </w:rPr>
        <w:t>（六）着力在夯实司法行政发展根基上争先创优</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优化司法所职能定位，落实司法所“十项职能”。建立司法所长列席乡镇（街道）党政联席会议制度，提升司法所围绕中心、服务大局的能力和水平。努力把司法所打造成街道、社区法治综合机构和老百姓身边的“法律服务超市”，以优质法律服务为民排忧解难，让司法所“小阵地”持续发挥法治“大能量”。</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default" w:ascii="仿宋_GB2312" w:hAnsi="仿宋_GB2312" w:eastAsia="仿宋_GB2312" w:cs="仿宋_GB2312"/>
          <w:sz w:val="32"/>
          <w:szCs w:val="4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default" w:ascii="仿宋_GB2312" w:hAnsi="仿宋_GB2312" w:eastAsia="仿宋_GB2312" w:cs="仿宋_GB2312"/>
          <w:sz w:val="32"/>
          <w:szCs w:val="40"/>
          <w:lang w:val="en-US" w:eastAsia="zh-CN"/>
        </w:rPr>
      </w:pPr>
    </w:p>
    <w:p>
      <w:pPr>
        <w:keepNext w:val="0"/>
        <w:keepLines w:val="0"/>
        <w:pageBreakBefore w:val="0"/>
        <w:widowControl w:val="0"/>
        <w:numPr>
          <w:ilvl w:val="0"/>
          <w:numId w:val="0"/>
        </w:numPr>
        <w:tabs>
          <w:tab w:val="left" w:pos="531"/>
        </w:tabs>
        <w:kinsoku/>
        <w:wordWrap w:val="0"/>
        <w:overflowPunct/>
        <w:topLinePunct w:val="0"/>
        <w:autoSpaceDE/>
        <w:autoSpaceDN/>
        <w:bidi w:val="0"/>
        <w:adjustRightInd/>
        <w:snapToGrid/>
        <w:spacing w:line="580" w:lineRule="exact"/>
        <w:ind w:firstLine="640"/>
        <w:jc w:val="right"/>
        <w:textAlignment w:val="auto"/>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ab/>
      </w:r>
      <w:r>
        <w:rPr>
          <w:rFonts w:hint="eastAsia" w:ascii="仿宋_GB2312" w:hAnsi="仿宋_GB2312" w:eastAsia="仿宋_GB2312" w:cs="仿宋_GB2312"/>
          <w:sz w:val="32"/>
          <w:szCs w:val="40"/>
          <w:lang w:val="en-US" w:eastAsia="zh-CN"/>
        </w:rPr>
        <w:t>2026年</w:t>
      </w:r>
      <w:bookmarkStart w:id="0" w:name="_GoBack"/>
      <w:bookmarkEnd w:id="0"/>
      <w:r>
        <w:rPr>
          <w:rFonts w:hint="eastAsia" w:ascii="仿宋_GB2312" w:hAnsi="仿宋_GB2312" w:eastAsia="仿宋_GB2312" w:cs="仿宋_GB2312"/>
          <w:sz w:val="32"/>
          <w:szCs w:val="40"/>
          <w:lang w:val="en-US" w:eastAsia="zh-CN"/>
        </w:rPr>
        <w:t xml:space="preserve">2月        </w:t>
      </w:r>
    </w:p>
    <w:sectPr>
      <w:footerReference r:id="rId3" w:type="default"/>
      <w:pgSz w:w="11906" w:h="16838"/>
      <w:pgMar w:top="2098" w:right="1587"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7A"/>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800002AF" w:usb1="084F6CF8" w:usb2="00000010" w:usb3="00000000" w:csb0="0004000F" w:csb1="00000000"/>
  </w:font>
  <w:font w:name="方正黑体_GBK">
    <w:altName w:val="微软雅黑"/>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SI楷体-GB2312">
    <w:altName w:val="楷体_GB2312"/>
    <w:panose1 w:val="02000500000000000000"/>
    <w:charset w:val="86"/>
    <w:family w:val="auto"/>
    <w:pitch w:val="default"/>
    <w:sig w:usb0="800002BF" w:usb1="184F6CF8" w:usb2="00000012" w:usb3="00000000" w:csb0="0004000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C8F188"/>
    <w:multiLevelType w:val="singleLevel"/>
    <w:tmpl w:val="FFC8F188"/>
    <w:lvl w:ilvl="0" w:tentative="0">
      <w:start w:val="2"/>
      <w:numFmt w:val="chineseCounting"/>
      <w:suff w:val="nothing"/>
      <w:lvlText w:val="（%1）"/>
      <w:lvlJc w:val="left"/>
      <w:rPr>
        <w:rFonts w:hint="eastAsia"/>
      </w:rPr>
    </w:lvl>
  </w:abstractNum>
  <w:abstractNum w:abstractNumId="1">
    <w:nsid w:val="757D88C9"/>
    <w:multiLevelType w:val="singleLevel"/>
    <w:tmpl w:val="757D88C9"/>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s>
  <w:rsids>
    <w:rsidRoot w:val="0BED3A91"/>
    <w:rsid w:val="0BED3A91"/>
    <w:rsid w:val="3BBB537E"/>
    <w:rsid w:val="651548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toc 3"/>
    <w:basedOn w:val="1"/>
    <w:next w:val="1"/>
    <w:qFormat/>
    <w:uiPriority w:val="0"/>
    <w:pPr>
      <w:ind w:left="420"/>
    </w:pPr>
    <w:rPr>
      <w:rFonts w:ascii="等线" w:hAnsi="等线" w:eastAsia="等线" w:cs="Times New Roman"/>
      <w:b/>
      <w:sz w:val="30"/>
      <w:szCs w:val="30"/>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2026-02-05T15:14:00Z</dcterms:created>
  <dc:creator>潞子</dc:creator>
  <cp:lastModifiedBy>陈哇塞</cp:lastModifiedBy>
  <dcterms:modified xsi:type="dcterms:W3CDTF">2026-02-06T00:28:05Z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F656C103DF884DF195D8A74457F15AF3_12</vt:lpwstr>
  </property>
</Properties>
</file>