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鲁山县文化广电和旅游局</w:t>
      </w: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val="en-US" w:eastAsia="zh-CN"/>
        </w:rPr>
        <w:t>2025年法治政府建设情况的报告</w:t>
      </w:r>
    </w:p>
    <w:bookmarkEnd w:id="0"/>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2025年以</w:t>
      </w:r>
      <w:r>
        <w:rPr>
          <w:rFonts w:hint="eastAsia" w:ascii="仿宋_GB2312" w:hAnsi="仿宋_GB2312" w:eastAsia="仿宋_GB2312" w:cs="仿宋_GB2312"/>
          <w:sz w:val="32"/>
          <w:szCs w:val="32"/>
          <w:lang w:val="zh-CN" w:eastAsia="zh-CN"/>
        </w:rPr>
        <w:t>来，</w:t>
      </w:r>
      <w:r>
        <w:rPr>
          <w:rFonts w:hint="eastAsia" w:ascii="仿宋_GB2312" w:hAnsi="仿宋_GB2312" w:eastAsia="仿宋_GB2312" w:cs="仿宋_GB2312"/>
          <w:sz w:val="32"/>
          <w:szCs w:val="32"/>
          <w:lang w:val="en-US" w:eastAsia="zh-CN"/>
        </w:rPr>
        <w:t>鲁山县文化广电和旅游局坚持以习近平新时代中国特色社会主义思想为指导，全面学习贯彻党的二十大精神和习近平法治思想、习近平文化思想，认真落实党的二十届四中全会精神和省委、省政府以及县委、县政府关于法治建设的部署要求，围绕法治建设目标要求，强化组织领导，突出重点，狠抓落实，深入开展行业法治建设工作，着力在文化旅游行业经营秩序规范和安全生产方面，严格规范公正文明执法、加强行业部门综合治理法治化水平，落实普法和执法责任制，推动各项工作任务落实落地，紧紧围绕文旅事业高质量发展目标提供了坚实的法治保障，2025年全县接待游客达1750万人次、实现旅游收入66.5亿元</w:t>
      </w:r>
      <w:r>
        <w:rPr>
          <w:rFonts w:hint="eastAsia" w:ascii="仿宋_GB2312" w:hAnsi="仿宋_GB2312" w:eastAsia="仿宋_GB2312" w:cs="仿宋_GB2312"/>
          <w:sz w:val="32"/>
          <w:szCs w:val="32"/>
          <w:lang w:val="zh-CN" w:eastAsia="zh-CN"/>
        </w:rPr>
        <w:t>。现将工作情况汇报如下：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2025</w:t>
      </w:r>
      <w:r>
        <w:rPr>
          <w:rFonts w:hint="eastAsia" w:ascii="黑体" w:hAnsi="黑体" w:eastAsia="黑体" w:cs="黑体"/>
          <w:sz w:val="32"/>
          <w:szCs w:val="32"/>
        </w:rPr>
        <w:t>年度党政主要负责人履行推进法治建设第一责任人职责的情况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局党组书记、局长为主要负责人切实履行法治建设第一责任人职责，坚持将法治建设摆在全局工作重要位置。主持召开专题会议研究部署法治建设工作，将法治学习纳入党组理论学习中心组学习计划，带头学习法律法规。坚持重大决策、规范性文件制定、重要合同签订必经合法性审查，确保各项工作在法治轨道上运行。坚持在每周工作例会中安排法治理论和相关法规、法纪的学习贯彻，营造学法、知法、用法浓厚氛围。定期听取法治工作汇报，督促班子成员和科室负责人依法履职，推动法治建设责任层层落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二、2025</w:t>
      </w:r>
      <w:r>
        <w:rPr>
          <w:rFonts w:hint="eastAsia" w:ascii="黑体" w:hAnsi="黑体" w:eastAsia="黑体" w:cs="黑体"/>
          <w:sz w:val="32"/>
          <w:szCs w:val="32"/>
        </w:rPr>
        <w:t>年度推进法治政府建设的主要举措和成效</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（一）依法履职，服务文旅发展大局</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严格执行法律法规，在繁荣群众文化方面，依法规范组织开展各类惠民文化活动1600余场，保障群众基本文化权益。在推动文旅融合方面，</w:t>
      </w:r>
      <w:r>
        <w:rPr>
          <w:rFonts w:hint="eastAsia" w:ascii="仿宋_GB2312" w:hAnsi="仿宋_GB2312" w:eastAsia="仿宋_GB2312" w:cs="仿宋_GB2312"/>
          <w:kern w:val="2"/>
          <w:sz w:val="32"/>
          <w:szCs w:val="32"/>
          <w:lang w:val="en-US" w:eastAsia="zh-CN" w:bidi="ar-SA"/>
        </w:rPr>
        <w:t>严格按照《旅游景区质量等级管理办法》</w:t>
      </w:r>
      <w:r>
        <w:rPr>
          <w:rFonts w:hint="default" w:ascii="仿宋_GB2312" w:hAnsi="仿宋_GB2312" w:eastAsia="仿宋_GB2312" w:cs="仿宋_GB2312"/>
          <w:kern w:val="2"/>
          <w:sz w:val="32"/>
          <w:szCs w:val="32"/>
          <w:lang w:val="en-US" w:eastAsia="zh-CN" w:bidi="ar-SA"/>
        </w:rPr>
        <w:t>指导A级景区创建、品牌打造及宣传推广，</w:t>
      </w:r>
      <w:r>
        <w:rPr>
          <w:rFonts w:hint="eastAsia" w:ascii="仿宋_GB2312" w:hAnsi="仿宋_GB2312" w:eastAsia="仿宋_GB2312" w:cs="仿宋_GB2312"/>
          <w:kern w:val="2"/>
          <w:sz w:val="32"/>
          <w:szCs w:val="32"/>
          <w:lang w:val="en-US" w:eastAsia="zh-CN" w:bidi="ar-SA"/>
        </w:rPr>
        <w:t>成功创建“米奇王国”3A级旅游景区一家</w:t>
      </w:r>
      <w:r>
        <w:rPr>
          <w:rFonts w:hint="default" w:ascii="仿宋_GB2312" w:hAnsi="仿宋_GB2312" w:eastAsia="仿宋_GB2312" w:cs="仿宋_GB2312"/>
          <w:kern w:val="2"/>
          <w:sz w:val="32"/>
          <w:szCs w:val="32"/>
          <w:lang w:val="en-US" w:eastAsia="zh-CN" w:bidi="ar-SA"/>
        </w:rPr>
        <w:t>。在加强文物保护和非遗传承方面，严格依照《文物保护法》</w:t>
      </w:r>
      <w:r>
        <w:rPr>
          <w:rFonts w:hint="eastAsia" w:ascii="仿宋_GB2312" w:hAnsi="仿宋_GB2312" w:eastAsia="仿宋_GB2312" w:cs="仿宋_GB2312"/>
          <w:kern w:val="2"/>
          <w:sz w:val="32"/>
          <w:szCs w:val="32"/>
          <w:lang w:val="en-US" w:eastAsia="zh-CN" w:bidi="ar-SA"/>
        </w:rPr>
        <w:t>和河南省实施《文物保护法》办法，</w:t>
      </w:r>
      <w:r>
        <w:rPr>
          <w:rFonts w:hint="default" w:ascii="仿宋_GB2312" w:hAnsi="仿宋_GB2312" w:eastAsia="仿宋_GB2312" w:cs="仿宋_GB2312"/>
          <w:kern w:val="2"/>
          <w:sz w:val="32"/>
          <w:szCs w:val="32"/>
          <w:lang w:val="en-US" w:eastAsia="zh-CN" w:bidi="ar-SA"/>
        </w:rPr>
        <w:t>完成第四次全国文物普查，新增文物点335处，并强化安全监管。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default" w:ascii="楷体_GB2312" w:hAnsi="楷体_GB2312" w:eastAsia="楷体_GB2312" w:cs="楷体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（二）强化监管，规范文旅市场秩序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加强文化市场综合</w:t>
      </w:r>
      <w:r>
        <w:rPr>
          <w:rFonts w:hint="eastAsia" w:ascii="仿宋_GB2312" w:hAnsi="仿宋_GB2312" w:eastAsia="仿宋_GB2312" w:cs="仿宋_GB2312"/>
          <w:kern w:val="2"/>
          <w:sz w:val="32"/>
          <w:szCs w:val="32"/>
          <w:lang w:val="en-US" w:eastAsia="zh-CN" w:bidi="ar-SA"/>
        </w:rPr>
        <w:t>行政</w:t>
      </w:r>
      <w:r>
        <w:rPr>
          <w:rFonts w:hint="default" w:ascii="仿宋_GB2312" w:hAnsi="仿宋_GB2312" w:eastAsia="仿宋_GB2312" w:cs="仿宋_GB2312"/>
          <w:kern w:val="2"/>
          <w:sz w:val="32"/>
          <w:szCs w:val="32"/>
          <w:lang w:val="en-US" w:eastAsia="zh-CN" w:bidi="ar-SA"/>
        </w:rPr>
        <w:t>执法，对</w:t>
      </w:r>
      <w:r>
        <w:rPr>
          <w:rFonts w:hint="eastAsia" w:ascii="仿宋_GB2312" w:hAnsi="仿宋_GB2312" w:eastAsia="仿宋_GB2312" w:cs="仿宋_GB2312"/>
          <w:kern w:val="2"/>
          <w:sz w:val="32"/>
          <w:szCs w:val="32"/>
          <w:lang w:val="en-US" w:eastAsia="zh-CN" w:bidi="ar-SA"/>
        </w:rPr>
        <w:t>文化娱乐场所、互联网经营单位、</w:t>
      </w:r>
      <w:r>
        <w:rPr>
          <w:rFonts w:hint="default" w:ascii="仿宋_GB2312" w:hAnsi="仿宋_GB2312" w:eastAsia="仿宋_GB2312" w:cs="仿宋_GB2312"/>
          <w:kern w:val="2"/>
          <w:sz w:val="32"/>
          <w:szCs w:val="32"/>
          <w:lang w:val="en-US" w:eastAsia="zh-CN" w:bidi="ar-SA"/>
        </w:rPr>
        <w:t>出版物、演出、旅游等市场开展专项检查，全年出动执法人员2000余人次，检查经营单位480余家次。联合多部门执法15次，</w:t>
      </w:r>
      <w:r>
        <w:rPr>
          <w:rFonts w:hint="eastAsia" w:ascii="仿宋_GB2312" w:hAnsi="仿宋_GB2312" w:eastAsia="仿宋_GB2312" w:cs="仿宋_GB2312"/>
          <w:kern w:val="2"/>
          <w:sz w:val="32"/>
          <w:szCs w:val="32"/>
          <w:lang w:val="en-US" w:eastAsia="zh-CN" w:bidi="ar-SA"/>
        </w:rPr>
        <w:t>共计立案查处违法案件5起，</w:t>
      </w:r>
      <w:r>
        <w:rPr>
          <w:rFonts w:hint="default" w:ascii="仿宋_GB2312" w:hAnsi="仿宋_GB2312" w:eastAsia="仿宋_GB2312" w:cs="仿宋_GB2312"/>
          <w:kern w:val="2"/>
          <w:sz w:val="32"/>
          <w:szCs w:val="32"/>
          <w:lang w:val="en-US" w:eastAsia="zh-CN" w:bidi="ar-SA"/>
        </w:rPr>
        <w:t>严厉打击违法违规行为，实施文</w:t>
      </w:r>
      <w:r>
        <w:rPr>
          <w:rFonts w:hint="eastAsia" w:ascii="仿宋_GB2312" w:hAnsi="仿宋_GB2312" w:eastAsia="仿宋_GB2312" w:cs="仿宋_GB2312"/>
          <w:kern w:val="2"/>
          <w:sz w:val="32"/>
          <w:szCs w:val="32"/>
          <w:lang w:val="en-US" w:eastAsia="zh-CN" w:bidi="ar-SA"/>
        </w:rPr>
        <w:t>化</w:t>
      </w:r>
      <w:r>
        <w:rPr>
          <w:rFonts w:hint="default" w:ascii="仿宋_GB2312" w:hAnsi="仿宋_GB2312" w:eastAsia="仿宋_GB2312" w:cs="仿宋_GB2312"/>
          <w:kern w:val="2"/>
          <w:sz w:val="32"/>
          <w:szCs w:val="32"/>
          <w:lang w:val="en-US" w:eastAsia="zh-CN" w:bidi="ar-SA"/>
        </w:rPr>
        <w:t>娱</w:t>
      </w:r>
      <w:r>
        <w:rPr>
          <w:rFonts w:hint="eastAsia" w:ascii="仿宋_GB2312" w:hAnsi="仿宋_GB2312" w:eastAsia="仿宋_GB2312" w:cs="仿宋_GB2312"/>
          <w:kern w:val="2"/>
          <w:sz w:val="32"/>
          <w:szCs w:val="32"/>
          <w:lang w:val="en-US" w:eastAsia="zh-CN" w:bidi="ar-SA"/>
        </w:rPr>
        <w:t>乐</w:t>
      </w:r>
      <w:r>
        <w:rPr>
          <w:rFonts w:hint="default" w:ascii="仿宋_GB2312" w:hAnsi="仿宋_GB2312" w:eastAsia="仿宋_GB2312" w:cs="仿宋_GB2312"/>
          <w:kern w:val="2"/>
          <w:sz w:val="32"/>
          <w:szCs w:val="32"/>
          <w:lang w:val="en-US" w:eastAsia="zh-CN" w:bidi="ar-SA"/>
        </w:rPr>
        <w:t>场所“网格化”监管。</w:t>
      </w:r>
      <w:r>
        <w:rPr>
          <w:rFonts w:hint="eastAsia" w:ascii="仿宋_GB2312" w:hAnsi="仿宋_GB2312" w:eastAsia="仿宋_GB2312" w:cs="仿宋_GB2312"/>
          <w:kern w:val="2"/>
          <w:sz w:val="32"/>
          <w:szCs w:val="32"/>
          <w:lang w:val="en-US" w:eastAsia="zh-CN" w:bidi="ar-SA"/>
        </w:rPr>
        <w:t>持续推进营商环境“企业赋码”工作，不断优化入企行政执法检查规范化机制建设，做到“监管有温度、无事不扰企”。</w:t>
      </w:r>
      <w:r>
        <w:rPr>
          <w:rFonts w:hint="default" w:ascii="仿宋_GB2312" w:hAnsi="仿宋_GB2312" w:eastAsia="仿宋_GB2312" w:cs="仿宋_GB2312"/>
          <w:kern w:val="2"/>
          <w:sz w:val="32"/>
          <w:szCs w:val="32"/>
          <w:lang w:val="en-US" w:eastAsia="zh-CN" w:bidi="ar-SA"/>
        </w:rPr>
        <w:t>健全旅游投诉处理机制，受理投诉100余起，结案率100%，有效维护</w:t>
      </w:r>
      <w:r>
        <w:rPr>
          <w:rFonts w:hint="eastAsia" w:ascii="仿宋_GB2312" w:hAnsi="仿宋_GB2312" w:eastAsia="仿宋_GB2312" w:cs="仿宋_GB2312"/>
          <w:kern w:val="2"/>
          <w:sz w:val="32"/>
          <w:szCs w:val="32"/>
          <w:lang w:val="en-US" w:eastAsia="zh-CN" w:bidi="ar-SA"/>
        </w:rPr>
        <w:t>游客</w:t>
      </w:r>
      <w:r>
        <w:rPr>
          <w:rFonts w:hint="default" w:ascii="仿宋_GB2312" w:hAnsi="仿宋_GB2312" w:eastAsia="仿宋_GB2312" w:cs="仿宋_GB2312"/>
          <w:kern w:val="2"/>
          <w:sz w:val="32"/>
          <w:szCs w:val="32"/>
          <w:lang w:val="en-US" w:eastAsia="zh-CN" w:bidi="ar-SA"/>
        </w:rPr>
        <w:t>合法权益。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default" w:ascii="楷体_GB2312" w:hAnsi="楷体_GB2312" w:eastAsia="楷体_GB2312" w:cs="楷体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（三）优化服务，营造良好营商环境</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依托</w:t>
      </w:r>
      <w:r>
        <w:rPr>
          <w:rFonts w:hint="eastAsia" w:ascii="仿宋_GB2312" w:hAnsi="仿宋_GB2312" w:eastAsia="仿宋_GB2312" w:cs="仿宋_GB2312"/>
          <w:kern w:val="2"/>
          <w:sz w:val="32"/>
          <w:szCs w:val="32"/>
          <w:lang w:val="en-US" w:eastAsia="zh-CN" w:bidi="ar-SA"/>
        </w:rPr>
        <w:t>政务服务大数据</w:t>
      </w:r>
      <w:r>
        <w:rPr>
          <w:rFonts w:hint="default" w:ascii="仿宋_GB2312" w:hAnsi="仿宋_GB2312" w:eastAsia="仿宋_GB2312" w:cs="仿宋_GB2312"/>
          <w:kern w:val="2"/>
          <w:sz w:val="32"/>
          <w:szCs w:val="32"/>
          <w:lang w:val="en-US" w:eastAsia="zh-CN" w:bidi="ar-SA"/>
        </w:rPr>
        <w:t>信息平台依法及时发布文旅</w:t>
      </w:r>
      <w:r>
        <w:rPr>
          <w:rFonts w:hint="eastAsia" w:ascii="仿宋_GB2312" w:hAnsi="仿宋_GB2312" w:eastAsia="仿宋_GB2312" w:cs="仿宋_GB2312"/>
          <w:kern w:val="2"/>
          <w:sz w:val="32"/>
          <w:szCs w:val="32"/>
          <w:lang w:val="en-US" w:eastAsia="zh-CN" w:bidi="ar-SA"/>
        </w:rPr>
        <w:t>政务</w:t>
      </w:r>
      <w:r>
        <w:rPr>
          <w:rFonts w:hint="default" w:ascii="仿宋_GB2312" w:hAnsi="仿宋_GB2312" w:eastAsia="仿宋_GB2312" w:cs="仿宋_GB2312"/>
          <w:kern w:val="2"/>
          <w:sz w:val="32"/>
          <w:szCs w:val="32"/>
          <w:lang w:val="en-US" w:eastAsia="zh-CN" w:bidi="ar-SA"/>
        </w:rPr>
        <w:t>服务信息。加强</w:t>
      </w:r>
      <w:r>
        <w:rPr>
          <w:rFonts w:hint="eastAsia" w:ascii="仿宋_GB2312" w:hAnsi="仿宋_GB2312" w:eastAsia="仿宋_GB2312" w:cs="仿宋_GB2312"/>
          <w:kern w:val="2"/>
          <w:sz w:val="32"/>
          <w:szCs w:val="32"/>
          <w:lang w:val="en-US" w:eastAsia="zh-CN" w:bidi="ar-SA"/>
        </w:rPr>
        <w:t>业务股室</w:t>
      </w:r>
      <w:r>
        <w:rPr>
          <w:rFonts w:hint="default" w:ascii="仿宋_GB2312" w:hAnsi="仿宋_GB2312" w:eastAsia="仿宋_GB2312" w:cs="仿宋_GB2312"/>
          <w:kern w:val="2"/>
          <w:sz w:val="32"/>
          <w:szCs w:val="32"/>
          <w:lang w:val="en-US" w:eastAsia="zh-CN" w:bidi="ar-SA"/>
        </w:rPr>
        <w:t>人员的法律法规和服务规范培训，提升</w:t>
      </w:r>
      <w:r>
        <w:rPr>
          <w:rFonts w:hint="eastAsia" w:ascii="仿宋_GB2312" w:hAnsi="仿宋_GB2312" w:eastAsia="仿宋_GB2312" w:cs="仿宋_GB2312"/>
          <w:kern w:val="2"/>
          <w:sz w:val="32"/>
          <w:szCs w:val="32"/>
          <w:lang w:val="en-US" w:eastAsia="zh-CN" w:bidi="ar-SA"/>
        </w:rPr>
        <w:t>政务</w:t>
      </w:r>
      <w:r>
        <w:rPr>
          <w:rFonts w:hint="default" w:ascii="仿宋_GB2312" w:hAnsi="仿宋_GB2312" w:eastAsia="仿宋_GB2312" w:cs="仿宋_GB2312"/>
          <w:kern w:val="2"/>
          <w:sz w:val="32"/>
          <w:szCs w:val="32"/>
          <w:lang w:val="en-US" w:eastAsia="zh-CN" w:bidi="ar-SA"/>
        </w:rPr>
        <w:t>服务水平。在推动项目建设、产业融合</w:t>
      </w:r>
      <w:r>
        <w:rPr>
          <w:rFonts w:hint="eastAsia" w:ascii="仿宋_GB2312" w:hAnsi="仿宋_GB2312" w:eastAsia="仿宋_GB2312" w:cs="仿宋_GB2312"/>
          <w:kern w:val="2"/>
          <w:sz w:val="32"/>
          <w:szCs w:val="32"/>
          <w:lang w:val="en-US" w:eastAsia="zh-CN" w:bidi="ar-SA"/>
        </w:rPr>
        <w:t>、文物勘探调查、文化娱乐场所设立等政务服务</w:t>
      </w:r>
      <w:r>
        <w:rPr>
          <w:rFonts w:hint="default" w:ascii="仿宋_GB2312" w:hAnsi="仿宋_GB2312" w:eastAsia="仿宋_GB2312" w:cs="仿宋_GB2312"/>
          <w:kern w:val="2"/>
          <w:sz w:val="32"/>
          <w:szCs w:val="32"/>
          <w:lang w:val="en-US" w:eastAsia="zh-CN" w:bidi="ar-SA"/>
        </w:rPr>
        <w:t>中注重依法保障各类市场主体权益，</w:t>
      </w:r>
      <w:r>
        <w:rPr>
          <w:rFonts w:hint="eastAsia" w:ascii="仿宋_GB2312" w:hAnsi="仿宋_GB2312" w:eastAsia="仿宋_GB2312" w:cs="仿宋_GB2312"/>
          <w:kern w:val="2"/>
          <w:sz w:val="32"/>
          <w:szCs w:val="32"/>
          <w:lang w:val="en-US" w:eastAsia="zh-CN" w:bidi="ar-SA"/>
        </w:rPr>
        <w:t>切实开展</w:t>
      </w:r>
      <w:r>
        <w:rPr>
          <w:rFonts w:hint="default" w:ascii="仿宋_GB2312" w:hAnsi="仿宋_GB2312" w:eastAsia="仿宋_GB2312" w:cs="仿宋_GB2312"/>
          <w:kern w:val="2"/>
          <w:sz w:val="32"/>
          <w:szCs w:val="32"/>
          <w:lang w:val="en-US" w:eastAsia="zh-CN" w:bidi="ar-SA"/>
        </w:rPr>
        <w:t>文旅产业高质量发展营造稳定、公平、透明的法治化营商环境。</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（四）普治结合，提升法治意识能力</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eastAsia" w:ascii="黑体" w:hAnsi="黑体" w:eastAsia="黑体" w:cs="黑体"/>
          <w:sz w:val="32"/>
          <w:szCs w:val="32"/>
        </w:rPr>
      </w:pPr>
      <w:r>
        <w:rPr>
          <w:rFonts w:hint="default" w:ascii="仿宋_GB2312" w:hAnsi="仿宋_GB2312" w:eastAsia="仿宋_GB2312" w:cs="仿宋_GB2312"/>
          <w:kern w:val="2"/>
          <w:sz w:val="32"/>
          <w:szCs w:val="32"/>
          <w:lang w:val="en-US" w:eastAsia="zh-CN" w:bidi="ar-SA"/>
        </w:rPr>
        <w:t>结合文化</w:t>
      </w:r>
      <w:r>
        <w:rPr>
          <w:rFonts w:hint="eastAsia" w:ascii="仿宋_GB2312" w:hAnsi="仿宋_GB2312" w:eastAsia="仿宋_GB2312" w:cs="仿宋_GB2312"/>
          <w:kern w:val="2"/>
          <w:sz w:val="32"/>
          <w:szCs w:val="32"/>
          <w:lang w:val="en-US" w:eastAsia="zh-CN" w:bidi="ar-SA"/>
        </w:rPr>
        <w:t>活动、</w:t>
      </w:r>
      <w:r>
        <w:rPr>
          <w:rFonts w:hint="default" w:ascii="仿宋_GB2312" w:hAnsi="仿宋_GB2312" w:eastAsia="仿宋_GB2312" w:cs="仿宋_GB2312"/>
          <w:kern w:val="2"/>
          <w:sz w:val="32"/>
          <w:szCs w:val="32"/>
          <w:lang w:val="en-US" w:eastAsia="zh-CN" w:bidi="ar-SA"/>
        </w:rPr>
        <w:t>公益课堂、</w:t>
      </w:r>
      <w:r>
        <w:rPr>
          <w:rFonts w:hint="eastAsia" w:ascii="仿宋_GB2312" w:hAnsi="仿宋_GB2312" w:eastAsia="仿宋_GB2312" w:cs="仿宋_GB2312"/>
          <w:kern w:val="2"/>
          <w:sz w:val="32"/>
          <w:szCs w:val="32"/>
          <w:lang w:val="en-US" w:eastAsia="zh-CN" w:bidi="ar-SA"/>
        </w:rPr>
        <w:t>送戏下乡、</w:t>
      </w:r>
      <w:r>
        <w:rPr>
          <w:rFonts w:hint="default" w:ascii="仿宋_GB2312" w:hAnsi="仿宋_GB2312" w:eastAsia="仿宋_GB2312" w:cs="仿宋_GB2312"/>
          <w:kern w:val="2"/>
          <w:sz w:val="32"/>
          <w:szCs w:val="32"/>
          <w:lang w:val="en-US" w:eastAsia="zh-CN" w:bidi="ar-SA"/>
        </w:rPr>
        <w:t>行业培训等，融入法治宣传教育内容。组织执法人员</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业务骨干参加法治培训</w:t>
      </w:r>
      <w:r>
        <w:rPr>
          <w:rFonts w:hint="eastAsia" w:ascii="仿宋_GB2312" w:hAnsi="仿宋_GB2312" w:eastAsia="仿宋_GB2312" w:cs="仿宋_GB2312"/>
          <w:kern w:val="2"/>
          <w:sz w:val="32"/>
          <w:szCs w:val="32"/>
          <w:lang w:val="en-US" w:eastAsia="zh-CN" w:bidi="ar-SA"/>
        </w:rPr>
        <w:t>和业务交流活动</w:t>
      </w:r>
      <w:r>
        <w:rPr>
          <w:rFonts w:hint="default" w:ascii="仿宋_GB2312" w:hAnsi="仿宋_GB2312" w:eastAsia="仿宋_GB2312" w:cs="仿宋_GB2312"/>
          <w:kern w:val="2"/>
          <w:sz w:val="32"/>
          <w:szCs w:val="32"/>
          <w:lang w:val="en-US" w:eastAsia="zh-CN" w:bidi="ar-SA"/>
        </w:rPr>
        <w:t>，提升运用法治思维和法治方式深化</w:t>
      </w:r>
      <w:r>
        <w:rPr>
          <w:rFonts w:hint="eastAsia" w:ascii="仿宋_GB2312" w:hAnsi="仿宋_GB2312" w:eastAsia="仿宋_GB2312" w:cs="仿宋_GB2312"/>
          <w:kern w:val="2"/>
          <w:sz w:val="32"/>
          <w:szCs w:val="32"/>
          <w:lang w:val="en-US" w:eastAsia="zh-CN" w:bidi="ar-SA"/>
        </w:rPr>
        <w:t>文旅融合</w:t>
      </w:r>
      <w:r>
        <w:rPr>
          <w:rFonts w:hint="default" w:ascii="仿宋_GB2312" w:hAnsi="仿宋_GB2312" w:eastAsia="仿宋_GB2312" w:cs="仿宋_GB2312"/>
          <w:kern w:val="2"/>
          <w:sz w:val="32"/>
          <w:szCs w:val="32"/>
          <w:lang w:val="en-US" w:eastAsia="zh-CN" w:bidi="ar-SA"/>
        </w:rPr>
        <w:t>发展、化解矛盾、维护稳定的能力。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2025年度推进法治政府建设存在的不足、原因和问题整改情况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主要存在</w:t>
      </w:r>
      <w:r>
        <w:rPr>
          <w:rFonts w:hint="eastAsia" w:ascii="仿宋_GB2312" w:hAnsi="仿宋_GB2312" w:eastAsia="仿宋_GB2312" w:cs="仿宋_GB2312"/>
          <w:kern w:val="2"/>
          <w:sz w:val="32"/>
          <w:szCs w:val="32"/>
          <w:lang w:val="en-US" w:eastAsia="zh-CN" w:bidi="ar-SA"/>
        </w:rPr>
        <w:t>的问题及原因</w:t>
      </w:r>
      <w:r>
        <w:rPr>
          <w:rFonts w:hint="default" w:ascii="仿宋_GB2312" w:hAnsi="仿宋_GB2312" w:eastAsia="仿宋_GB2312" w:cs="仿宋_GB2312"/>
          <w:kern w:val="2"/>
          <w:sz w:val="32"/>
          <w:szCs w:val="32"/>
          <w:lang w:val="en-US" w:eastAsia="zh-CN" w:bidi="ar-SA"/>
        </w:rPr>
        <w:t>：一是法治工作与文旅业务深度融合有待加强，运用法治思维创新工作方式的能力需进一步提升；二是面对文旅新业态、新模式，相关监管和服务的法规政策把握及应用需更精准及时；三是普法宣传的针对性和实效性有待增强，特别是面向广大游客和文旅经营者的普法需更贴近需求。原因主要在于对新情况新问题的前瞻性研究不够深入，法治培训的精准度有待提高，普法形式有待进一步创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整改情况：一是深化法治与文旅业务融合，常态化开展干部法治培训，引导干部运用法治思维谋划文旅工作、破解发展难题，创新法治赋能文旅发展的工作方式。二是聚焦文旅新业态、新模式，组织专人梳理相关法规政策，加强与法治部门联动咨询，定期开展专题研讨，提升监管和服务的法规应用精准度、及时性。三是强化精准普法，聚焦游客和文旅经营者需求，依托景区、文旅企业、非遗阵地，开展针对性普法宣传，通过短视频、宣传手册、现场宣讲等形式，提升普法实效性，筑牢文旅行业法治根基。</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下一年度推进法治政府建设的主要工作安排</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firstLine="599"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pacing w:val="-11"/>
          <w:kern w:val="2"/>
          <w:sz w:val="32"/>
          <w:szCs w:val="32"/>
          <w:lang w:val="en-US" w:eastAsia="zh-CN" w:bidi="ar-SA"/>
        </w:rPr>
        <w:t>1.</w:t>
      </w:r>
      <w:r>
        <w:rPr>
          <w:rFonts w:hint="default" w:ascii="仿宋_GB2312" w:hAnsi="仿宋_GB2312" w:eastAsia="仿宋_GB2312" w:cs="仿宋_GB2312"/>
          <w:b/>
          <w:bCs/>
          <w:spacing w:val="-11"/>
          <w:kern w:val="2"/>
          <w:sz w:val="32"/>
          <w:szCs w:val="32"/>
          <w:lang w:val="en-US" w:eastAsia="zh-CN" w:bidi="ar-SA"/>
        </w:rPr>
        <w:t>持续深化依法履职。</w:t>
      </w:r>
      <w:r>
        <w:rPr>
          <w:rFonts w:hint="default" w:ascii="仿宋_GB2312" w:hAnsi="仿宋_GB2312" w:eastAsia="仿宋_GB2312" w:cs="仿宋_GB2312"/>
          <w:kern w:val="2"/>
          <w:sz w:val="32"/>
          <w:szCs w:val="32"/>
          <w:lang w:val="en-US" w:eastAsia="zh-CN" w:bidi="ar-SA"/>
        </w:rPr>
        <w:t>严格落实重大行政决策程序，加强规范性文件管理。依法推进“十五五”旅游发展规划编制、重点文旅项目建设、文化遗产保护利用等核心工作，确保各项举措于法有据、程序正当。</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firstLine="599"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pacing w:val="-11"/>
          <w:kern w:val="2"/>
          <w:sz w:val="32"/>
          <w:szCs w:val="32"/>
          <w:lang w:val="en-US" w:eastAsia="zh-CN" w:bidi="ar-SA"/>
        </w:rPr>
        <w:t>2.</w:t>
      </w:r>
      <w:r>
        <w:rPr>
          <w:rFonts w:hint="default" w:ascii="仿宋_GB2312" w:hAnsi="仿宋_GB2312" w:eastAsia="仿宋_GB2312" w:cs="仿宋_GB2312"/>
          <w:b/>
          <w:bCs/>
          <w:spacing w:val="-11"/>
          <w:kern w:val="2"/>
          <w:sz w:val="32"/>
          <w:szCs w:val="32"/>
          <w:lang w:val="en-US" w:eastAsia="zh-CN" w:bidi="ar-SA"/>
        </w:rPr>
        <w:t>着力提升监管效能。</w:t>
      </w:r>
      <w:r>
        <w:rPr>
          <w:rFonts w:hint="default" w:ascii="仿宋_GB2312" w:hAnsi="仿宋_GB2312" w:eastAsia="仿宋_GB2312" w:cs="仿宋_GB2312"/>
          <w:kern w:val="2"/>
          <w:sz w:val="32"/>
          <w:szCs w:val="32"/>
          <w:lang w:val="en-US" w:eastAsia="zh-CN" w:bidi="ar-SA"/>
        </w:rPr>
        <w:t>完善文旅市场综合监管机制，强化部门联动和信用监管。加强对在线旅游、沉浸式演艺等新业态的监管研究与实践。持续开展旅游市场秩序专项整治，优化投诉举报处理流程，提升执法规范化水平和监管精准度。</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firstLine="599"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pacing w:val="-11"/>
          <w:kern w:val="2"/>
          <w:sz w:val="32"/>
          <w:szCs w:val="32"/>
          <w:lang w:val="en-US" w:eastAsia="zh-CN" w:bidi="ar-SA"/>
        </w:rPr>
        <w:t>3.</w:t>
      </w:r>
      <w:r>
        <w:rPr>
          <w:rFonts w:hint="default" w:ascii="仿宋_GB2312" w:hAnsi="仿宋_GB2312" w:eastAsia="仿宋_GB2312" w:cs="仿宋_GB2312"/>
          <w:b/>
          <w:bCs/>
          <w:spacing w:val="-11"/>
          <w:kern w:val="2"/>
          <w:sz w:val="32"/>
          <w:szCs w:val="32"/>
          <w:lang w:val="en-US" w:eastAsia="zh-CN" w:bidi="ar-SA"/>
        </w:rPr>
        <w:t>不断优化法治服务。</w:t>
      </w:r>
      <w:r>
        <w:rPr>
          <w:rFonts w:hint="default" w:ascii="仿宋_GB2312" w:hAnsi="仿宋_GB2312" w:eastAsia="仿宋_GB2312" w:cs="仿宋_GB2312"/>
          <w:kern w:val="2"/>
          <w:sz w:val="32"/>
          <w:szCs w:val="32"/>
          <w:lang w:val="en-US" w:eastAsia="zh-CN" w:bidi="ar-SA"/>
        </w:rPr>
        <w:t>深化“放管服”改革，优化行政审批流程。常态化开展文旅行业法规普法，组织涉企行政执法整治，为市场主体提供更优质法律服务。加强从业人员法治培训，引导依法诚信经营。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firstLine="599"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pacing w:val="-11"/>
          <w:kern w:val="2"/>
          <w:sz w:val="32"/>
          <w:szCs w:val="32"/>
          <w:lang w:val="en-US" w:eastAsia="zh-CN" w:bidi="ar-SA"/>
        </w:rPr>
        <w:t>4.</w:t>
      </w:r>
      <w:r>
        <w:rPr>
          <w:rFonts w:hint="default" w:ascii="仿宋_GB2312" w:hAnsi="仿宋_GB2312" w:eastAsia="仿宋_GB2312" w:cs="仿宋_GB2312"/>
          <w:b/>
          <w:bCs/>
          <w:spacing w:val="-11"/>
          <w:kern w:val="2"/>
          <w:sz w:val="32"/>
          <w:szCs w:val="32"/>
          <w:lang w:val="en-US" w:eastAsia="zh-CN" w:bidi="ar-SA"/>
        </w:rPr>
        <w:t>全面加强普法宣传。</w:t>
      </w:r>
      <w:r>
        <w:rPr>
          <w:rFonts w:hint="default" w:ascii="仿宋_GB2312" w:hAnsi="仿宋_GB2312" w:eastAsia="仿宋_GB2312" w:cs="仿宋_GB2312"/>
          <w:spacing w:val="-11"/>
          <w:kern w:val="2"/>
          <w:sz w:val="32"/>
          <w:szCs w:val="32"/>
          <w:lang w:val="en-US" w:eastAsia="zh-CN" w:bidi="ar-SA"/>
        </w:rPr>
        <w:t>创新普法形式，结合“送戏</w:t>
      </w:r>
      <w:r>
        <w:rPr>
          <w:rFonts w:hint="eastAsia" w:ascii="仿宋_GB2312" w:hAnsi="仿宋_GB2312" w:eastAsia="仿宋_GB2312" w:cs="仿宋_GB2312"/>
          <w:spacing w:val="-11"/>
          <w:kern w:val="2"/>
          <w:sz w:val="32"/>
          <w:szCs w:val="32"/>
          <w:lang w:val="en-US" w:eastAsia="zh-CN" w:bidi="ar-SA"/>
        </w:rPr>
        <w:t>下乡</w:t>
      </w:r>
      <w:r>
        <w:rPr>
          <w:rFonts w:hint="default" w:ascii="仿宋_GB2312" w:hAnsi="仿宋_GB2312" w:eastAsia="仿宋_GB2312" w:cs="仿宋_GB2312"/>
          <w:spacing w:val="-11"/>
          <w:kern w:val="2"/>
          <w:sz w:val="32"/>
          <w:szCs w:val="32"/>
          <w:lang w:val="en-US" w:eastAsia="zh-CN" w:bidi="ar-SA"/>
        </w:rPr>
        <w:t>”“全民阅读”“非遗展示”</w:t>
      </w:r>
      <w:r>
        <w:rPr>
          <w:rFonts w:hint="default" w:ascii="仿宋_GB2312" w:hAnsi="仿宋_GB2312" w:eastAsia="仿宋_GB2312" w:cs="仿宋_GB2312"/>
          <w:kern w:val="2"/>
          <w:sz w:val="32"/>
          <w:szCs w:val="32"/>
          <w:lang w:val="en-US" w:eastAsia="zh-CN" w:bidi="ar-SA"/>
        </w:rPr>
        <w:t>等群众文化活动，嵌入法治元素。利用新媒体平台，针对游客和经营者开展靶向普法，营造尊法学法守法用法的浓厚氛围，助力建设更高水平的法治鲁山、平安鲁山。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textAlignment w:val="auto"/>
        <w:rPr>
          <w:rFonts w:hint="default" w:ascii="仿宋_GB2312" w:hAnsi="仿宋_GB2312" w:eastAsia="仿宋_GB2312" w:cs="仿宋_GB2312"/>
          <w:kern w:val="2"/>
          <w:sz w:val="32"/>
          <w:szCs w:val="32"/>
          <w:lang w:val="en-US" w:eastAsia="zh-CN" w:bidi="ar-SA"/>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撰稿人：申红恩 </w:t>
      </w:r>
      <w:r>
        <w:rPr>
          <w:rFonts w:hint="eastAsia" w:ascii="仿宋_GB2312" w:hAnsi="仿宋_GB2312" w:eastAsia="仿宋_GB2312" w:cs="仿宋_GB2312"/>
          <w:kern w:val="2"/>
          <w:sz w:val="32"/>
          <w:szCs w:val="32"/>
          <w:lang w:val="en-US" w:eastAsia="zh-CN" w:bidi="ar-SA"/>
        </w:rPr>
        <w:t xml:space="preserve">  </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联系电话：13733917535</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textAlignment w:val="auto"/>
        <w:rPr>
          <w:rFonts w:hint="default" w:ascii="仿宋_GB2312" w:hAnsi="仿宋_GB2312" w:eastAsia="仿宋_GB2312" w:cs="仿宋_GB2312"/>
          <w:kern w:val="2"/>
          <w:sz w:val="32"/>
          <w:szCs w:val="32"/>
          <w:lang w:val="en-US" w:eastAsia="zh-CN" w:bidi="ar-SA"/>
        </w:rPr>
      </w:pP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320" w:firstLineChars="100"/>
        <w:jc w:val="right"/>
        <w:textAlignment w:val="auto"/>
        <w:rPr>
          <w:rFonts w:hint="default" w:eastAsiaTheme="minorEastAsia"/>
          <w:lang w:val="en-US" w:eastAsia="zh-CN"/>
        </w:rPr>
      </w:pPr>
      <w:r>
        <w:rPr>
          <w:rFonts w:hint="default" w:ascii="仿宋_GB2312" w:hAnsi="仿宋_GB2312" w:eastAsia="仿宋_GB2312" w:cs="仿宋_GB2312"/>
          <w:kern w:val="2"/>
          <w:sz w:val="32"/>
          <w:szCs w:val="32"/>
          <w:lang w:val="en-US" w:eastAsia="zh-CN" w:bidi="ar-SA"/>
        </w:rPr>
        <w:t>202</w:t>
      </w:r>
      <w:r>
        <w:rPr>
          <w:rFonts w:hint="eastAsia"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en-US" w:eastAsia="zh-CN" w:bidi="ar-SA"/>
        </w:rPr>
        <w:t>年2月</w:t>
      </w:r>
      <w:r>
        <w:rPr>
          <w:rFonts w:hint="eastAsia" w:ascii="仿宋_GB2312" w:hAnsi="仿宋_GB2312" w:eastAsia="仿宋_GB2312" w:cs="仿宋_GB2312"/>
          <w:kern w:val="2"/>
          <w:sz w:val="32"/>
          <w:szCs w:val="32"/>
          <w:lang w:val="en-US" w:eastAsia="zh-CN" w:bidi="ar-SA"/>
        </w:rPr>
        <w:t xml:space="preserve">2日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D950AD"/>
    <w:multiLevelType w:val="singleLevel"/>
    <w:tmpl w:val="95D950A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2A8F0321"/>
    <w:rsid w:val="00116CF8"/>
    <w:rsid w:val="00ED3BD8"/>
    <w:rsid w:val="03D177E1"/>
    <w:rsid w:val="09F41BD3"/>
    <w:rsid w:val="0B633415"/>
    <w:rsid w:val="0E4D215A"/>
    <w:rsid w:val="0F8120BC"/>
    <w:rsid w:val="115B59AB"/>
    <w:rsid w:val="12900868"/>
    <w:rsid w:val="13AA5959"/>
    <w:rsid w:val="13BD38DE"/>
    <w:rsid w:val="14A02B65"/>
    <w:rsid w:val="176968B0"/>
    <w:rsid w:val="2A8F0321"/>
    <w:rsid w:val="30C359B6"/>
    <w:rsid w:val="3AEF7F72"/>
    <w:rsid w:val="532742F5"/>
    <w:rsid w:val="58F20F01"/>
    <w:rsid w:val="5A386DE8"/>
    <w:rsid w:val="62BC4758"/>
    <w:rsid w:val="69BC50B1"/>
    <w:rsid w:val="73E55492"/>
    <w:rsid w:val="75ED6880"/>
    <w:rsid w:val="775F37AE"/>
    <w:rsid w:val="7A9B2D4F"/>
    <w:rsid w:val="7B0C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1999</Words>
  <Characters>2053</Characters>
  <Lines>0</Lines>
  <Paragraphs>0</Paragraphs>
  <TotalTime>50</TotalTime>
  <ScaleCrop>false</ScaleCrop>
  <LinksUpToDate>false</LinksUpToDate>
  <CharactersWithSpaces>2098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2026-01-28T07:05:00Z</dcterms:created>
  <dc:creator>同心同意</dc:creator>
  <cp:lastModifiedBy>陈哇塞</cp:lastModifiedBy>
  <dcterms:modified xsi:type="dcterms:W3CDTF">2026-02-06T02:00:44Z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2DC78702355C42F0BA76591CD9B9A994_13</vt:lpwstr>
  </property>
  <property fmtid="{D5CDD505-2E9C-101B-9397-08002B2CF9AE}" pid="4" name="KSOTemplateDocerSaveRecord">
    <vt:lpwstr>eyJoZGlkIjoiZTA1NzA5NzNmMTA4ZjJiM2MxYjE1NmNlOTgyZWRhMGUiLCJ1c2VySWQiOiIzMzI1ODcyNjEifQ==</vt:lpwstr>
  </property>
</Properties>
</file>