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鲁山县梁洼镇人民政府</w:t>
      </w:r>
    </w:p>
    <w:p>
      <w:pPr>
        <w:keepNext w:val="0"/>
        <w:keepLines w:val="0"/>
        <w:pageBreakBefore w:val="0"/>
        <w:widowControl/>
        <w:numPr>
          <w:ilvl w:val="0"/>
          <w:numId w:val="0"/>
        </w:numPr>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关于2024年法治政府建设情况的报告</w:t>
      </w:r>
    </w:p>
    <w:p>
      <w:pPr>
        <w:numPr>
          <w:ilvl w:val="0"/>
          <w:numId w:val="0"/>
        </w:numPr>
        <w:jc w:val="both"/>
        <w:rPr>
          <w:rFonts w:hint="default" w:ascii="宋体" w:hAnsi="宋体" w:cs="宋体"/>
          <w:sz w:val="44"/>
          <w:szCs w:val="44"/>
          <w:lang w:val="en-US" w:eastAsia="zh-CN"/>
        </w:rPr>
      </w:pP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2024年以</w:t>
      </w:r>
      <w:r>
        <w:rPr>
          <w:rFonts w:hint="eastAsia" w:ascii="仿宋_GB2312" w:hAnsi="仿宋_GB2312" w:eastAsia="仿宋_GB2312" w:cs="仿宋_GB2312"/>
          <w:sz w:val="32"/>
          <w:szCs w:val="32"/>
          <w:lang w:val="zh-CN" w:eastAsia="zh-CN"/>
        </w:rPr>
        <w:t>来，</w:t>
      </w:r>
      <w:r>
        <w:rPr>
          <w:rFonts w:hint="eastAsia" w:ascii="仿宋_GB2312" w:hAnsi="仿宋_GB2312" w:eastAsia="仿宋_GB2312" w:cs="仿宋_GB2312"/>
          <w:sz w:val="32"/>
          <w:szCs w:val="32"/>
          <w:lang w:val="en-US" w:eastAsia="zh-CN"/>
        </w:rPr>
        <w:t>梁洼镇</w:t>
      </w:r>
      <w:r>
        <w:rPr>
          <w:rFonts w:hint="eastAsia" w:ascii="仿宋_GB2312" w:hAnsi="仿宋_GB2312" w:eastAsia="仿宋_GB2312" w:cs="仿宋_GB2312"/>
          <w:sz w:val="32"/>
          <w:szCs w:val="32"/>
        </w:rPr>
        <w:t>在县委、县政府的</w:t>
      </w:r>
      <w:r>
        <w:rPr>
          <w:rFonts w:hint="eastAsia" w:ascii="仿宋_GB2312" w:hAnsi="仿宋_GB2312" w:eastAsia="仿宋_GB2312" w:cs="仿宋_GB2312"/>
          <w:sz w:val="32"/>
          <w:szCs w:val="32"/>
          <w:lang w:eastAsia="zh-CN"/>
        </w:rPr>
        <w:t>正确</w:t>
      </w:r>
      <w:r>
        <w:rPr>
          <w:rFonts w:hint="eastAsia" w:ascii="仿宋_GB2312" w:hAnsi="仿宋_GB2312" w:eastAsia="仿宋_GB2312" w:cs="仿宋_GB2312"/>
          <w:sz w:val="32"/>
          <w:szCs w:val="32"/>
        </w:rPr>
        <w:t>领导下，坚持以习近平新时代中国特色社会主义思想为指导，深入学习贯彻习近平总书记依法治国新理念新思想战略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紧紧围绕县委的中心工作</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省、市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法治</w:t>
      </w:r>
      <w:bookmarkStart w:id="0" w:name="_GoBack"/>
      <w:bookmarkEnd w:id="0"/>
      <w:r>
        <w:rPr>
          <w:rFonts w:hint="eastAsia" w:ascii="仿宋_GB2312" w:hAnsi="仿宋_GB2312" w:eastAsia="仿宋_GB2312" w:cs="仿宋_GB2312"/>
          <w:sz w:val="32"/>
          <w:szCs w:val="32"/>
        </w:rPr>
        <w:t>建设重点，进一步推进法治政府、规范化服务型政府建设，严格依法履行法定职责，规范行政行为，高质量统筹推进我</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法治政府建设各项工作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w:t>
      </w:r>
      <w:r>
        <w:rPr>
          <w:rFonts w:hint="eastAsia" w:ascii="仿宋_GB2312" w:hAnsi="仿宋_GB2312" w:eastAsia="仿宋_GB2312" w:cs="仿宋_GB2312"/>
          <w:sz w:val="32"/>
          <w:szCs w:val="32"/>
          <w:lang w:eastAsia="zh-CN"/>
        </w:rPr>
        <w:t>将梁洼镇</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年法治政府建设情况</w:t>
      </w:r>
      <w:r>
        <w:rPr>
          <w:rFonts w:hint="eastAsia" w:ascii="仿宋_GB2312" w:hAnsi="仿宋_GB2312" w:eastAsia="仿宋_GB2312" w:cs="仿宋_GB2312"/>
          <w:sz w:val="32"/>
          <w:szCs w:val="32"/>
          <w:lang w:val="zh-CN" w:eastAsia="zh-CN"/>
        </w:rPr>
        <w:t>报告如下：</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zh-CN" w:eastAsia="zh-CN"/>
        </w:rPr>
        <w:t>一、</w:t>
      </w:r>
      <w:r>
        <w:rPr>
          <w:rFonts w:hint="eastAsia" w:ascii="黑体" w:hAnsi="黑体" w:eastAsia="黑体" w:cs="黑体"/>
          <w:b w:val="0"/>
          <w:bCs w:val="0"/>
          <w:sz w:val="32"/>
          <w:szCs w:val="32"/>
          <w:lang w:val="en-US" w:eastAsia="zh-CN"/>
        </w:rPr>
        <w:t>2024年度</w:t>
      </w:r>
      <w:r>
        <w:rPr>
          <w:rFonts w:hint="eastAsia" w:ascii="黑体" w:hAnsi="黑体" w:eastAsia="黑体" w:cs="黑体"/>
          <w:b w:val="0"/>
          <w:bCs w:val="0"/>
          <w:sz w:val="32"/>
          <w:szCs w:val="32"/>
          <w:lang w:val="zh-CN"/>
        </w:rPr>
        <w:t>党政负责人履行</w:t>
      </w:r>
      <w:r>
        <w:rPr>
          <w:rFonts w:hint="eastAsia" w:ascii="黑体" w:hAnsi="黑体" w:eastAsia="黑体" w:cs="黑体"/>
          <w:b w:val="0"/>
          <w:bCs w:val="0"/>
          <w:sz w:val="32"/>
          <w:szCs w:val="32"/>
          <w:lang w:val="en-US" w:eastAsia="zh-CN"/>
        </w:rPr>
        <w:t>推进</w:t>
      </w:r>
      <w:r>
        <w:rPr>
          <w:rFonts w:hint="eastAsia" w:ascii="黑体" w:hAnsi="黑体" w:eastAsia="黑体" w:cs="黑体"/>
          <w:b w:val="0"/>
          <w:bCs w:val="0"/>
          <w:sz w:val="32"/>
          <w:szCs w:val="32"/>
          <w:lang w:val="zh-CN"/>
        </w:rPr>
        <w:t>法治建设第一责任人职责，</w:t>
      </w:r>
      <w:r>
        <w:rPr>
          <w:rFonts w:hint="eastAsia" w:ascii="黑体" w:hAnsi="黑体" w:eastAsia="黑体" w:cs="黑体"/>
          <w:b w:val="0"/>
          <w:bCs w:val="0"/>
          <w:sz w:val="32"/>
          <w:szCs w:val="32"/>
          <w:lang w:val="en-US" w:eastAsia="zh-CN"/>
        </w:rPr>
        <w:t>加强法治政府建设的有关情况</w:t>
      </w:r>
    </w:p>
    <w:p>
      <w:pPr>
        <w:keepNext w:val="0"/>
        <w:keepLines w:val="0"/>
        <w:pageBreakBefore w:val="0"/>
        <w:topLinePunct w:val="0"/>
        <w:bidi w:val="0"/>
        <w:adjustRightInd/>
        <w:snapToGrid/>
        <w:spacing w:line="580" w:lineRule="exact"/>
        <w:ind w:firstLine="640" w:firstLineChars="200"/>
        <w:textAlignment w:val="auto"/>
        <w:rPr>
          <w:rFonts w:hint="eastAsia" w:asciiTheme="minorEastAsia" w:hAnsiTheme="minorEastAsia" w:eastAsiaTheme="minorEastAsia" w:cstheme="minorEastAsia"/>
          <w:sz w:val="32"/>
          <w:szCs w:val="32"/>
        </w:rPr>
      </w:pPr>
      <w:r>
        <w:rPr>
          <w:rFonts w:hint="eastAsia" w:ascii="仿宋_GB2312" w:hAnsi="仿宋_GB2312" w:eastAsia="仿宋_GB2312" w:cs="仿宋_GB2312"/>
          <w:sz w:val="32"/>
          <w:szCs w:val="32"/>
        </w:rPr>
        <w:t>严格按照《党政主要负责人履行推进法治政府建设第一责任人职责规定》，调整充实法治政府建设领导机构，细化领导小组成员分工，明确各成员职责，成立了以</w:t>
      </w:r>
      <w:r>
        <w:rPr>
          <w:rFonts w:hint="eastAsia" w:ascii="仿宋_GB2312" w:hAnsi="仿宋_GB2312" w:eastAsia="仿宋_GB2312" w:cs="仿宋_GB2312"/>
          <w:sz w:val="32"/>
          <w:szCs w:val="32"/>
          <w:lang w:val="en-US" w:eastAsia="zh-CN"/>
        </w:rPr>
        <w:t>镇党委书记</w:t>
      </w:r>
      <w:r>
        <w:rPr>
          <w:rFonts w:hint="eastAsia" w:ascii="仿宋_GB2312" w:hAnsi="仿宋_GB2312" w:eastAsia="仿宋_GB2312" w:cs="仿宋_GB2312"/>
          <w:sz w:val="32"/>
          <w:szCs w:val="32"/>
        </w:rPr>
        <w:t>为组长，其他</w:t>
      </w:r>
      <w:r>
        <w:rPr>
          <w:rFonts w:hint="eastAsia" w:ascii="仿宋_GB2312" w:hAnsi="仿宋_GB2312" w:eastAsia="仿宋_GB2312" w:cs="仿宋_GB2312"/>
          <w:sz w:val="32"/>
          <w:szCs w:val="32"/>
          <w:lang w:val="en-US" w:eastAsia="zh-CN"/>
        </w:rPr>
        <w:t>班子成员</w:t>
      </w:r>
      <w:r>
        <w:rPr>
          <w:rFonts w:hint="eastAsia" w:ascii="仿宋_GB2312" w:hAnsi="仿宋_GB2312" w:eastAsia="仿宋_GB2312" w:cs="仿宋_GB2312"/>
          <w:sz w:val="32"/>
          <w:szCs w:val="32"/>
        </w:rPr>
        <w:t>为副组长，相关业务</w:t>
      </w:r>
      <w:r>
        <w:rPr>
          <w:rFonts w:hint="eastAsia" w:ascii="仿宋_GB2312" w:hAnsi="仿宋_GB2312" w:eastAsia="仿宋_GB2312" w:cs="仿宋_GB2312"/>
          <w:sz w:val="32"/>
          <w:szCs w:val="32"/>
          <w:lang w:eastAsia="zh-CN"/>
        </w:rPr>
        <w:t>办公</w:t>
      </w:r>
      <w:r>
        <w:rPr>
          <w:rFonts w:hint="eastAsia" w:ascii="仿宋_GB2312" w:hAnsi="仿宋_GB2312" w:eastAsia="仿宋_GB2312" w:cs="仿宋_GB2312"/>
          <w:sz w:val="32"/>
          <w:szCs w:val="32"/>
        </w:rPr>
        <w:t>室</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村</w:t>
      </w:r>
      <w:r>
        <w:rPr>
          <w:rFonts w:hint="eastAsia" w:ascii="仿宋_GB2312" w:hAnsi="仿宋_GB2312" w:eastAsia="仿宋_GB2312" w:cs="仿宋_GB2312"/>
          <w:sz w:val="32"/>
          <w:szCs w:val="32"/>
        </w:rPr>
        <w:t>负责人为成员的法治建设工作领导小组，各行政村配套建立相应的工作领导小组，切实加强对创建工作的领导。形成主要领导负责抓，分管领导具体抓，相关办公室配合抓的工作局面。同时根据县委、县政府关于法治政府建设重点工作安排，专题讨论，细化安排，统筹引领法治政府创建各项工作。</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二、2024年度推进法治政府建设的主要举措与成效</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（一）规范行政行为，全面扎实抓细节</w:t>
      </w:r>
    </w:p>
    <w:p>
      <w:pPr>
        <w:pStyle w:val="6"/>
        <w:keepNext w:val="0"/>
        <w:keepLines w:val="0"/>
        <w:pageBreakBefore w:val="0"/>
        <w:widowControl w:val="0"/>
        <w:suppressLineNumbers w:val="0"/>
        <w:kinsoku w:val="0"/>
        <w:wordWrap/>
        <w:overflowPunct w:val="0"/>
        <w:topLinePunct w:val="0"/>
        <w:autoSpaceDE w:val="0"/>
        <w:autoSpaceDN w:val="0"/>
        <w:bidi w:val="0"/>
        <w:adjustRightInd/>
        <w:snapToGrid/>
        <w:spacing w:beforeAutospacing="0" w:afterAutospacing="0" w:line="580" w:lineRule="exact"/>
        <w:ind w:left="0" w:firstLine="640"/>
        <w:textAlignment w:val="auto"/>
        <w:rPr>
          <w:rFonts w:hint="eastAsia"/>
          <w:color w:val="000000" w:themeColor="text1"/>
          <w:lang w:val="en-US" w:eastAsia="zh-CN"/>
          <w14:textFill>
            <w14:solidFill>
              <w14:schemeClr w14:val="tx1"/>
            </w14:solidFill>
          </w14:textFill>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eastAsia="zh-CN"/>
        </w:rPr>
        <w:t>严格规范公正文明执法。</w:t>
      </w:r>
      <w:r>
        <w:rPr>
          <w:rFonts w:hint="eastAsia" w:ascii="仿宋_GB2312" w:hAnsi="仿宋_GB2312" w:eastAsia="仿宋_GB2312" w:cs="仿宋_GB2312"/>
          <w:kern w:val="0"/>
          <w:sz w:val="32"/>
          <w:szCs w:val="32"/>
          <w:lang w:val="en-US" w:eastAsia="zh-CN" w:bidi="ar"/>
        </w:rPr>
        <w:t>组织执法人员参加业务培训和资格考试，确保执法人员持证上岗率达100%，并且制定了行政执法公示、执法全过程记录、重大执法决定法制审核等制度，</w:t>
      </w:r>
      <w:r>
        <w:rPr>
          <w:rFonts w:hint="eastAsia" w:ascii="仿宋_GB2312" w:hAnsi="仿宋_GB2312" w:eastAsia="仿宋_GB2312" w:cs="仿宋_GB2312"/>
          <w:sz w:val="32"/>
          <w:szCs w:val="32"/>
          <w:lang w:eastAsia="zh-CN"/>
        </w:rPr>
        <w:t>认真贯彻“事前公示、事中记录、事后审查”三项制度，</w:t>
      </w:r>
      <w:r>
        <w:rPr>
          <w:rFonts w:hint="eastAsia" w:ascii="仿宋_GB2312" w:hAnsi="仿宋_GB2312" w:eastAsia="仿宋_GB2312" w:cs="仿宋_GB2312"/>
          <w:kern w:val="0"/>
          <w:sz w:val="32"/>
          <w:szCs w:val="32"/>
          <w:lang w:val="en-US" w:eastAsia="zh-CN" w:bidi="ar"/>
        </w:rPr>
        <w:t>严格落实“双随机一公开”监管要求，保障执法公正透明，提高执法质量和公信力。2024年度，镇综合执法队开展日常巡查120余次，纠正各类违法占道经营行为26起；开展环境检查专项行动5次，约见各类排污企业20户次，查处小“散乱污”煤泥晾晒场10个，复耕10个；发现土地违法案件3起，按照相关职责已上</w:t>
      </w:r>
      <w:r>
        <w:rPr>
          <w:rFonts w:hint="eastAsia" w:ascii="仿宋_GB2312" w:eastAsia="仿宋_GB2312"/>
          <w:color w:val="000000" w:themeColor="text1"/>
          <w:sz w:val="32"/>
          <w:szCs w:val="32"/>
          <w:lang w:val="en-US" w:eastAsia="zh-CN"/>
          <w14:textFill>
            <w14:solidFill>
              <w14:schemeClr w14:val="tx1"/>
            </w14:solidFill>
          </w14:textFill>
        </w:rPr>
        <w:t>报县级职能部门。</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2.严格落实重大行政决策程序。</w:t>
      </w:r>
      <w:r>
        <w:rPr>
          <w:rFonts w:hint="eastAsia" w:ascii="仿宋_GB2312" w:hAnsi="仿宋_GB2312" w:eastAsia="仿宋_GB2312" w:cs="仿宋_GB2312"/>
          <w:sz w:val="32"/>
          <w:szCs w:val="32"/>
          <w:lang w:eastAsia="zh-CN"/>
        </w:rPr>
        <w:t>严格执行“三重一大”制度，</w:t>
      </w:r>
      <w:r>
        <w:rPr>
          <w:rFonts w:hint="eastAsia" w:ascii="仿宋_GB2312" w:hAnsi="仿宋_GB2312" w:eastAsia="仿宋_GB2312" w:cs="仿宋_GB2312"/>
          <w:color w:val="auto"/>
          <w:sz w:val="32"/>
          <w:szCs w:val="32"/>
          <w:lang w:eastAsia="zh-CN"/>
        </w:rPr>
        <w:t>凡属</w:t>
      </w:r>
      <w:r>
        <w:rPr>
          <w:rFonts w:hint="eastAsia" w:ascii="仿宋_GB2312" w:hAnsi="仿宋_GB2312" w:eastAsia="仿宋_GB2312" w:cs="仿宋_GB2312"/>
          <w:color w:val="auto"/>
          <w:sz w:val="32"/>
          <w:szCs w:val="32"/>
          <w:lang w:val="en-US" w:eastAsia="zh-CN"/>
        </w:rPr>
        <w:t>梁洼镇</w:t>
      </w:r>
      <w:r>
        <w:rPr>
          <w:rFonts w:hint="eastAsia" w:ascii="仿宋_GB2312" w:hAnsi="仿宋_GB2312" w:eastAsia="仿宋_GB2312" w:cs="仿宋_GB2312"/>
          <w:color w:val="auto"/>
          <w:sz w:val="32"/>
          <w:szCs w:val="32"/>
          <w:lang w:eastAsia="zh-CN"/>
        </w:rPr>
        <w:t>职责范围内的“三重一大”事项必须坚持集体领导、民主集中、个别酝酿、会议决定的原则进行决策，确保科学决策、民主决策、依法决策</w:t>
      </w:r>
      <w:r>
        <w:rPr>
          <w:rFonts w:hint="eastAsia" w:ascii="仿宋_GB2312" w:hAnsi="仿宋_GB2312" w:eastAsia="仿宋_GB2312" w:cs="仿宋_GB2312"/>
          <w:sz w:val="32"/>
          <w:szCs w:val="32"/>
          <w:lang w:eastAsia="zh-CN"/>
        </w:rPr>
        <w:t>，接受群众对依法行政工作的监督。</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sz w:val="32"/>
          <w:szCs w:val="32"/>
          <w:lang w:val="en-US" w:eastAsia="zh-CN"/>
        </w:rPr>
        <w:t>3.坚持政务公开制度。</w:t>
      </w:r>
      <w:r>
        <w:rPr>
          <w:rFonts w:hint="eastAsia" w:ascii="仿宋_GB2312" w:hAnsi="仿宋_GB2312" w:eastAsia="仿宋_GB2312" w:cs="仿宋_GB2312"/>
          <w:color w:val="auto"/>
          <w:sz w:val="32"/>
          <w:szCs w:val="32"/>
          <w:lang w:val="en-US" w:eastAsia="zh-CN"/>
        </w:rPr>
        <w:t>认真贯彻实施《中华人民共和国政府信息公开条例》，</w:t>
      </w:r>
      <w:r>
        <w:rPr>
          <w:rFonts w:hint="eastAsia" w:ascii="仿宋_GB2312" w:hAnsi="仿宋_GB2312" w:eastAsia="仿宋_GB2312" w:cs="仿宋_GB2312"/>
          <w:color w:val="auto"/>
          <w:sz w:val="32"/>
          <w:szCs w:val="32"/>
          <w:lang w:eastAsia="zh-CN"/>
        </w:rPr>
        <w:t>按照“公开为常态、不公开为例外”的原则，通过政府公开平台、政务公开栏等渠道，及时、准确地公开</w:t>
      </w:r>
      <w:r>
        <w:rPr>
          <w:rFonts w:hint="eastAsia" w:ascii="仿宋_GB2312" w:hAnsi="仿宋_GB2312" w:eastAsia="仿宋_GB2312" w:cs="仿宋_GB2312"/>
          <w:color w:val="auto"/>
          <w:sz w:val="32"/>
          <w:szCs w:val="32"/>
          <w:lang w:val="en-US" w:eastAsia="zh-CN"/>
        </w:rPr>
        <w:t>政府财政预决算、公共资源配置、重大建设工程项目、惠民政策、社会公益事业等方面的信息</w:t>
      </w:r>
      <w:r>
        <w:rPr>
          <w:rFonts w:hint="eastAsia" w:ascii="仿宋_GB2312" w:hAnsi="仿宋_GB2312" w:eastAsia="仿宋_GB2312" w:cs="仿宋_GB2312"/>
          <w:color w:val="auto"/>
          <w:sz w:val="32"/>
          <w:szCs w:val="32"/>
          <w:lang w:eastAsia="zh-CN"/>
        </w:rPr>
        <w:t>，保障群众的知情权、参与权和监督权。</w:t>
      </w:r>
      <w:r>
        <w:rPr>
          <w:rFonts w:hint="eastAsia" w:ascii="仿宋_GB2312" w:hAnsi="仿宋_GB2312" w:eastAsia="仿宋_GB2312" w:cs="仿宋_GB2312"/>
          <w:color w:val="auto"/>
          <w:sz w:val="32"/>
          <w:szCs w:val="32"/>
          <w:lang w:val="en-US" w:eastAsia="zh-CN"/>
        </w:rPr>
        <w:t>2024</w:t>
      </w:r>
      <w:r>
        <w:rPr>
          <w:rFonts w:hint="eastAsia" w:ascii="仿宋_GB2312" w:hAnsi="仿宋_GB2312" w:eastAsia="仿宋_GB2312" w:cs="仿宋_GB2312"/>
          <w:color w:val="auto"/>
          <w:sz w:val="32"/>
          <w:szCs w:val="32"/>
          <w:lang w:eastAsia="zh-CN"/>
        </w:rPr>
        <w:t>年以来，共公开政务信息</w:t>
      </w:r>
      <w:r>
        <w:rPr>
          <w:rFonts w:hint="eastAsia" w:ascii="仿宋_GB2312" w:hAnsi="仿宋_GB2312" w:eastAsia="仿宋_GB2312" w:cs="仿宋_GB2312"/>
          <w:color w:val="auto"/>
          <w:sz w:val="32"/>
          <w:szCs w:val="32"/>
          <w:lang w:val="en-US" w:eastAsia="zh-CN"/>
        </w:rPr>
        <w:t>61</w:t>
      </w:r>
      <w:r>
        <w:rPr>
          <w:rFonts w:hint="eastAsia" w:ascii="仿宋_GB2312" w:hAnsi="仿宋_GB2312" w:eastAsia="仿宋_GB2312" w:cs="仿宋_GB2312"/>
          <w:color w:val="auto"/>
          <w:sz w:val="32"/>
          <w:szCs w:val="32"/>
          <w:lang w:eastAsia="zh-CN"/>
        </w:rPr>
        <w:t>条。</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（二）优化营商环境，深化“放管服”改革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lang w:eastAsia="zh-CN"/>
        </w:rPr>
      </w:pPr>
      <w:r>
        <w:rPr>
          <w:rFonts w:hint="eastAsia" w:ascii="仿宋_GB2312" w:hAnsi="仿宋_GB2312" w:eastAsia="仿宋_GB2312" w:cs="仿宋_GB2312"/>
          <w:color w:val="auto"/>
          <w:sz w:val="32"/>
          <w:szCs w:val="32"/>
          <w:lang w:val="en-US" w:eastAsia="zh-CN"/>
        </w:rPr>
        <w:t>积极配合上级改革部署，深入开展职权清理，编制职权运行工作流程图。根据法律、法规、规章规定的执法程序，按照公正、合法、高效、便民的原则，对每一项行政权力运行流程进行优化，逐一编制职权运行工作流程图，明确执法行为的工作步骤、顺序、时限、形式和标准，使行政执法的各个程序、各个环节互相有机衔接，防止脱节，保证执法活动公正、公开、高效、有序开展。加强政务服务一体化平台、智慧型政务服务建设，提升便民服务大厅标准化、规范化水平，打通政务服务“最后一公里”。贯彻落实《优化营商环境条例》，清理不符合《优化营商环境条例》的先行规定的规范性文件和其他政策性文件，全心全意服务镇域市场主体，积极践行“放管服”工作，提供良好的法律服务氛围和辖区营商环境。</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（三）深化普法教育，构建法治新格局</w:t>
      </w:r>
    </w:p>
    <w:p>
      <w:pPr>
        <w:pStyle w:val="3"/>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深入开展法治宣传教育。落实“谁执法谁普法”普法责任制，更新普法责任清单,确保各项普法任务有序推进，深入开展《中华人民共和国民法典》《中华人民共和国预防未成年人犯罪法》《中华人民共和国土地管理法》等学习宣传。</w:t>
      </w:r>
      <w:r>
        <w:rPr>
          <w:rFonts w:hint="eastAsia" w:ascii="仿宋_GB2312" w:hAnsi="仿宋_GB2312" w:eastAsia="仿宋_GB2312" w:cs="仿宋_GB2312"/>
          <w:kern w:val="2"/>
          <w:sz w:val="32"/>
          <w:szCs w:val="32"/>
          <w:lang w:val="en-US" w:eastAsia="zh-CN" w:bidi="ar-SA"/>
        </w:rPr>
        <w:t>梁洼镇一是以“3.8国际妇女节”、“6.26国际禁毒日”、“12.4国家宪法日”等重要节点为契机，组织开展主题法治宣传活动，继续推动宪法精神进农村、进机关、进校园、进社区，突出青少年重点对象，组织开展了法律进校园活动。分别在梁洼镇一中、二中开展法治安全教育，更加充实“小手牵大手”送法进万家的模式。让法律知识“走进校园”“走进课堂”“走进教室”活动收益1100余人，得到进一步深化。二是坚持把普法宣传作为法治梁洼建设的基础来抓，通过举办法治讲座、送法进校园活动为载体，以发放宣传单、解答群众咨询等多种形式，大力进行普法宣传，2024年度共</w:t>
      </w:r>
      <w:r>
        <w:rPr>
          <w:rFonts w:hint="eastAsia" w:ascii="仿宋_GB2312" w:hAnsi="仿宋_GB2312" w:eastAsia="仿宋_GB2312" w:cs="仿宋_GB2312"/>
          <w:sz w:val="32"/>
          <w:szCs w:val="32"/>
          <w:lang w:val="en-US" w:eastAsia="zh-CN"/>
        </w:rPr>
        <w:t>开展大型法律宣传活动6场，接待法律咨询350余人次，派发宣传资料3300多份（册）。通过法制学习宣传教育，形成全镇群众尊法学法守法用法的良好局面。</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（四）狠抓服务实效，提升法治化水平</w:t>
      </w:r>
    </w:p>
    <w:p>
      <w:pPr>
        <w:pStyle w:val="3"/>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指定河南厚源法律服务所为专门机构作为法律顾问机构，聘请冯一烜律师为梁洼镇政府法律顾问，</w:t>
      </w:r>
      <w:r>
        <w:rPr>
          <w:rFonts w:hint="eastAsia" w:ascii="仿宋_GB2312" w:hAnsi="仿宋_GB2312" w:eastAsia="仿宋_GB2312" w:cs="仿宋_GB2312"/>
          <w:i w:val="0"/>
          <w:iCs w:val="0"/>
          <w:caps w:val="0"/>
          <w:color w:val="auto"/>
          <w:spacing w:val="0"/>
          <w:sz w:val="32"/>
          <w:szCs w:val="32"/>
          <w:shd w:val="clear" w:color="auto" w:fill="FFFFFF"/>
        </w:rPr>
        <w:t>保证在制定重大行政决策、推进依法行政中发挥</w:t>
      </w:r>
      <w:r>
        <w:rPr>
          <w:rFonts w:hint="eastAsia" w:ascii="仿宋_GB2312" w:hAnsi="仿宋_GB2312" w:eastAsia="仿宋_GB2312" w:cs="仿宋_GB2312"/>
          <w:kern w:val="2"/>
          <w:sz w:val="32"/>
          <w:szCs w:val="32"/>
          <w:lang w:val="en-US" w:eastAsia="zh-CN" w:bidi="ar-SA"/>
        </w:rPr>
        <w:t>法律顾问的</w:t>
      </w:r>
      <w:r>
        <w:rPr>
          <w:rFonts w:hint="eastAsia" w:ascii="仿宋_GB2312" w:hAnsi="仿宋_GB2312" w:eastAsia="仿宋_GB2312" w:cs="仿宋_GB2312"/>
          <w:i w:val="0"/>
          <w:iCs w:val="0"/>
          <w:caps w:val="0"/>
          <w:color w:val="auto"/>
          <w:spacing w:val="0"/>
          <w:sz w:val="32"/>
          <w:szCs w:val="32"/>
          <w:shd w:val="clear" w:color="auto" w:fill="FFFFFF"/>
        </w:rPr>
        <w:t>作用,让法律顾问在处理综治信访工作和推进法治政府建设工作中发挥积极作用。</w:t>
      </w:r>
      <w:r>
        <w:rPr>
          <w:rFonts w:hint="eastAsia" w:ascii="仿宋_GB2312" w:hAnsi="仿宋_GB2312" w:eastAsia="仿宋_GB2312" w:cs="仿宋_GB2312"/>
          <w:i w:val="0"/>
          <w:iCs w:val="0"/>
          <w:caps w:val="0"/>
          <w:color w:val="auto"/>
          <w:spacing w:val="0"/>
          <w:sz w:val="32"/>
          <w:szCs w:val="32"/>
          <w:shd w:val="clear" w:color="auto" w:fill="FFFFFF"/>
          <w:lang w:eastAsia="zh-CN"/>
        </w:rPr>
        <w:t>梁洼</w:t>
      </w:r>
      <w:r>
        <w:rPr>
          <w:rFonts w:hint="eastAsia" w:ascii="仿宋_GB2312" w:hAnsi="仿宋_GB2312" w:eastAsia="仿宋_GB2312" w:cs="仿宋_GB2312"/>
          <w:kern w:val="2"/>
          <w:sz w:val="32"/>
          <w:szCs w:val="32"/>
          <w:lang w:val="en-US" w:eastAsia="zh-CN" w:bidi="ar-SA"/>
        </w:rPr>
        <w:t>司法所以免费法律顾问活动为切入点，指定龙云律师事务所三名律师为我镇各村的法律顾问，前移法律援助工作，引导基层群众增强尊法学法守法用法意识，提高基层依法治理水平，助力乡村振兴战略，践行新时代文明实践。</w:t>
      </w: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，统一</w:t>
      </w:r>
      <w:r>
        <w:rPr>
          <w:rFonts w:hint="default" w:ascii="仿宋_GB2312" w:hAnsi="仿宋_GB2312" w:eastAsia="仿宋_GB2312" w:cs="仿宋_GB2312"/>
          <w:sz w:val="32"/>
          <w:szCs w:val="32"/>
          <w:lang w:val="en-US" w:eastAsia="zh-CN"/>
        </w:rPr>
        <w:t>组织</w:t>
      </w:r>
      <w:r>
        <w:rPr>
          <w:rFonts w:hint="eastAsia" w:ascii="仿宋_GB2312" w:hAnsi="仿宋_GB2312" w:eastAsia="仿宋_GB2312" w:cs="仿宋_GB2312"/>
          <w:sz w:val="32"/>
          <w:szCs w:val="32"/>
          <w:lang w:val="en-US" w:eastAsia="zh-CN"/>
        </w:rPr>
        <w:t>各村</w:t>
      </w:r>
      <w:r>
        <w:rPr>
          <w:rFonts w:hint="default" w:ascii="仿宋_GB2312" w:hAnsi="仿宋_GB2312" w:eastAsia="仿宋_GB2312" w:cs="仿宋_GB2312"/>
          <w:sz w:val="32"/>
          <w:szCs w:val="32"/>
          <w:lang w:val="en-US" w:eastAsia="zh-CN"/>
        </w:rPr>
        <w:t>法律顾问</w:t>
      </w:r>
      <w:r>
        <w:rPr>
          <w:rFonts w:hint="eastAsia" w:ascii="仿宋_GB2312" w:hAnsi="仿宋_GB2312" w:eastAsia="仿宋_GB2312" w:cs="仿宋_GB2312"/>
          <w:sz w:val="32"/>
          <w:szCs w:val="32"/>
          <w:lang w:val="en-US" w:eastAsia="zh-CN"/>
        </w:rPr>
        <w:t>入村</w:t>
      </w:r>
      <w:r>
        <w:rPr>
          <w:rFonts w:hint="default" w:ascii="仿宋_GB2312" w:hAnsi="仿宋_GB2312" w:eastAsia="仿宋_GB2312" w:cs="仿宋_GB2312"/>
          <w:sz w:val="32"/>
          <w:szCs w:val="32"/>
          <w:lang w:val="en-US" w:eastAsia="zh-CN"/>
        </w:rPr>
        <w:t>解答法律咨询活动</w:t>
      </w:r>
      <w:r>
        <w:rPr>
          <w:rFonts w:hint="eastAsia" w:ascii="仿宋_GB2312" w:hAnsi="仿宋_GB2312" w:eastAsia="仿宋_GB2312" w:cs="仿宋_GB2312"/>
          <w:sz w:val="32"/>
          <w:szCs w:val="32"/>
          <w:lang w:val="en-US" w:eastAsia="zh-CN"/>
        </w:rPr>
        <w:t>12</w:t>
      </w:r>
      <w:r>
        <w:rPr>
          <w:rFonts w:hint="default" w:ascii="仿宋_GB2312" w:hAnsi="仿宋_GB2312" w:eastAsia="仿宋_GB2312" w:cs="仿宋_GB2312"/>
          <w:sz w:val="32"/>
          <w:szCs w:val="32"/>
          <w:lang w:val="en-US" w:eastAsia="zh-CN"/>
        </w:rPr>
        <w:t>次，共计服务对象</w:t>
      </w:r>
      <w:r>
        <w:rPr>
          <w:rFonts w:hint="eastAsia" w:ascii="仿宋_GB2312" w:hAnsi="仿宋_GB2312" w:eastAsia="仿宋_GB2312" w:cs="仿宋_GB2312"/>
          <w:sz w:val="32"/>
          <w:szCs w:val="32"/>
          <w:lang w:val="en-US" w:eastAsia="zh-CN"/>
        </w:rPr>
        <w:t>930余</w:t>
      </w:r>
      <w:r>
        <w:rPr>
          <w:rFonts w:hint="default" w:ascii="仿宋_GB2312" w:hAnsi="仿宋_GB2312" w:eastAsia="仿宋_GB2312" w:cs="仿宋_GB2312"/>
          <w:sz w:val="32"/>
          <w:szCs w:val="32"/>
          <w:lang w:val="en-US" w:eastAsia="zh-CN"/>
        </w:rPr>
        <w:t>人次</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kern w:val="2"/>
          <w:sz w:val="32"/>
          <w:szCs w:val="32"/>
          <w:lang w:val="en-US" w:eastAsia="zh-CN" w:bidi="ar-SA"/>
        </w:rPr>
        <w:t>内容涉及土地、房屋、婚姻、债务、劳动报酬、合同纠纷等。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 w:hAnsi="楷体" w:eastAsia="楷体" w:cs="楷体"/>
          <w:sz w:val="32"/>
          <w:szCs w:val="32"/>
          <w:lang w:eastAsia="zh-CN"/>
        </w:rPr>
        <w:t>（五）</w:t>
      </w:r>
      <w:r>
        <w:rPr>
          <w:rFonts w:hint="eastAsia" w:ascii="楷体_GB2312" w:hAnsi="楷体_GB2312" w:eastAsia="楷体_GB2312" w:cs="楷体_GB2312"/>
          <w:sz w:val="32"/>
          <w:szCs w:val="32"/>
        </w:rPr>
        <w:t>积极化解矛盾</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提升</w:t>
      </w:r>
      <w:r>
        <w:rPr>
          <w:rFonts w:hint="eastAsia" w:ascii="楷体_GB2312" w:hAnsi="楷体_GB2312" w:eastAsia="楷体_GB2312" w:cs="楷体_GB2312"/>
          <w:sz w:val="32"/>
          <w:szCs w:val="32"/>
          <w:lang w:val="en-US" w:eastAsia="zh-CN"/>
        </w:rPr>
        <w:t>社会</w:t>
      </w:r>
      <w:r>
        <w:rPr>
          <w:rFonts w:hint="eastAsia" w:ascii="楷体_GB2312" w:hAnsi="楷体_GB2312" w:eastAsia="楷体_GB2312" w:cs="楷体_GB2312"/>
          <w:sz w:val="32"/>
          <w:szCs w:val="32"/>
        </w:rPr>
        <w:t>满意度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lang w:eastAsia="zh-CN"/>
        </w:rPr>
      </w:pPr>
      <w:r>
        <w:rPr>
          <w:rFonts w:hint="eastAsia" w:ascii="仿宋_GB2312" w:hAnsi="仿宋_GB2312" w:eastAsia="仿宋_GB2312" w:cs="仿宋_GB2312"/>
          <w:sz w:val="32"/>
          <w:szCs w:val="32"/>
        </w:rPr>
        <w:t>一是健全依法化解纠纷机制，完善行政调解制度，规范行政调解程序。进一步健全了政府负总责、各村、属各部门为主体的行政调解工作机制。二是积极探索以行政调解为核心的专业化纠纷调解机制，着力推进土地管理、社会保障等领域老难信访纠纷的调解工作，排查矛盾纠纷均成功化解。三是健全行政调解与人民调解、司法调解相衔接的大调解联动机制，实现各类调解主体的有效互动。四是全面落实“平安创建”“社会满意度”提升工作，通过持续努力，为我</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构建了和谐稳定的生产生活环境。</w:t>
      </w:r>
      <w:r>
        <w:rPr>
          <w:rFonts w:hint="eastAsia" w:ascii="仿宋_GB2312" w:hAnsi="Times New Roman" w:eastAsia="仿宋_GB2312" w:cs="Times New Roman"/>
          <w:sz w:val="32"/>
          <w:szCs w:val="32"/>
          <w:lang w:val="en-US" w:eastAsia="zh-CN"/>
        </w:rPr>
        <w:t>五是</w:t>
      </w:r>
      <w:r>
        <w:rPr>
          <w:rFonts w:hint="eastAsia" w:ascii="仿宋_GB2312" w:hAnsi="Times New Roman" w:eastAsia="仿宋_GB2312" w:cs="Times New Roman"/>
          <w:sz w:val="32"/>
          <w:szCs w:val="32"/>
          <w:lang w:eastAsia="zh-CN"/>
        </w:rPr>
        <w:t>成立</w:t>
      </w:r>
      <w:r>
        <w:rPr>
          <w:rFonts w:hint="eastAsia" w:ascii="仿宋_GB2312" w:hAnsi="Times New Roman" w:eastAsia="仿宋_GB2312" w:cs="Times New Roman"/>
          <w:sz w:val="32"/>
          <w:szCs w:val="32"/>
        </w:rPr>
        <w:t>矛盾</w:t>
      </w:r>
      <w:r>
        <w:rPr>
          <w:rFonts w:hint="eastAsia" w:ascii="仿宋_GB2312" w:hAnsi="Times New Roman" w:eastAsia="仿宋_GB2312" w:cs="Times New Roman"/>
          <w:sz w:val="32"/>
          <w:szCs w:val="32"/>
          <w:lang w:eastAsia="zh-CN"/>
        </w:rPr>
        <w:t>纠纷排查</w:t>
      </w:r>
      <w:r>
        <w:rPr>
          <w:rFonts w:hint="eastAsia" w:ascii="仿宋_GB2312" w:hAnsi="Times New Roman" w:eastAsia="仿宋_GB2312" w:cs="Times New Roman"/>
          <w:sz w:val="32"/>
          <w:szCs w:val="32"/>
        </w:rPr>
        <w:t>调解中心，群众来访接待室，</w:t>
      </w:r>
      <w:r>
        <w:rPr>
          <w:rFonts w:hint="eastAsia" w:ascii="仿宋_GB2312" w:hAnsi="Times New Roman" w:eastAsia="仿宋_GB2312" w:cs="Times New Roman"/>
          <w:sz w:val="32"/>
          <w:szCs w:val="32"/>
          <w:lang w:eastAsia="zh-CN"/>
        </w:rPr>
        <w:t>并</w:t>
      </w:r>
      <w:r>
        <w:rPr>
          <w:rFonts w:hint="eastAsia" w:ascii="仿宋_GB2312" w:hAnsi="Times New Roman" w:eastAsia="仿宋_GB2312" w:cs="Times New Roman"/>
          <w:sz w:val="32"/>
          <w:szCs w:val="32"/>
        </w:rPr>
        <w:t>建立矛盾化解台账，</w:t>
      </w:r>
      <w:r>
        <w:rPr>
          <w:rFonts w:hint="eastAsia" w:ascii="仿宋_GB2312" w:hAnsi="Times New Roman" w:eastAsia="仿宋_GB2312" w:cs="Times New Roman"/>
          <w:sz w:val="32"/>
          <w:szCs w:val="32"/>
          <w:lang w:val="en-US" w:eastAsia="zh-CN"/>
        </w:rPr>
        <w:t>落实“当日工作法”和“七晚工作法”，做到矛盾化解在基层。2024年以来化解矛盾</w:t>
      </w:r>
      <w:r>
        <w:rPr>
          <w:rFonts w:hint="eastAsia" w:ascii="仿宋_GB2312" w:hAnsi="Times New Roman" w:eastAsia="仿宋_GB2312" w:cs="Times New Roman"/>
          <w:color w:val="auto"/>
          <w:sz w:val="32"/>
          <w:szCs w:val="32"/>
          <w:lang w:val="en-US" w:eastAsia="zh-CN"/>
        </w:rPr>
        <w:t>111</w:t>
      </w:r>
      <w:r>
        <w:rPr>
          <w:rFonts w:hint="eastAsia" w:ascii="仿宋_GB2312" w:hAnsi="Times New Roman" w:eastAsia="仿宋_GB2312" w:cs="Times New Roman"/>
          <w:sz w:val="32"/>
          <w:szCs w:val="32"/>
          <w:lang w:val="en-US" w:eastAsia="zh-CN"/>
        </w:rPr>
        <w:t>起，有效化解基层矛盾，防止了小事变大事、民事变刑事案件的发生。</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zh-CN" w:eastAsia="zh-CN"/>
        </w:rPr>
        <w:t>三、</w:t>
      </w:r>
      <w:r>
        <w:rPr>
          <w:rFonts w:hint="eastAsia" w:ascii="黑体" w:hAnsi="黑体" w:eastAsia="黑体" w:cs="黑体"/>
          <w:b w:val="0"/>
          <w:bCs w:val="0"/>
          <w:sz w:val="32"/>
          <w:szCs w:val="32"/>
          <w:lang w:val="en-US" w:eastAsia="zh-CN"/>
        </w:rPr>
        <w:t>2024年度推进法治政府建设</w:t>
      </w:r>
      <w:r>
        <w:rPr>
          <w:rFonts w:hint="eastAsia" w:ascii="黑体" w:hAnsi="黑体" w:eastAsia="黑体" w:cs="黑体"/>
          <w:b w:val="0"/>
          <w:bCs w:val="0"/>
          <w:sz w:val="32"/>
          <w:szCs w:val="32"/>
          <w:lang w:val="zh-CN" w:eastAsia="zh-CN"/>
        </w:rPr>
        <w:t>存在的不足、原因</w:t>
      </w:r>
      <w:r>
        <w:rPr>
          <w:rFonts w:hint="eastAsia" w:ascii="黑体" w:hAnsi="黑体" w:eastAsia="黑体" w:cs="黑体"/>
          <w:b w:val="0"/>
          <w:bCs w:val="0"/>
          <w:sz w:val="32"/>
          <w:szCs w:val="32"/>
          <w:lang w:val="en-US" w:eastAsia="zh-CN"/>
        </w:rPr>
        <w:t>和问题整改情况</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（一）</w:t>
      </w:r>
      <w:r>
        <w:rPr>
          <w:rFonts w:hint="eastAsia" w:ascii="楷体" w:hAnsi="楷体" w:eastAsia="楷体" w:cs="楷体"/>
          <w:b w:val="0"/>
          <w:bCs w:val="0"/>
          <w:sz w:val="32"/>
          <w:szCs w:val="32"/>
          <w:lang w:val="en-US" w:eastAsia="zh-CN"/>
        </w:rPr>
        <w:t>2024年度推进法治政府建设</w:t>
      </w:r>
      <w:r>
        <w:rPr>
          <w:rFonts w:hint="eastAsia" w:ascii="楷体" w:hAnsi="楷体" w:eastAsia="楷体" w:cs="楷体"/>
          <w:b w:val="0"/>
          <w:bCs w:val="0"/>
          <w:sz w:val="32"/>
          <w:szCs w:val="32"/>
          <w:lang w:val="zh-CN" w:eastAsia="zh-CN"/>
        </w:rPr>
        <w:t>存在的不足及原因</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干部法治观念还不够强</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部分干部对法治建设的认识不够深入，仅仅停留在行政执法、法治宣传等方面，对法治建设的认识片面化；部分群众仍然存在法治观念淡薄、有法不依的现象，不善于运用法律途径来解决问题，上访、闹访、缠访等问题仍有发生。</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法治宣传教育实效性低</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法治宣传教育工作主要依托讲座、标语等形式开展进行，影响力仍不足，没有在群众中形成自觉学法、守法、用法的风气。同时宣传形式单一，主要以法律条文的宣讲、制作法</w:t>
      </w:r>
      <w:r>
        <w:rPr>
          <w:rFonts w:hint="eastAsia" w:ascii="仿宋_GB2312" w:hAnsi="仿宋_GB2312" w:eastAsia="仿宋_GB2312" w:cs="仿宋_GB2312"/>
          <w:sz w:val="32"/>
          <w:szCs w:val="32"/>
          <w:lang w:val="en-US" w:eastAsia="zh-CN"/>
        </w:rPr>
        <w:t>治</w:t>
      </w:r>
      <w:r>
        <w:rPr>
          <w:rFonts w:hint="eastAsia" w:ascii="仿宋_GB2312" w:hAnsi="仿宋_GB2312" w:eastAsia="仿宋_GB2312" w:cs="仿宋_GB2312"/>
          <w:sz w:val="32"/>
          <w:szCs w:val="32"/>
        </w:rPr>
        <w:t>宣传栏、发放普法资料为主，群众参与度较低，没有形成双向的互动关系，渗透不足，造成效果不佳，利用微信、抖音等新媒体开展普法运用不够，法治宣传方式的创新有待加强。</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基层法治人才队伍力量薄弱</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随着行政执法体制改革和执法重心向乡镇下移，现有基层的行政执法人员的数量和素质尚不能完全适应新形势的需要。工作人员积极性和能力不足，村级人民调解委员会缺乏专业法律人员配比，多为村民委员会工作人员及农村志愿者担任，缺乏系统专业的法律知识学习，导致提供的法律服务良莠不齐，质量很难保障。</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w:t>
      </w:r>
      <w:r>
        <w:rPr>
          <w:rFonts w:hint="eastAsia" w:ascii="楷体" w:hAnsi="楷体" w:eastAsia="楷体" w:cs="楷体"/>
          <w:sz w:val="32"/>
          <w:szCs w:val="32"/>
          <w:lang w:eastAsia="zh-CN"/>
        </w:rPr>
        <w:t>二</w:t>
      </w:r>
      <w:r>
        <w:rPr>
          <w:rFonts w:hint="eastAsia" w:ascii="楷体" w:hAnsi="楷体" w:eastAsia="楷体" w:cs="楷体"/>
          <w:sz w:val="32"/>
          <w:szCs w:val="32"/>
        </w:rPr>
        <w:t>）</w:t>
      </w:r>
      <w:r>
        <w:rPr>
          <w:rFonts w:hint="eastAsia" w:ascii="楷体" w:hAnsi="楷体" w:eastAsia="楷体" w:cs="楷体"/>
          <w:sz w:val="32"/>
          <w:szCs w:val="32"/>
          <w:lang w:val="en-US" w:eastAsia="zh-CN"/>
        </w:rPr>
        <w:t>问题整改情况</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w:t>
      </w:r>
      <w:r>
        <w:rPr>
          <w:rFonts w:hint="default" w:ascii="仿宋_GB2312" w:hAnsi="仿宋_GB2312" w:eastAsia="仿宋_GB2312" w:cs="仿宋_GB2312"/>
          <w:b/>
          <w:bCs/>
          <w:sz w:val="32"/>
          <w:szCs w:val="32"/>
          <w:lang w:val="en-US" w:eastAsia="zh-CN"/>
        </w:rPr>
        <w:t>加强行政执法人员统一管理和培训。</w:t>
      </w:r>
      <w:r>
        <w:rPr>
          <w:rFonts w:hint="default" w:ascii="仿宋_GB2312" w:hAnsi="仿宋_GB2312" w:eastAsia="仿宋_GB2312" w:cs="仿宋_GB2312"/>
          <w:sz w:val="32"/>
          <w:szCs w:val="32"/>
          <w:lang w:val="en-US" w:eastAsia="zh-CN"/>
        </w:rPr>
        <w:t>建立健全行政执法人员管理制度，定期组织行政执法人员参加法律知识培训和业务技能培训，提高行政执法人员的整体素质。同时，建立健全行政执法责任制，加强对执法行为的监督检查，对违法执法行为严肃追究责任。</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w:t>
      </w:r>
      <w:r>
        <w:rPr>
          <w:rFonts w:hint="default" w:ascii="仿宋_GB2312" w:hAnsi="仿宋_GB2312" w:eastAsia="仿宋_GB2312" w:cs="仿宋_GB2312"/>
          <w:b/>
          <w:bCs/>
          <w:sz w:val="32"/>
          <w:szCs w:val="32"/>
          <w:lang w:val="en-US" w:eastAsia="zh-CN"/>
        </w:rPr>
        <w:t>创新法治宣传教育形式。</w:t>
      </w:r>
      <w:r>
        <w:rPr>
          <w:rFonts w:hint="default" w:ascii="仿宋_GB2312" w:hAnsi="仿宋_GB2312" w:eastAsia="仿宋_GB2312" w:cs="仿宋_GB2312"/>
          <w:sz w:val="32"/>
          <w:szCs w:val="32"/>
          <w:lang w:val="en-US" w:eastAsia="zh-CN"/>
        </w:rPr>
        <w:t>结合本地实际，采用群众喜闻乐见的形式，如文艺演出、法律知识竞赛等，提高法治宣传教育的吸引力和实效性。</w:t>
      </w:r>
    </w:p>
    <w:p>
      <w:pPr>
        <w:keepNext w:val="0"/>
        <w:keepLines w:val="0"/>
        <w:pageBreakBefore w:val="0"/>
        <w:widowControl w:val="0"/>
        <w:kinsoku/>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w:t>
      </w:r>
      <w:r>
        <w:rPr>
          <w:rFonts w:hint="default" w:ascii="仿宋_GB2312" w:hAnsi="仿宋_GB2312" w:eastAsia="仿宋_GB2312" w:cs="仿宋_GB2312"/>
          <w:b/>
          <w:bCs/>
          <w:sz w:val="32"/>
          <w:szCs w:val="32"/>
          <w:lang w:val="en-US" w:eastAsia="zh-CN"/>
        </w:rPr>
        <w:t>加强部门之间的协调配合。</w:t>
      </w:r>
      <w:r>
        <w:rPr>
          <w:rFonts w:hint="default" w:ascii="仿宋_GB2312" w:hAnsi="仿宋_GB2312" w:eastAsia="仿宋_GB2312" w:cs="仿宋_GB2312"/>
          <w:sz w:val="32"/>
          <w:szCs w:val="32"/>
          <w:lang w:val="en-US" w:eastAsia="zh-CN"/>
        </w:rPr>
        <w:t>建立健全部门之间的协调配合机制，明确各部门的职责分工，加强沟通协调，形成工作合力。对于涉及多个部门的执法工作，可成立联合执法小组，共同开展执法行动。</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zh-CN" w:eastAsia="zh-CN"/>
        </w:rPr>
        <w:t>四、</w:t>
      </w:r>
      <w:r>
        <w:rPr>
          <w:rFonts w:hint="eastAsia" w:ascii="黑体" w:hAnsi="黑体" w:eastAsia="黑体" w:cs="黑体"/>
          <w:b w:val="0"/>
          <w:bCs w:val="0"/>
          <w:sz w:val="32"/>
          <w:szCs w:val="32"/>
          <w:lang w:val="en-US" w:eastAsia="zh-CN"/>
        </w:rPr>
        <w:t>下一年度推进</w:t>
      </w:r>
      <w:r>
        <w:rPr>
          <w:rFonts w:hint="eastAsia" w:ascii="黑体" w:hAnsi="黑体" w:eastAsia="黑体" w:cs="黑体"/>
          <w:b w:val="0"/>
          <w:bCs w:val="0"/>
          <w:sz w:val="32"/>
          <w:szCs w:val="32"/>
          <w:lang w:val="zh-CN" w:eastAsia="zh-CN"/>
        </w:rPr>
        <w:t>法治政府建设</w:t>
      </w:r>
      <w:r>
        <w:rPr>
          <w:rFonts w:hint="eastAsia" w:ascii="黑体" w:hAnsi="黑体" w:eastAsia="黑体" w:cs="黑体"/>
          <w:b w:val="0"/>
          <w:bCs w:val="0"/>
          <w:sz w:val="32"/>
          <w:szCs w:val="32"/>
          <w:lang w:val="en-US" w:eastAsia="zh-CN"/>
        </w:rPr>
        <w:t>的初步安排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2025年，</w:t>
      </w: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将围绕以下几点开展法制政府建设工作。</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1.政府机关各办公室要继续以法治政府建设工作目标和要求为导向，形成工作合力，切实落实工作措施，共同提高法治政府建设的全面性、科学性和实效性。</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2.政府依法治理工作领导小组将组织对执行情况进行检查、督查和指导，狠抓落实，开展经常性检查和评价，寻找存在的新问题、新情况，提出解决的新思路、新举措。</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3.进一步健全法治建设工作领导协调机制。镇党政主要领导定期牵头研究部署法治建设工作，将法治建设责任传导至班子成员、各办公室及各村，定期听取法治建设有关工作汇报，及时研究解决有关重大问题。</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持续深化“放管服”工作，提高普法力度，提升全镇干部群众的法律素养，树立社会主义法治理念，提高依法管理的能力，规范决策、管理和服务行为，为全镇百姓生产生活提供了稳定环境，继续加强优化营商环境工作，服务市场主体，为我镇经济发展、乡村振兴提供强大支撑。</w:t>
      </w:r>
    </w:p>
    <w:p>
      <w:pPr>
        <w:keepNext w:val="0"/>
        <w:keepLines w:val="0"/>
        <w:pageBreakBefore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wordWrap w:val="0"/>
        <w:topLinePunct w:val="0"/>
        <w:bidi w:val="0"/>
        <w:adjustRightInd/>
        <w:snapToGrid/>
        <w:spacing w:line="580" w:lineRule="exact"/>
        <w:jc w:val="right"/>
        <w:textAlignment w:val="auto"/>
        <w:rPr>
          <w:rFonts w:hint="default" w:ascii="仿宋_GB2312" w:hAnsi="仿宋_GB2312" w:eastAsia="仿宋_GB2312" w:cs="仿宋_GB2312"/>
          <w:sz w:val="32"/>
          <w:szCs w:val="32"/>
          <w:lang w:val="en-US" w:eastAsia="zh-CN"/>
        </w:rPr>
      </w:pPr>
    </w:p>
    <w:p>
      <w:pPr>
        <w:keepNext w:val="0"/>
        <w:keepLines w:val="0"/>
        <w:pageBreakBefore w:val="0"/>
        <w:wordWrap w:val="0"/>
        <w:topLinePunct w:val="0"/>
        <w:bidi w:val="0"/>
        <w:adjustRightInd/>
        <w:snapToGrid/>
        <w:spacing w:line="58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2025年1月        </w:t>
      </w:r>
    </w:p>
    <w:p>
      <w:pPr>
        <w:keepNext w:val="0"/>
        <w:keepLines w:val="0"/>
        <w:pageBreakBefore w:val="0"/>
        <w:widowControl w:val="0"/>
        <w:kinsoku/>
        <w:wordWrap w:val="0"/>
        <w:overflowPunct/>
        <w:topLinePunct w:val="0"/>
        <w:autoSpaceDE/>
        <w:autoSpaceDN/>
        <w:bidi w:val="0"/>
        <w:adjustRightInd/>
        <w:snapToGrid/>
        <w:spacing w:line="380" w:lineRule="exact"/>
        <w:jc w:val="both"/>
        <w:textAlignment w:val="auto"/>
        <w:rPr>
          <w:rFonts w:hint="default" w:ascii="仿宋_GB2312" w:hAnsi="仿宋_GB2312" w:eastAsia="仿宋_GB2312" w:cs="仿宋_GB2312"/>
          <w:sz w:val="32"/>
          <w:szCs w:val="32"/>
          <w:lang w:val="en-US" w:eastAsia="zh-CN"/>
        </w:rPr>
      </w:pPr>
    </w:p>
    <w:p/>
    <w:sectPr>
      <w:footerReference r:id="rId3" w:type="default"/>
      <w:pgSz w:w="11906" w:h="16838"/>
      <w:pgMar w:top="1440" w:right="1587" w:bottom="1440"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46244247-83b7-4697-916b-8ead4373d48d"/>
  </w:docVars>
  <w:rsids>
    <w:rsidRoot w:val="00000000"/>
    <w:rsid w:val="01861EAC"/>
    <w:rsid w:val="04937E54"/>
    <w:rsid w:val="071B4DCB"/>
    <w:rsid w:val="0A674C70"/>
    <w:rsid w:val="0BB72DED"/>
    <w:rsid w:val="11F071C0"/>
    <w:rsid w:val="14155FE8"/>
    <w:rsid w:val="14967A56"/>
    <w:rsid w:val="2B034AAE"/>
    <w:rsid w:val="2C343D4D"/>
    <w:rsid w:val="33AF75AE"/>
    <w:rsid w:val="3DE43D88"/>
    <w:rsid w:val="469900EA"/>
    <w:rsid w:val="504D4A4E"/>
    <w:rsid w:val="53836D58"/>
    <w:rsid w:val="5AEA077F"/>
    <w:rsid w:val="65803E7C"/>
    <w:rsid w:val="66855FCD"/>
    <w:rsid w:val="670875FF"/>
    <w:rsid w:val="675934AD"/>
    <w:rsid w:val="71FA27C0"/>
    <w:rsid w:val="74A9130A"/>
    <w:rsid w:val="7A4E1131"/>
    <w:rsid w:val="7C1D27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420"/>
    </w:pPr>
    <w:rPr>
      <w:rFonts w:ascii="等线" w:hAnsi="等线" w:eastAsia="等线"/>
      <w:b/>
      <w:sz w:val="30"/>
      <w:szCs w:val="30"/>
    </w:rPr>
  </w:style>
  <w:style w:type="paragraph" w:styleId="3">
    <w:name w:val="Body Text"/>
    <w:basedOn w:val="1"/>
    <w:next w:val="4"/>
    <w:qFormat/>
    <w:uiPriority w:val="99"/>
    <w:pPr>
      <w:spacing w:after="120"/>
    </w:pPr>
  </w:style>
  <w:style w:type="paragraph" w:customStyle="1" w:styleId="4">
    <w:name w:val="正文文本 21"/>
    <w:basedOn w:val="1"/>
    <w:qFormat/>
    <w:uiPriority w:val="0"/>
    <w:pPr>
      <w:spacing w:after="120" w:line="480" w:lineRule="auto"/>
    </w:p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Body Text First Indent_ad369ec0-1c06-48b8-8323-a59611359a22"/>
    <w:basedOn w:val="3"/>
    <w:qFormat/>
    <w:uiPriority w:val="0"/>
    <w:pPr>
      <w:ind w:firstLine="420" w:firstLineChars="1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3687</Words>
  <Characters>3778</Characters>
  <Lines>0</Lines>
  <Paragraphs>0</Paragraphs>
  <TotalTime>2</TotalTime>
  <ScaleCrop>false</ScaleCrop>
  <LinksUpToDate>false</LinksUpToDate>
  <CharactersWithSpaces>3793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2024-12-30T06:43:00Z</dcterms:created>
  <dc:creator>Administrator</dc:creator>
  <cp:lastModifiedBy>86177</cp:lastModifiedBy>
  <dcterms:modified xsi:type="dcterms:W3CDTF">2025-03-13T07:38:20Z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C0F57545B5DE4EEC9111E4CB483E443A_13</vt:lpwstr>
  </property>
</Properties>
</file>