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FA7AB">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鲁山县</w:t>
      </w:r>
      <w:r>
        <w:rPr>
          <w:rFonts w:hint="eastAsia" w:ascii="方正小标宋_GBK" w:hAnsi="方正小标宋_GBK" w:eastAsia="方正小标宋_GBK" w:cs="方正小标宋_GBK"/>
          <w:sz w:val="44"/>
          <w:szCs w:val="44"/>
        </w:rPr>
        <w:t>梁洼镇</w:t>
      </w:r>
      <w:r>
        <w:rPr>
          <w:rFonts w:hint="eastAsia" w:ascii="方正小标宋_GBK" w:hAnsi="方正小标宋_GBK" w:eastAsia="方正小标宋_GBK" w:cs="方正小标宋_GBK"/>
          <w:sz w:val="44"/>
          <w:szCs w:val="44"/>
          <w:lang w:val="en-US" w:eastAsia="zh-CN"/>
        </w:rPr>
        <w:t>人民政府</w:t>
      </w:r>
      <w:r>
        <w:rPr>
          <w:rFonts w:hint="eastAsia" w:ascii="方正小标宋_GBK" w:hAnsi="方正小标宋_GBK" w:eastAsia="方正小标宋_GBK" w:cs="方正小标宋_GBK"/>
          <w:sz w:val="44"/>
          <w:szCs w:val="44"/>
        </w:rPr>
        <w:t>关于2025年法治政府建设情况的报告</w:t>
      </w:r>
    </w:p>
    <w:p w14:paraId="26B9B80E">
      <w:pPr>
        <w:pStyle w:val="2"/>
      </w:pPr>
    </w:p>
    <w:p w14:paraId="0F3ABBC9">
      <w:pPr>
        <w:keepNext w:val="0"/>
        <w:keepLines w:val="0"/>
        <w:pageBreakBefore w:val="0"/>
        <w:topLinePunct w:val="0"/>
        <w:bidi w:val="0"/>
        <w:adjustRightInd/>
        <w:snapToGrid/>
        <w:spacing w:line="560" w:lineRule="exact"/>
        <w:ind w:firstLine="640" w:firstLineChars="200"/>
        <w:textAlignment w:val="auto"/>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年以</w:t>
      </w:r>
      <w:r>
        <w:rPr>
          <w:rFonts w:hint="eastAsia" w:ascii="仿宋_GB2312" w:hAnsi="仿宋_GB2312" w:eastAsia="仿宋_GB2312" w:cs="仿宋_GB2312"/>
          <w:sz w:val="32"/>
          <w:szCs w:val="32"/>
          <w:lang w:val="zh-CN"/>
        </w:rPr>
        <w:t>来，</w:t>
      </w:r>
      <w:r>
        <w:rPr>
          <w:rFonts w:hint="eastAsia" w:ascii="仿宋_GB2312" w:hAnsi="仿宋_GB2312" w:eastAsia="仿宋_GB2312" w:cs="仿宋_GB2312"/>
          <w:sz w:val="32"/>
          <w:szCs w:val="32"/>
        </w:rPr>
        <w:t>为深入贯彻落实《法治政府建设实施纲要（2021-2025年）》《法治政府建设与责任落实督察工作规定》及《鲁山县法治政府建设实施方案（2022-2025年）》，全面落实《河南省法治政府建设年度报告工作规定》要求，梁洼镇在县委、县政府的正确领导下，坚持以习近平新时代中国特色社会主义思想为指导，深入学习贯彻习近平总书记依法治国新理念新思想战略，紧紧围绕省、市法治政府建设重点和县委的中心工作，进一步推进法治政府、规范化服务型政府建设，严格依法履行法定职责，规范行政行为，高质量统筹推进我镇法治政府建设各项工作。现将202</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年法治政府建设情况</w:t>
      </w:r>
      <w:r>
        <w:rPr>
          <w:rFonts w:hint="eastAsia" w:ascii="仿宋_GB2312" w:hAnsi="仿宋_GB2312" w:eastAsia="仿宋_GB2312" w:cs="仿宋_GB2312"/>
          <w:sz w:val="32"/>
          <w:szCs w:val="32"/>
          <w:lang w:val="zh-CN"/>
        </w:rPr>
        <w:t>汇报如下：</w:t>
      </w:r>
    </w:p>
    <w:p w14:paraId="78CE8311">
      <w:pPr>
        <w:keepNext w:val="0"/>
        <w:keepLines w:val="0"/>
        <w:pageBreakBefore w:val="0"/>
        <w:widowControl/>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zh-CN"/>
        </w:rPr>
        <w:t>一、</w:t>
      </w:r>
      <w:r>
        <w:rPr>
          <w:rFonts w:hint="eastAsia" w:ascii="黑体" w:hAnsi="黑体" w:eastAsia="黑体" w:cs="黑体"/>
          <w:sz w:val="32"/>
          <w:szCs w:val="32"/>
        </w:rPr>
        <w:t>202</w:t>
      </w:r>
      <w:r>
        <w:rPr>
          <w:rFonts w:ascii="黑体" w:hAnsi="黑体" w:eastAsia="黑体" w:cs="黑体"/>
          <w:sz w:val="32"/>
          <w:szCs w:val="32"/>
        </w:rPr>
        <w:t>5</w:t>
      </w:r>
      <w:r>
        <w:rPr>
          <w:rFonts w:hint="eastAsia" w:ascii="黑体" w:hAnsi="黑体" w:eastAsia="黑体" w:cs="黑体"/>
          <w:sz w:val="32"/>
          <w:szCs w:val="32"/>
        </w:rPr>
        <w:t>年度</w:t>
      </w:r>
      <w:r>
        <w:rPr>
          <w:rFonts w:hint="eastAsia" w:ascii="黑体" w:hAnsi="黑体" w:eastAsia="黑体" w:cs="黑体"/>
          <w:sz w:val="32"/>
          <w:szCs w:val="32"/>
          <w:lang w:val="zh-CN"/>
        </w:rPr>
        <w:t>党政负责人履行</w:t>
      </w:r>
      <w:r>
        <w:rPr>
          <w:rFonts w:hint="eastAsia" w:ascii="黑体" w:hAnsi="黑体" w:eastAsia="黑体" w:cs="黑体"/>
          <w:sz w:val="32"/>
          <w:szCs w:val="32"/>
        </w:rPr>
        <w:t>推进</w:t>
      </w:r>
      <w:r>
        <w:rPr>
          <w:rFonts w:hint="eastAsia" w:ascii="黑体" w:hAnsi="黑体" w:eastAsia="黑体" w:cs="黑体"/>
          <w:sz w:val="32"/>
          <w:szCs w:val="32"/>
          <w:lang w:val="zh-CN"/>
        </w:rPr>
        <w:t>法治建设第一责任人职责，</w:t>
      </w:r>
      <w:r>
        <w:rPr>
          <w:rFonts w:hint="eastAsia" w:ascii="黑体" w:hAnsi="黑体" w:eastAsia="黑体" w:cs="黑体"/>
          <w:sz w:val="32"/>
          <w:szCs w:val="32"/>
        </w:rPr>
        <w:t>加强法治政府建设的有关情况</w:t>
      </w:r>
    </w:p>
    <w:p w14:paraId="001DFB10">
      <w:pPr>
        <w:keepNext w:val="0"/>
        <w:keepLines w:val="0"/>
        <w:pageBreakBefore w:val="0"/>
        <w:topLinePunct w:val="0"/>
        <w:bidi w:val="0"/>
        <w:adjustRightInd/>
        <w:snapToGrid/>
        <w:spacing w:line="560" w:lineRule="exact"/>
        <w:ind w:firstLine="640" w:firstLineChars="200"/>
        <w:textAlignment w:val="auto"/>
        <w:rPr>
          <w:rFonts w:asciiTheme="minorEastAsia" w:hAnsiTheme="minorEastAsia" w:eastAsiaTheme="minorEastAsia" w:cstheme="minorEastAsia"/>
          <w:sz w:val="32"/>
          <w:szCs w:val="32"/>
        </w:rPr>
      </w:pPr>
      <w:r>
        <w:rPr>
          <w:rFonts w:hint="eastAsia" w:ascii="仿宋_GB2312" w:hAnsi="仿宋_GB2312" w:eastAsia="仿宋_GB2312" w:cs="仿宋_GB2312"/>
          <w:sz w:val="32"/>
          <w:szCs w:val="32"/>
        </w:rPr>
        <w:t>严格按照《党政主要负责人履行推进法治政府建设第一责任人职责规定》，调整充实法治政府建设领导机构，细化领导小组成员分工，明确各成员职责，成立了以镇党委书记为组长，其他班子成员为副组长，相关业务办公室和各村负责人为成员的法治建设工作领导小组，各行政村配套建立相应的工作领导小组，切实加强对</w:t>
      </w:r>
      <w:r>
        <w:rPr>
          <w:rFonts w:hint="eastAsia" w:ascii="仿宋_GB2312" w:hAnsi="仿宋_GB2312" w:eastAsia="仿宋_GB2312" w:cs="仿宋_GB2312"/>
          <w:sz w:val="32"/>
          <w:szCs w:val="32"/>
          <w:lang w:val="en-US" w:eastAsia="zh-CN"/>
        </w:rPr>
        <w:t>法治建设</w:t>
      </w:r>
      <w:r>
        <w:rPr>
          <w:rFonts w:hint="eastAsia" w:ascii="仿宋_GB2312" w:hAnsi="仿宋_GB2312" w:eastAsia="仿宋_GB2312" w:cs="仿宋_GB2312"/>
          <w:sz w:val="32"/>
          <w:szCs w:val="32"/>
        </w:rPr>
        <w:t>工作的领导。形成主要领导负责抓，分管领导具体抓，相关办公室配合抓的工作局面。同时根据县委、县政府关于法治政府建设重点工作安排，专题讨论，细化安排，统筹引领法治政府</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各项工作。</w:t>
      </w:r>
    </w:p>
    <w:p w14:paraId="0D2E61FD">
      <w:pPr>
        <w:keepNext w:val="0"/>
        <w:keepLines w:val="0"/>
        <w:pageBreakBefore w:val="0"/>
        <w:widowControl/>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二、202</w:t>
      </w:r>
      <w:r>
        <w:rPr>
          <w:rFonts w:ascii="黑体" w:hAnsi="黑体" w:eastAsia="黑体" w:cs="黑体"/>
          <w:sz w:val="32"/>
          <w:szCs w:val="32"/>
        </w:rPr>
        <w:t>5</w:t>
      </w:r>
      <w:r>
        <w:rPr>
          <w:rFonts w:hint="eastAsia" w:ascii="黑体" w:hAnsi="黑体" w:eastAsia="黑体" w:cs="黑体"/>
          <w:sz w:val="32"/>
          <w:szCs w:val="32"/>
        </w:rPr>
        <w:t>年度推进法治政府建设的主要举措与成效</w:t>
      </w:r>
    </w:p>
    <w:p w14:paraId="549A7771">
      <w:pPr>
        <w:keepNext w:val="0"/>
        <w:keepLines w:val="0"/>
        <w:pageBreakBefore w:val="0"/>
        <w:topLinePunct w:val="0"/>
        <w:bidi w:val="0"/>
        <w:adjustRightInd/>
        <w:snapToGrid/>
        <w:spacing w:line="560"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（一）规范行政行为，全面扎实抓细节</w:t>
      </w:r>
    </w:p>
    <w:p w14:paraId="288E1DC8">
      <w:pPr>
        <w:pStyle w:val="7"/>
        <w:keepNext w:val="0"/>
        <w:keepLines w:val="0"/>
        <w:pageBreakBefore w:val="0"/>
        <w:kinsoku w:val="0"/>
        <w:overflowPunct w:val="0"/>
        <w:topLinePunct w:val="0"/>
        <w:autoSpaceDE w:val="0"/>
        <w:autoSpaceDN w:val="0"/>
        <w:bidi w:val="0"/>
        <w:adjustRightInd/>
        <w:snapToGrid/>
        <w:spacing w:beforeAutospacing="0" w:afterAutospacing="0" w:line="560" w:lineRule="exact"/>
        <w:ind w:firstLine="640"/>
        <w:textAlignment w:val="auto"/>
        <w:rPr>
          <w:rFonts w:hint="eastAsia" w:eastAsia="仿宋_GB2312"/>
          <w:color w:val="000000" w:themeColor="text1"/>
          <w:lang w:eastAsia="zh-CN"/>
          <w14:textFill>
            <w14:solidFill>
              <w14:schemeClr w14:val="tx1"/>
            </w14:solidFill>
          </w14:textFill>
        </w:rPr>
      </w:pPr>
      <w:r>
        <w:rPr>
          <w:rFonts w:hint="eastAsia" w:ascii="仿宋_GB2312" w:hAnsi="仿宋_GB2312" w:eastAsia="仿宋_GB2312" w:cs="仿宋_GB2312"/>
          <w:b/>
          <w:bCs/>
          <w:sz w:val="32"/>
          <w:szCs w:val="32"/>
        </w:rPr>
        <w:t>1.严格规范公正文明执法。</w:t>
      </w:r>
      <w:r>
        <w:rPr>
          <w:rFonts w:hint="eastAsia" w:ascii="仿宋_GB2312" w:hAnsi="仿宋_GB2312" w:eastAsia="仿宋_GB2312" w:cs="仿宋_GB2312"/>
          <w:sz w:val="32"/>
          <w:szCs w:val="32"/>
          <w:lang w:bidi="ar"/>
        </w:rPr>
        <w:t>组织执法人员参加业务培训和资格考试，确保执法人员持证上岗率达100%，并且制定了行政执法公示、执法全过程记录、重大执法决定法制审核等制度，</w:t>
      </w:r>
      <w:r>
        <w:rPr>
          <w:rFonts w:hint="eastAsia" w:ascii="仿宋_GB2312" w:hAnsi="仿宋_GB2312" w:eastAsia="仿宋_GB2312" w:cs="仿宋_GB2312"/>
          <w:sz w:val="32"/>
          <w:szCs w:val="32"/>
        </w:rPr>
        <w:t>认真贯彻“事前公示、事中记录、事后审查”三项制度，</w:t>
      </w:r>
      <w:r>
        <w:rPr>
          <w:rFonts w:hint="eastAsia" w:ascii="仿宋_GB2312" w:hAnsi="仿宋_GB2312" w:eastAsia="仿宋_GB2312" w:cs="仿宋_GB2312"/>
          <w:sz w:val="32"/>
          <w:szCs w:val="32"/>
          <w:lang w:bidi="ar"/>
        </w:rPr>
        <w:t>严格落实“双随机一公开”监管要求，保障执法公正透明，提高执法</w:t>
      </w:r>
      <w:r>
        <w:rPr>
          <w:rFonts w:hint="eastAsia" w:ascii="仿宋_GB2312" w:hAnsi="仿宋_GB2312" w:eastAsia="仿宋_GB2312" w:cs="仿宋_GB2312"/>
          <w:sz w:val="32"/>
          <w:szCs w:val="32"/>
        </w:rPr>
        <w:t>质量和公信力。</w:t>
      </w:r>
    </w:p>
    <w:p w14:paraId="31F9A287">
      <w:pPr>
        <w:keepNext w:val="0"/>
        <w:keepLines w:val="0"/>
        <w:pageBreakBefore w:val="0"/>
        <w:topLinePunct w:val="0"/>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2.严格落实重大行政决策程序。</w:t>
      </w:r>
      <w:r>
        <w:rPr>
          <w:rFonts w:hint="eastAsia" w:ascii="仿宋_GB2312" w:hAnsi="仿宋_GB2312" w:eastAsia="仿宋_GB2312" w:cs="仿宋_GB2312"/>
          <w:sz w:val="32"/>
          <w:szCs w:val="32"/>
        </w:rPr>
        <w:t>严格执行“三重一大”制度，凡属梁洼镇职责范围内的“三重一大”事项必须坚持集体领导、民主集中、个别酝酿、会议决定的原则进行决策，确保科学决策、民主决策、依法决策，接受群众对依法行政工作的监督。</w:t>
      </w:r>
    </w:p>
    <w:p w14:paraId="6034EC5B">
      <w:pPr>
        <w:keepNext w:val="0"/>
        <w:keepLines w:val="0"/>
        <w:pageBreakBefore w:val="0"/>
        <w:topLinePunct w:val="0"/>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3.坚持政务公开制度。</w:t>
      </w:r>
      <w:r>
        <w:rPr>
          <w:rFonts w:hint="eastAsia" w:ascii="仿宋_GB2312" w:hAnsi="仿宋_GB2312" w:eastAsia="仿宋_GB2312" w:cs="仿宋_GB2312"/>
          <w:sz w:val="32"/>
          <w:szCs w:val="32"/>
        </w:rPr>
        <w:t>认真贯彻实施《中华人民共和国政府信息公开条例》，按照“公开为常态、不公开为例外”的原则，通过政府公开平台、政务公开栏等渠道，及时、准确地公开政府财政预决算、公共资源配置、重大建设工程项目、惠民政策、社会公益事业等方面的信息，保障群众的知情权、参与权和监督权。</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年以来，共公开政务信息</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条。</w:t>
      </w:r>
    </w:p>
    <w:p w14:paraId="64780816">
      <w:pPr>
        <w:keepNext w:val="0"/>
        <w:keepLines w:val="0"/>
        <w:pageBreakBefore w:val="0"/>
        <w:topLinePunct w:val="0"/>
        <w:bidi w:val="0"/>
        <w:adjustRightInd/>
        <w:snapToGrid/>
        <w:spacing w:line="560"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（二）优化营商环境，深化“放管服”改革</w:t>
      </w:r>
    </w:p>
    <w:p w14:paraId="373EE2FE">
      <w:pPr>
        <w:keepNext w:val="0"/>
        <w:keepLines w:val="0"/>
        <w:pageBreakBefore w:val="0"/>
        <w:topLinePunct w:val="0"/>
        <w:bidi w:val="0"/>
        <w:adjustRightInd/>
        <w:snapToGrid/>
        <w:spacing w:line="560" w:lineRule="exact"/>
        <w:ind w:firstLine="640" w:firstLineChars="200"/>
        <w:textAlignment w:val="auto"/>
      </w:pPr>
      <w:r>
        <w:rPr>
          <w:rFonts w:hint="eastAsia" w:ascii="仿宋_GB2312" w:hAnsi="仿宋_GB2312" w:eastAsia="仿宋_GB2312" w:cs="仿宋_GB2312"/>
          <w:sz w:val="32"/>
          <w:szCs w:val="32"/>
        </w:rPr>
        <w:t>积极配合上级改革部署，深入开展职权清理，编制职权运行工作流程图。根据法律、法规、规章规定的执法程序，按照公正、合法、高效、便民的原则，对每一项行政权力运行流程进行优化，逐一编制职权运行工作流程图，明确执法行为的工作步骤、顺序、时限、形式和标准，使行政执法的各个程序、各个环节互相有机衔接，防止脱节，保证执法活动公正、公开、高效、有序开展。加强政务服务一体化平台、智慧型政务服务建设，提升便民服务大厅标准化、规范化水平，打通政务服务“最后一公里”。贯彻落实《优化营商环境条例》，清理不符合《优化营商环境条例》的先行规定的规范性文件和其他政策性文件，全心全意服务镇域市场主体，积极践行“放管服”工作，提供良好的法律服务氛围和辖区营商环境。</w:t>
      </w:r>
    </w:p>
    <w:p w14:paraId="3AC97132">
      <w:pPr>
        <w:keepNext w:val="0"/>
        <w:keepLines w:val="0"/>
        <w:pageBreakBefore w:val="0"/>
        <w:topLinePunct w:val="0"/>
        <w:bidi w:val="0"/>
        <w:adjustRightInd/>
        <w:snapToGrid/>
        <w:spacing w:line="560"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（三）深化普法教育，构建法治新格局</w:t>
      </w:r>
    </w:p>
    <w:p w14:paraId="7DF53E23">
      <w:pPr>
        <w:keepNext w:val="0"/>
        <w:keepLines w:val="0"/>
        <w:pageBreakBefore w:val="0"/>
        <w:topLinePunct w:val="0"/>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深入开展法治宣传教育。落实“谁执法谁普法”普法责任制，更新普法责任清单,确保各项普法任务有序推进，深入开展《中华人民共和国民法典》《中华人民共和国预防未成年人犯罪法》《中华人民共和国土地管理法》等学习宣传。梁洼镇</w:t>
      </w:r>
      <w:r>
        <w:rPr>
          <w:rFonts w:hint="eastAsia" w:ascii="仿宋_GB2312" w:hAnsi="仿宋_GB2312" w:eastAsia="仿宋_GB2312" w:cs="仿宋_GB2312"/>
          <w:sz w:val="32"/>
          <w:szCs w:val="32"/>
          <w:lang w:val="en-US" w:eastAsia="zh-CN"/>
        </w:rPr>
        <w:t>坚持</w:t>
      </w:r>
      <w:r>
        <w:rPr>
          <w:rFonts w:hint="eastAsia" w:ascii="仿宋_GB2312" w:hAnsi="仿宋_GB2312" w:eastAsia="仿宋_GB2312" w:cs="仿宋_GB2312"/>
          <w:sz w:val="32"/>
          <w:szCs w:val="32"/>
        </w:rPr>
        <w:t>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3.8国际妇女节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6.26国际禁毒日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12.4国家宪法日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重要节点为契机，组织开展主题法治宣传活动，继续推动宪法精神进农村、进机关、进校园、进社区，突出青少年重点对象，组织开展了法律进校园活动。分别在梁洼一中、梁洼二中、南街广场、梁洼镇主要街道开展“法律八进”活动8场次，发放宣传资料3</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00余份，受教育群众达万人次。通过法</w:t>
      </w:r>
      <w:r>
        <w:rPr>
          <w:rFonts w:hint="eastAsia" w:ascii="仿宋_GB2312" w:hAnsi="仿宋_GB2312" w:eastAsia="仿宋_GB2312" w:cs="仿宋_GB2312"/>
          <w:sz w:val="32"/>
          <w:szCs w:val="32"/>
          <w:lang w:val="en-US" w:eastAsia="zh-CN"/>
        </w:rPr>
        <w:t>治</w:t>
      </w:r>
      <w:r>
        <w:rPr>
          <w:rFonts w:hint="eastAsia" w:ascii="仿宋_GB2312" w:hAnsi="仿宋_GB2312" w:eastAsia="仿宋_GB2312" w:cs="仿宋_GB2312"/>
          <w:sz w:val="32"/>
          <w:szCs w:val="32"/>
        </w:rPr>
        <w:t>学习宣传教育，形成全镇群众尊法学法守法用法的良好局面。</w:t>
      </w:r>
    </w:p>
    <w:p w14:paraId="6F2D622E">
      <w:pPr>
        <w:keepNext w:val="0"/>
        <w:keepLines w:val="0"/>
        <w:pageBreakBefore w:val="0"/>
        <w:topLinePunct w:val="0"/>
        <w:bidi w:val="0"/>
        <w:adjustRightInd/>
        <w:snapToGrid/>
        <w:spacing w:line="560"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（四）狠抓服务实效，提升法治化水平</w:t>
      </w:r>
    </w:p>
    <w:p w14:paraId="291E51BC">
      <w:pPr>
        <w:keepNext w:val="0"/>
        <w:keepLines w:val="0"/>
        <w:pageBreakBefore w:val="0"/>
        <w:topLinePunct w:val="0"/>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指定河南</w:t>
      </w:r>
      <w:r>
        <w:rPr>
          <w:rFonts w:hint="eastAsia" w:ascii="仿宋_GB2312" w:hAnsi="仿宋_GB2312" w:eastAsia="仿宋_GB2312" w:cs="仿宋_GB2312"/>
          <w:sz w:val="32"/>
          <w:szCs w:val="32"/>
          <w:lang w:eastAsia="zh-CN"/>
        </w:rPr>
        <w:t>基盛</w:t>
      </w:r>
      <w:bookmarkStart w:id="2" w:name="_GoBack"/>
      <w:bookmarkEnd w:id="2"/>
      <w:r>
        <w:rPr>
          <w:rFonts w:hint="eastAsia" w:ascii="仿宋_GB2312" w:hAnsi="仿宋_GB2312" w:eastAsia="仿宋_GB2312" w:cs="仿宋_GB2312"/>
          <w:sz w:val="32"/>
          <w:szCs w:val="32"/>
        </w:rPr>
        <w:t>法律服务所为专门机构作为法律顾问机构，聘请陈栗娟律师为梁洼镇政府法律顾问，</w:t>
      </w:r>
      <w:r>
        <w:rPr>
          <w:rFonts w:hint="eastAsia" w:ascii="仿宋_GB2312" w:hAnsi="仿宋_GB2312" w:eastAsia="仿宋_GB2312" w:cs="仿宋_GB2312"/>
          <w:sz w:val="32"/>
          <w:szCs w:val="32"/>
          <w:shd w:val="clear" w:color="auto" w:fill="FFFFFF"/>
        </w:rPr>
        <w:t>保证在制定重大行政决策、推进依法行政中发挥</w:t>
      </w:r>
      <w:r>
        <w:rPr>
          <w:rFonts w:hint="eastAsia" w:ascii="仿宋_GB2312" w:hAnsi="仿宋_GB2312" w:eastAsia="仿宋_GB2312" w:cs="仿宋_GB2312"/>
          <w:sz w:val="32"/>
          <w:szCs w:val="32"/>
        </w:rPr>
        <w:t>法律顾问的</w:t>
      </w:r>
      <w:r>
        <w:rPr>
          <w:rFonts w:hint="eastAsia" w:ascii="仿宋_GB2312" w:hAnsi="仿宋_GB2312" w:eastAsia="仿宋_GB2312" w:cs="仿宋_GB2312"/>
          <w:sz w:val="32"/>
          <w:szCs w:val="32"/>
          <w:shd w:val="clear" w:color="auto" w:fill="FFFFFF"/>
        </w:rPr>
        <w:t>作用,让法律顾问在处理综治信访工作和推进法治政府建设工作中发挥积极作用。梁洼</w:t>
      </w:r>
      <w:r>
        <w:rPr>
          <w:rFonts w:hint="eastAsia" w:ascii="仿宋_GB2312" w:hAnsi="仿宋_GB2312" w:eastAsia="仿宋_GB2312" w:cs="仿宋_GB2312"/>
          <w:sz w:val="32"/>
          <w:szCs w:val="32"/>
        </w:rPr>
        <w:t>司法所以免费法律顾问活动为切入点，指定龙云律师事务所三名律师为我镇各村的法律顾问，前移法律援助工作，增强基层群众尊法学法守法用法意识，定期入村走访开展工作150余次，为群众解答法律知识580余人次，涉及土地、房屋、婚姻、债务、劳务合同等，充分维护群众的合法权益。</w:t>
      </w:r>
      <w:bookmarkStart w:id="0" w:name="OLE_LINK2"/>
      <w:bookmarkStart w:id="1" w:name="OLE_LINK1"/>
    </w:p>
    <w:bookmarkEnd w:id="0"/>
    <w:bookmarkEnd w:id="1"/>
    <w:p w14:paraId="71CC1BCC">
      <w:pPr>
        <w:keepNext w:val="0"/>
        <w:keepLines w:val="0"/>
        <w:pageBreakBefore w:val="0"/>
        <w:topLinePunct w:val="0"/>
        <w:bidi w:val="0"/>
        <w:adjustRightInd/>
        <w:snapToGrid/>
        <w:spacing w:line="560" w:lineRule="exact"/>
        <w:ind w:firstLine="640" w:firstLineChars="200"/>
        <w:textAlignment w:val="auto"/>
        <w:rPr>
          <w:rFonts w:ascii="楷体_GB2312" w:hAnsi="楷体_GB2312" w:eastAsia="楷体_GB2312" w:cs="楷体_GB2312"/>
          <w:sz w:val="32"/>
          <w:szCs w:val="32"/>
        </w:rPr>
      </w:pPr>
      <w:r>
        <w:rPr>
          <w:rFonts w:hint="eastAsia" w:ascii="楷体" w:hAnsi="楷体" w:eastAsia="楷体" w:cs="楷体"/>
          <w:sz w:val="32"/>
          <w:szCs w:val="32"/>
        </w:rPr>
        <w:t>（五）</w:t>
      </w:r>
      <w:r>
        <w:rPr>
          <w:rFonts w:hint="eastAsia" w:ascii="楷体_GB2312" w:hAnsi="楷体_GB2312" w:eastAsia="楷体_GB2312" w:cs="楷体_GB2312"/>
          <w:sz w:val="32"/>
          <w:szCs w:val="32"/>
        </w:rPr>
        <w:t>积极化解矛盾，提升社会满意度</w:t>
      </w:r>
    </w:p>
    <w:p w14:paraId="19F940F8">
      <w:pPr>
        <w:keepNext w:val="0"/>
        <w:keepLines w:val="0"/>
        <w:pageBreakBefore w:val="0"/>
        <w:topLinePunct w:val="0"/>
        <w:bidi w:val="0"/>
        <w:adjustRightInd/>
        <w:snapToGrid/>
        <w:spacing w:line="560" w:lineRule="exact"/>
        <w:ind w:firstLine="643" w:firstLineChars="200"/>
        <w:textAlignment w:val="auto"/>
        <w:rPr>
          <w:rFonts w:ascii="仿宋_GB2312" w:hAnsi="Times New Roman" w:eastAsia="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健全依法化解纠纷机制，完善行政调解制度，规范行政调解程序。进一步健全了政府负总责、各村、属各部门为主体的行政调解工作机制。</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积极探索以行政调解为核心的专业化纠纷调解机制，着力推进土地管理、社会保障等领域老难信访纠纷的调解工作，排查矛盾纠纷均成功化解。</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健全行政调解与人民调解、司法调解相衔接的大调解联动机制，实现各类调解主体的有效互动。</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全面落实“平安创建”“社会满意度”提升工作，通过持续努力，为我镇构建了和谐稳定的生产生活环境。</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网格化管理体系全面覆盖。成立</w:t>
      </w:r>
      <w:r>
        <w:rPr>
          <w:rFonts w:hint="eastAsia" w:ascii="仿宋_GB2312" w:eastAsia="仿宋_GB2312"/>
          <w:sz w:val="32"/>
          <w:szCs w:val="32"/>
        </w:rPr>
        <w:t>镇党委书记为组长的警网融合工作领导小组，13个行政村和应源社区都建了警网融合工作站，</w:t>
      </w:r>
      <w:r>
        <w:rPr>
          <w:rFonts w:hint="eastAsia" w:ascii="仿宋_GB2312" w:hAnsi="Times New Roman" w:eastAsia="仿宋_GB2312"/>
          <w:sz w:val="32"/>
          <w:szCs w:val="32"/>
        </w:rPr>
        <w:t>结合矛盾纠纷排查调解中心，群众来访接待室，</w:t>
      </w:r>
      <w:r>
        <w:rPr>
          <w:rFonts w:hint="eastAsia" w:ascii="仿宋_GB2312" w:hAnsi="仿宋_GB2312" w:eastAsia="仿宋_GB2312" w:cs="仿宋_GB2312"/>
          <w:sz w:val="32"/>
          <w:szCs w:val="32"/>
        </w:rPr>
        <w:t>着力实现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防范在先、发现在早、处置在小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Times New Roman" w:eastAsia="仿宋_GB2312"/>
          <w:sz w:val="32"/>
          <w:szCs w:val="32"/>
        </w:rPr>
        <w:t>建立矛盾化解台账，落实“当日工作法”和“七晚工作法”，做到矛盾化解在基层。</w:t>
      </w:r>
      <w:r>
        <w:rPr>
          <w:rFonts w:hint="eastAsia" w:ascii="仿宋_GB2312" w:hAnsi="Times New Roman" w:eastAsia="仿宋_GB2312"/>
          <w:sz w:val="32"/>
          <w:szCs w:val="32"/>
          <w:lang w:val="en-US" w:eastAsia="zh-CN"/>
        </w:rPr>
        <w:t>2025</w:t>
      </w:r>
      <w:r>
        <w:rPr>
          <w:rFonts w:hint="eastAsia" w:ascii="仿宋_GB2312" w:hAnsi="Times New Roman" w:eastAsia="仿宋_GB2312"/>
          <w:sz w:val="32"/>
          <w:szCs w:val="32"/>
        </w:rPr>
        <w:t>年以来</w:t>
      </w:r>
      <w:r>
        <w:rPr>
          <w:rFonts w:hint="eastAsia" w:ascii="仿宋_GB2312" w:hAnsi="Times New Roman" w:eastAsia="仿宋_GB2312"/>
          <w:sz w:val="32"/>
          <w:szCs w:val="32"/>
          <w:lang w:val="en-US" w:eastAsia="zh-CN"/>
        </w:rPr>
        <w:t>共</w:t>
      </w:r>
      <w:r>
        <w:rPr>
          <w:rFonts w:hint="eastAsia" w:ascii="仿宋_GB2312" w:hAnsi="Times New Roman" w:eastAsia="仿宋_GB2312"/>
          <w:sz w:val="32"/>
          <w:szCs w:val="32"/>
        </w:rPr>
        <w:t>化解矛盾</w:t>
      </w:r>
      <w:r>
        <w:rPr>
          <w:rFonts w:ascii="仿宋_GB2312" w:hAnsi="Times New Roman" w:eastAsia="仿宋_GB2312"/>
          <w:sz w:val="32"/>
          <w:szCs w:val="32"/>
        </w:rPr>
        <w:t>74</w:t>
      </w:r>
      <w:r>
        <w:rPr>
          <w:rFonts w:hint="eastAsia" w:ascii="仿宋_GB2312" w:hAnsi="Times New Roman" w:eastAsia="仿宋_GB2312"/>
          <w:sz w:val="32"/>
          <w:szCs w:val="32"/>
        </w:rPr>
        <w:t>起，有效化解基层矛盾，防止了小事变大事、民事变刑事案件的发生。</w:t>
      </w:r>
    </w:p>
    <w:p w14:paraId="656C9B51">
      <w:pPr>
        <w:keepNext w:val="0"/>
        <w:keepLines w:val="0"/>
        <w:pageBreakBefore w:val="0"/>
        <w:widowControl/>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zh-CN"/>
        </w:rPr>
        <w:t>三、</w:t>
      </w:r>
      <w:r>
        <w:rPr>
          <w:rFonts w:hint="eastAsia" w:ascii="黑体" w:hAnsi="黑体" w:eastAsia="黑体" w:cs="黑体"/>
          <w:sz w:val="32"/>
          <w:szCs w:val="32"/>
        </w:rPr>
        <w:t>202</w:t>
      </w:r>
      <w:r>
        <w:rPr>
          <w:rFonts w:ascii="黑体" w:hAnsi="黑体" w:eastAsia="黑体" w:cs="黑体"/>
          <w:sz w:val="32"/>
          <w:szCs w:val="32"/>
        </w:rPr>
        <w:t>5</w:t>
      </w:r>
      <w:r>
        <w:rPr>
          <w:rFonts w:hint="eastAsia" w:ascii="黑体" w:hAnsi="黑体" w:eastAsia="黑体" w:cs="黑体"/>
          <w:sz w:val="32"/>
          <w:szCs w:val="32"/>
        </w:rPr>
        <w:t>年度推进法治政府建设</w:t>
      </w:r>
      <w:r>
        <w:rPr>
          <w:rFonts w:hint="eastAsia" w:ascii="黑体" w:hAnsi="黑体" w:eastAsia="黑体" w:cs="黑体"/>
          <w:sz w:val="32"/>
          <w:szCs w:val="32"/>
          <w:lang w:val="zh-CN"/>
        </w:rPr>
        <w:t>存在的不足、原因</w:t>
      </w:r>
      <w:r>
        <w:rPr>
          <w:rFonts w:hint="eastAsia" w:ascii="黑体" w:hAnsi="黑体" w:eastAsia="黑体" w:cs="黑体"/>
          <w:sz w:val="32"/>
          <w:szCs w:val="32"/>
        </w:rPr>
        <w:t>和问题整改情况</w:t>
      </w:r>
    </w:p>
    <w:p w14:paraId="3181A4E8">
      <w:pPr>
        <w:keepNext w:val="0"/>
        <w:keepLines w:val="0"/>
        <w:pageBreakBefore w:val="0"/>
        <w:topLinePunct w:val="0"/>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楷体" w:hAnsi="楷体" w:eastAsia="楷体" w:cs="楷体"/>
          <w:sz w:val="32"/>
          <w:szCs w:val="32"/>
        </w:rPr>
        <w:t>（一）202</w:t>
      </w:r>
      <w:r>
        <w:rPr>
          <w:rFonts w:ascii="楷体" w:hAnsi="楷体" w:eastAsia="楷体" w:cs="楷体"/>
          <w:sz w:val="32"/>
          <w:szCs w:val="32"/>
        </w:rPr>
        <w:t>5</w:t>
      </w:r>
      <w:r>
        <w:rPr>
          <w:rFonts w:hint="eastAsia" w:ascii="楷体" w:hAnsi="楷体" w:eastAsia="楷体" w:cs="楷体"/>
          <w:sz w:val="32"/>
          <w:szCs w:val="32"/>
        </w:rPr>
        <w:t>年度推进法治政府建设</w:t>
      </w:r>
      <w:r>
        <w:rPr>
          <w:rFonts w:hint="eastAsia" w:ascii="楷体" w:hAnsi="楷体" w:eastAsia="楷体" w:cs="楷体"/>
          <w:sz w:val="32"/>
          <w:szCs w:val="32"/>
          <w:lang w:val="zh-CN"/>
        </w:rPr>
        <w:t>存在的不足及原因</w:t>
      </w:r>
    </w:p>
    <w:p w14:paraId="16A6D765">
      <w:pPr>
        <w:keepNext w:val="0"/>
        <w:keepLines w:val="0"/>
        <w:pageBreakBefore w:val="0"/>
        <w:topLinePunct w:val="0"/>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1.干部法治观念还不够强</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部分干部对法治建设的认识不够深入，仅仅停留在行政执法、法治宣传等方面，对法治建设的认识片面化；部分群众仍然存在法治观念淡薄、有法不依的现象，不善于运用法律途径来解决问题，上访、闹访、缠访等问题仍有发生。</w:t>
      </w:r>
    </w:p>
    <w:p w14:paraId="745B1200">
      <w:pPr>
        <w:keepNext w:val="0"/>
        <w:keepLines w:val="0"/>
        <w:pageBreakBefore w:val="0"/>
        <w:topLinePunct w:val="0"/>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2.法治宣传教育实效性低</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法治宣传教育工作主要依托讲座、标语等形式开展进行，影响力仍不足，没有在群众中形成自觉学法、守法、用法的风气。同时宣传形式单一，主要以法律条文的宣讲、制作法</w:t>
      </w:r>
      <w:r>
        <w:rPr>
          <w:rFonts w:hint="eastAsia" w:ascii="仿宋_GB2312" w:hAnsi="仿宋_GB2312" w:eastAsia="仿宋_GB2312" w:cs="仿宋_GB2312"/>
          <w:sz w:val="32"/>
          <w:szCs w:val="32"/>
          <w:lang w:val="en-US" w:eastAsia="zh-CN"/>
        </w:rPr>
        <w:t>治</w:t>
      </w:r>
      <w:r>
        <w:rPr>
          <w:rFonts w:hint="eastAsia" w:ascii="仿宋_GB2312" w:hAnsi="仿宋_GB2312" w:eastAsia="仿宋_GB2312" w:cs="仿宋_GB2312"/>
          <w:sz w:val="32"/>
          <w:szCs w:val="32"/>
        </w:rPr>
        <w:t>宣传栏、发放普法资料为主，群众参与度较低，没有形成双向的互动关系，渗透不足，造成效果不佳，利用微信、抖音等新媒体开展普法运用不够，法治宣传方式的创新有待加强。</w:t>
      </w:r>
    </w:p>
    <w:p w14:paraId="08F03985">
      <w:pPr>
        <w:keepNext w:val="0"/>
        <w:keepLines w:val="0"/>
        <w:pageBreakBefore w:val="0"/>
        <w:topLinePunct w:val="0"/>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3.基层法治人才队伍力量薄弱</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随着行政执法体制改革和执法重心向乡镇下移，现有基层的行政执法人员的数量和素质尚不能完全适应新形势的需要。工作人员积极性和能力不足，村级人民调解委员会缺乏专业法律人员配比，多为村民委员会工作人员及农村志愿者担任，缺乏系统专业的法律知识学习，导致提供的法律服务良莠不齐，质量很难保障。</w:t>
      </w:r>
    </w:p>
    <w:p w14:paraId="753FC5F8">
      <w:pPr>
        <w:keepNext w:val="0"/>
        <w:keepLines w:val="0"/>
        <w:pageBreakBefore w:val="0"/>
        <w:topLinePunct w:val="0"/>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楷体" w:hAnsi="楷体" w:eastAsia="楷体" w:cs="楷体"/>
          <w:sz w:val="32"/>
          <w:szCs w:val="32"/>
        </w:rPr>
        <w:t>（二）问题整改情况</w:t>
      </w:r>
    </w:p>
    <w:p w14:paraId="0C416041">
      <w:pPr>
        <w:keepNext w:val="0"/>
        <w:keepLines w:val="0"/>
        <w:pageBreakBefore w:val="0"/>
        <w:topLinePunct w:val="0"/>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ascii="仿宋_GB2312" w:hAnsi="仿宋_GB2312" w:eastAsia="仿宋_GB2312" w:cs="仿宋_GB2312"/>
          <w:b/>
          <w:bCs/>
          <w:sz w:val="32"/>
          <w:szCs w:val="32"/>
        </w:rPr>
        <w:t>加强行政执法人员统一管理和培训。</w:t>
      </w:r>
      <w:r>
        <w:rPr>
          <w:rFonts w:ascii="仿宋_GB2312" w:hAnsi="仿宋_GB2312" w:eastAsia="仿宋_GB2312" w:cs="仿宋_GB2312"/>
          <w:sz w:val="32"/>
          <w:szCs w:val="32"/>
        </w:rPr>
        <w:t>建立健全行政执法人员管理制度，定期组织行政执法人员参加法律知识培训和业务技能培训，提高行政执法人员的整体素质。同时，建立健全行政执法责任制，加强对执法行为的监督检查，对违法执法行为严肃追究责任。</w:t>
      </w:r>
    </w:p>
    <w:p w14:paraId="7FCC6C7C">
      <w:pPr>
        <w:keepNext w:val="0"/>
        <w:keepLines w:val="0"/>
        <w:pageBreakBefore w:val="0"/>
        <w:topLinePunct w:val="0"/>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ascii="仿宋_GB2312" w:hAnsi="仿宋_GB2312" w:eastAsia="仿宋_GB2312" w:cs="仿宋_GB2312"/>
          <w:b/>
          <w:bCs/>
          <w:sz w:val="32"/>
          <w:szCs w:val="32"/>
        </w:rPr>
        <w:t>创新法治宣传教育形式。</w:t>
      </w:r>
      <w:r>
        <w:rPr>
          <w:rFonts w:ascii="仿宋_GB2312" w:hAnsi="仿宋_GB2312" w:eastAsia="仿宋_GB2312" w:cs="仿宋_GB2312"/>
          <w:sz w:val="32"/>
          <w:szCs w:val="32"/>
        </w:rPr>
        <w:t>结合本地实际，采用群众喜闻乐见的形式，如文艺演出、法律知识竞赛等，提高法治宣传教育的吸引力和实效性。</w:t>
      </w:r>
    </w:p>
    <w:p w14:paraId="1E8DFECA">
      <w:pPr>
        <w:keepNext w:val="0"/>
        <w:keepLines w:val="0"/>
        <w:pageBreakBefore w:val="0"/>
        <w:topLinePunct w:val="0"/>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ascii="仿宋_GB2312" w:hAnsi="仿宋_GB2312" w:eastAsia="仿宋_GB2312" w:cs="仿宋_GB2312"/>
          <w:b/>
          <w:bCs/>
          <w:sz w:val="32"/>
          <w:szCs w:val="32"/>
        </w:rPr>
        <w:t>加强部门之间的协调配合。</w:t>
      </w:r>
      <w:r>
        <w:rPr>
          <w:rFonts w:ascii="仿宋_GB2312" w:hAnsi="仿宋_GB2312" w:eastAsia="仿宋_GB2312" w:cs="仿宋_GB2312"/>
          <w:sz w:val="32"/>
          <w:szCs w:val="32"/>
        </w:rPr>
        <w:t>建立健全部门之间的协调配合机制，明确各部门的职责分工，加强沟通协调，形成工作合力。对于涉及多个部门的执法工作，可成立联合执法小组，共同开展执法行动。</w:t>
      </w:r>
    </w:p>
    <w:p w14:paraId="26B0CA32">
      <w:pPr>
        <w:keepNext w:val="0"/>
        <w:keepLines w:val="0"/>
        <w:pageBreakBefore w:val="0"/>
        <w:widowControl/>
        <w:topLinePunct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zh-CN"/>
        </w:rPr>
        <w:t>四、</w:t>
      </w:r>
      <w:r>
        <w:rPr>
          <w:rFonts w:hint="eastAsia" w:ascii="黑体" w:hAnsi="黑体" w:eastAsia="黑体" w:cs="黑体"/>
          <w:sz w:val="32"/>
          <w:szCs w:val="32"/>
        </w:rPr>
        <w:t>下一年度推进</w:t>
      </w:r>
      <w:r>
        <w:rPr>
          <w:rFonts w:hint="eastAsia" w:ascii="黑体" w:hAnsi="黑体" w:eastAsia="黑体" w:cs="黑体"/>
          <w:sz w:val="32"/>
          <w:szCs w:val="32"/>
          <w:lang w:val="zh-CN"/>
        </w:rPr>
        <w:t>法治政府建设</w:t>
      </w:r>
      <w:r>
        <w:rPr>
          <w:rFonts w:hint="eastAsia" w:ascii="黑体" w:hAnsi="黑体" w:eastAsia="黑体" w:cs="黑体"/>
          <w:sz w:val="32"/>
          <w:szCs w:val="32"/>
        </w:rPr>
        <w:t>的初步安排</w:t>
      </w:r>
    </w:p>
    <w:p w14:paraId="3A7C2EE8">
      <w:pPr>
        <w:keepNext w:val="0"/>
        <w:keepLines w:val="0"/>
        <w:pageBreakBefore w:val="0"/>
        <w:topLinePunct w:val="0"/>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年，我镇将围绕以下几点开展</w:t>
      </w:r>
      <w:r>
        <w:rPr>
          <w:rFonts w:hint="eastAsia" w:ascii="仿宋_GB2312" w:hAnsi="仿宋_GB2312" w:eastAsia="仿宋_GB2312" w:cs="仿宋_GB2312"/>
          <w:sz w:val="32"/>
          <w:szCs w:val="32"/>
          <w:lang w:val="en-US" w:eastAsia="zh-CN"/>
        </w:rPr>
        <w:t>法治</w:t>
      </w:r>
      <w:r>
        <w:rPr>
          <w:rFonts w:hint="eastAsia" w:ascii="仿宋_GB2312" w:hAnsi="仿宋_GB2312" w:eastAsia="仿宋_GB2312" w:cs="仿宋_GB2312"/>
          <w:sz w:val="32"/>
          <w:szCs w:val="32"/>
        </w:rPr>
        <w:t>政府建设工作。</w:t>
      </w:r>
    </w:p>
    <w:p w14:paraId="1D5E1436">
      <w:pPr>
        <w:keepNext w:val="0"/>
        <w:keepLines w:val="0"/>
        <w:pageBreakBefore w:val="0"/>
        <w:topLinePunct w:val="0"/>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rPr>
        <w:t>继续以法治政府建设工作目标和要求为导向，形成工作合力，切实落实工作措施，共同提高法治政府建设的全面性、科学性和实效性。</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将组织对执行情况进行检查、督查和指导，狠抓落实，开展经常性检查和评价，寻找存在的新问题、新情况，提出解决的新思路、新举措。</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rPr>
        <w:t>进一步健全法治建设工作领导协调机制。镇党政主要领导定期牵头研究部署法治建设工作，将法治建设责任传导至班子成员、各</w:t>
      </w:r>
      <w:r>
        <w:rPr>
          <w:rFonts w:hint="eastAsia" w:ascii="仿宋_GB2312" w:hAnsi="仿宋_GB2312" w:eastAsia="仿宋_GB2312" w:cs="仿宋_GB2312"/>
          <w:sz w:val="32"/>
          <w:szCs w:val="32"/>
          <w:lang w:val="en-US" w:eastAsia="zh-CN"/>
        </w:rPr>
        <w:t>站</w:t>
      </w:r>
      <w:r>
        <w:rPr>
          <w:rFonts w:hint="eastAsia" w:ascii="仿宋_GB2312" w:hAnsi="仿宋_GB2312" w:eastAsia="仿宋_GB2312" w:cs="仿宋_GB2312"/>
          <w:sz w:val="32"/>
          <w:szCs w:val="32"/>
        </w:rPr>
        <w:t>办室及各村，定期听取法治建设有关工作汇报，及时研究解决有关重大问题。</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rPr>
        <w:t>持续</w:t>
      </w:r>
      <w:r>
        <w:rPr>
          <w:rFonts w:hint="eastAsia" w:ascii="仿宋_GB2312" w:hAnsi="仿宋_GB2312" w:eastAsia="仿宋_GB2312" w:cs="仿宋_GB2312"/>
          <w:sz w:val="32"/>
          <w:szCs w:val="32"/>
          <w:lang w:val="en-US" w:eastAsia="zh-CN"/>
        </w:rPr>
        <w:t>强化法治建设</w:t>
      </w:r>
      <w:r>
        <w:rPr>
          <w:rFonts w:hint="eastAsia" w:ascii="仿宋_GB2312" w:hAnsi="仿宋_GB2312" w:eastAsia="仿宋_GB2312" w:cs="仿宋_GB2312"/>
          <w:sz w:val="32"/>
          <w:szCs w:val="32"/>
        </w:rPr>
        <w:t>力度，提升全镇干部群众的法律素养，树立社会主义法治理念，提高依法管理的能力，规范决策、管理和服务行为，为全镇百姓生产生活提供了稳定环境，继续加强优化营商环境工作，服务市场主体，为我镇经济发展、乡村振兴提供强大支撑。</w:t>
      </w:r>
    </w:p>
    <w:p w14:paraId="79B6E1C1">
      <w:pPr>
        <w:pStyle w:val="2"/>
        <w:keepNext w:val="0"/>
        <w:keepLines w:val="0"/>
        <w:pageBreakBefore w:val="0"/>
        <w:topLinePunct w:val="0"/>
        <w:bidi w:val="0"/>
        <w:adjustRightInd/>
        <w:snapToGrid/>
        <w:spacing w:line="560" w:lineRule="exact"/>
        <w:ind w:left="0"/>
        <w:textAlignment w:val="auto"/>
      </w:pPr>
    </w:p>
    <w:p w14:paraId="46374658">
      <w:pPr>
        <w:pStyle w:val="2"/>
        <w:keepNext w:val="0"/>
        <w:keepLines w:val="0"/>
        <w:pageBreakBefore w:val="0"/>
        <w:topLinePunct w:val="0"/>
        <w:bidi w:val="0"/>
        <w:adjustRightInd/>
        <w:snapToGrid/>
        <w:spacing w:line="560" w:lineRule="exact"/>
        <w:ind w:left="0" w:firstLine="640" w:firstLineChars="200"/>
        <w:textAlignment w:val="auto"/>
        <w:rPr>
          <w:rFonts w:ascii="仿宋_GB2312" w:hAnsi="仿宋_GB2312" w:eastAsia="仿宋_GB2312" w:cs="仿宋_GB2312"/>
          <w:b w:val="0"/>
          <w:sz w:val="32"/>
          <w:szCs w:val="32"/>
        </w:rPr>
      </w:pPr>
      <w:r>
        <w:rPr>
          <w:rFonts w:hint="eastAsia" w:ascii="仿宋_GB2312" w:hAnsi="仿宋_GB2312" w:eastAsia="仿宋_GB2312" w:cs="仿宋_GB2312"/>
          <w:b w:val="0"/>
          <w:sz w:val="32"/>
          <w:szCs w:val="32"/>
        </w:rPr>
        <w:t>撰稿人：王天军</w:t>
      </w:r>
      <w:r>
        <w:rPr>
          <w:rFonts w:hint="eastAsia" w:ascii="仿宋_GB2312" w:hAnsi="仿宋_GB2312" w:eastAsia="仿宋_GB2312" w:cs="仿宋_GB2312"/>
          <w:b w:val="0"/>
          <w:sz w:val="32"/>
          <w:szCs w:val="32"/>
          <w:lang w:val="en-US" w:eastAsia="zh-CN"/>
        </w:rPr>
        <w:t xml:space="preserve">   </w:t>
      </w:r>
      <w:r>
        <w:rPr>
          <w:rFonts w:hint="eastAsia" w:ascii="仿宋_GB2312" w:hAnsi="仿宋_GB2312" w:eastAsia="仿宋_GB2312" w:cs="仿宋_GB2312"/>
          <w:b w:val="0"/>
          <w:sz w:val="32"/>
          <w:szCs w:val="32"/>
        </w:rPr>
        <w:t>联系电话：1</w:t>
      </w:r>
      <w:r>
        <w:rPr>
          <w:rFonts w:ascii="仿宋_GB2312" w:hAnsi="仿宋_GB2312" w:eastAsia="仿宋_GB2312" w:cs="仿宋_GB2312"/>
          <w:b w:val="0"/>
          <w:sz w:val="32"/>
          <w:szCs w:val="32"/>
        </w:rPr>
        <w:t>3949483900</w:t>
      </w:r>
    </w:p>
    <w:p w14:paraId="2504C87A">
      <w:pPr>
        <w:keepNext w:val="0"/>
        <w:keepLines w:val="0"/>
        <w:pageBreakBefore w:val="0"/>
        <w:topLinePunct w:val="0"/>
        <w:bidi w:val="0"/>
        <w:adjustRightInd/>
        <w:snapToGrid/>
        <w:spacing w:line="560" w:lineRule="exact"/>
        <w:textAlignment w:val="auto"/>
        <w:rPr>
          <w:rFonts w:hint="eastAsia"/>
        </w:rPr>
      </w:pPr>
    </w:p>
    <w:p w14:paraId="28E5C765">
      <w:pPr>
        <w:keepNext w:val="0"/>
        <w:keepLines w:val="0"/>
        <w:pageBreakBefore w:val="0"/>
        <w:wordWrap w:val="0"/>
        <w:topLinePunct w:val="0"/>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梁洼镇人民政府</w:t>
      </w:r>
      <w:r>
        <w:rPr>
          <w:rFonts w:hint="eastAsia" w:ascii="仿宋_GB2312" w:hAnsi="仿宋_GB2312" w:eastAsia="仿宋_GB2312" w:cs="仿宋_GB2312"/>
          <w:sz w:val="32"/>
          <w:szCs w:val="32"/>
          <w:lang w:val="en-US" w:eastAsia="zh-CN"/>
        </w:rPr>
        <w:t xml:space="preserve">   </w:t>
      </w:r>
    </w:p>
    <w:p w14:paraId="2983DD60">
      <w:pPr>
        <w:keepNext w:val="0"/>
        <w:keepLines w:val="0"/>
        <w:pageBreakBefore w:val="0"/>
        <w:topLinePunct w:val="0"/>
        <w:bidi w:val="0"/>
        <w:adjustRightInd/>
        <w:snapToGrid/>
        <w:spacing w:line="560" w:lineRule="exact"/>
        <w:ind w:right="320"/>
        <w:jc w:val="right"/>
        <w:textAlignment w:val="auto"/>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w:t>
      </w:r>
    </w:p>
    <w:sectPr>
      <w:footerReference r:id="rId3" w:type="default"/>
      <w:pgSz w:w="11906" w:h="16838"/>
      <w:pgMar w:top="2098" w:right="1587"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70B9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C1BBD0">
                          <w:pPr>
                            <w:pStyle w:val="5"/>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6C1BBD0">
                    <w:pPr>
                      <w:pStyle w:val="5"/>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007D4F14"/>
    <w:rsid w:val="001B16EE"/>
    <w:rsid w:val="00252516"/>
    <w:rsid w:val="003C2D07"/>
    <w:rsid w:val="004132CD"/>
    <w:rsid w:val="005136FC"/>
    <w:rsid w:val="00550B11"/>
    <w:rsid w:val="005A0828"/>
    <w:rsid w:val="00631BF3"/>
    <w:rsid w:val="007D4F14"/>
    <w:rsid w:val="008271E5"/>
    <w:rsid w:val="00863752"/>
    <w:rsid w:val="00A37BAB"/>
    <w:rsid w:val="00B23610"/>
    <w:rsid w:val="00B732AF"/>
    <w:rsid w:val="00B7744A"/>
    <w:rsid w:val="00CE3FBC"/>
    <w:rsid w:val="00D049F7"/>
    <w:rsid w:val="00EA0465"/>
    <w:rsid w:val="131F0ED5"/>
    <w:rsid w:val="1CB518A5"/>
    <w:rsid w:val="26FA111E"/>
    <w:rsid w:val="2ADE51ED"/>
    <w:rsid w:val="5F215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20"/>
    </w:pPr>
    <w:rPr>
      <w:rFonts w:ascii="等线" w:hAnsi="等线" w:eastAsia="等线"/>
      <w:b/>
      <w:sz w:val="30"/>
      <w:szCs w:val="30"/>
    </w:rPr>
  </w:style>
  <w:style w:type="paragraph" w:styleId="3">
    <w:name w:val="Body Text"/>
    <w:basedOn w:val="1"/>
    <w:next w:val="4"/>
    <w:qFormat/>
    <w:uiPriority w:val="99"/>
    <w:pPr>
      <w:spacing w:after="120"/>
    </w:pPr>
  </w:style>
  <w:style w:type="paragraph" w:customStyle="1" w:styleId="4">
    <w:name w:val="正文文本 21"/>
    <w:basedOn w:val="1"/>
    <w:qFormat/>
    <w:uiPriority w:val="0"/>
    <w:pPr>
      <w:spacing w:after="120" w:line="480"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页眉 Char"/>
    <w:basedOn w:val="9"/>
    <w:link w:val="6"/>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3471</Words>
  <Characters>3561</Characters>
  <Lines>26</Lines>
  <Paragraphs>7</Paragraphs>
  <TotalTime>7</TotalTime>
  <ScaleCrop>false</ScaleCrop>
  <LinksUpToDate>false</LinksUpToDate>
  <CharactersWithSpaces>3567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2025-01-09T01:34:00Z</dcterms:created>
  <dc:creator>Administrator</dc:creator>
  <cp:lastModifiedBy>姬佳乐15225015126</cp:lastModifiedBy>
  <dcterms:modified xsi:type="dcterms:W3CDTF">2026-03-02T02:02:52Z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8FD3E0A8475A492FAD1489B074C78A65_13</vt:lpwstr>
  </property>
  <property fmtid="{D5CDD505-2E9C-101B-9397-08002B2CF9AE}" pid="4" name="KSOTemplateDocerSaveRecord">
    <vt:lpwstr>eyJoZGlkIjoiMTkwN2UzNjI3Zjc2ZGY0ZWE1ZmQ3MTJiYTdiZTBjYjEiLCJ1c2VySWQiOiIxNDIyOTg5NzA0In0=</vt:lpwstr>
  </property>
</Properties>
</file>