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6A77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鲁山县民族宗教事务局</w:t>
      </w:r>
    </w:p>
    <w:p w14:paraId="264D8B8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关于</w:t>
      </w:r>
      <w:r>
        <w:rPr>
          <w:rFonts w:hint="eastAsia" w:ascii="方正小标宋_GBK" w:hAnsi="方正小标宋_GBK" w:eastAsia="方正小标宋_GBK" w:cs="方正小标宋_GBK"/>
          <w:sz w:val="44"/>
          <w:szCs w:val="44"/>
          <w:lang w:val="en-US" w:eastAsia="zh-CN"/>
        </w:rPr>
        <w:t>2025年法治政府建设情况的报告</w:t>
      </w:r>
    </w:p>
    <w:p w14:paraId="086E2034">
      <w:pPr>
        <w:jc w:val="center"/>
        <w:rPr>
          <w:rFonts w:hint="eastAsia" w:ascii="方正小标宋_GBK" w:hAnsi="方正小标宋_GBK" w:eastAsia="方正小标宋_GBK" w:cs="方正小标宋_GBK"/>
          <w:sz w:val="18"/>
          <w:szCs w:val="18"/>
          <w:lang w:val="en-US" w:eastAsia="zh-CN"/>
        </w:rPr>
      </w:pPr>
    </w:p>
    <w:p w14:paraId="02F819B5">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2025年，县民宗局深入学习贯彻习近平新</w:t>
      </w:r>
      <w:bookmarkStart w:id="0" w:name="_GoBack"/>
      <w:bookmarkEnd w:id="0"/>
      <w:r>
        <w:rPr>
          <w:rFonts w:hint="eastAsia" w:ascii="仿宋_GB2312" w:hAnsi="仿宋_GB2312" w:eastAsia="仿宋_GB2312" w:cs="仿宋_GB2312"/>
          <w:kern w:val="0"/>
          <w:sz w:val="32"/>
          <w:szCs w:val="32"/>
          <w:lang w:val="en-US" w:eastAsia="zh-CN" w:bidi="ar"/>
        </w:rPr>
        <w:t>时代中国特色社会主义思想，以习近平法治思想为根本遵循，紧扣民族宗教工作实际，扎实履行法治建设职责，规范行政行为，提升治理效能，切实将法治思维和法治方式融入民族宗教工作全过程、各环节，为全县民族宗教领域和谐稳定提供了坚实法治保障。现将本年度法治政府建设情况报告如下：</w:t>
      </w:r>
    </w:p>
    <w:p w14:paraId="0D1027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国标黑体" w:hAnsi="国标黑体" w:eastAsia="国标黑体" w:cs="国标黑体"/>
          <w:b w:val="0"/>
          <w:bCs w:val="0"/>
          <w:sz w:val="32"/>
          <w:szCs w:val="32"/>
        </w:rPr>
      </w:pPr>
      <w:r>
        <w:rPr>
          <w:rFonts w:hint="eastAsia" w:ascii="国标黑体" w:hAnsi="国标黑体" w:eastAsia="国标黑体" w:cs="国标黑体"/>
          <w:b w:val="0"/>
          <w:bCs w:val="0"/>
          <w:sz w:val="32"/>
          <w:szCs w:val="32"/>
        </w:rPr>
        <w:t>一、2025年度党政主要负责人履行推进法治建设第一责任人职责的情况</w:t>
      </w:r>
    </w:p>
    <w:p w14:paraId="3255D7B1">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主要负责人严格落实法治建设主体责任，做到守土有责、守土尽责，推动全局法治建设工作有序开展。</w:t>
      </w: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kern w:val="0"/>
          <w:sz w:val="32"/>
          <w:szCs w:val="32"/>
          <w:lang w:val="en-US" w:eastAsia="zh-CN" w:bidi="ar"/>
        </w:rPr>
        <w:t>压实法治工作责任。将法治建设纳入局党组重要议事日程，与民族宗教业务工作同部署、同推进、同落实、同考核。主要负责人定期召开党组会议专题研究法治建设工作，全年召开专题会议4次，解决法治宣传、执法规范等问题5项。</w:t>
      </w:r>
      <w:r>
        <w:rPr>
          <w:rFonts w:hint="eastAsia" w:ascii="仿宋_GB2312" w:hAnsi="仿宋_GB2312" w:eastAsia="仿宋_GB2312" w:cs="仿宋_GB2312"/>
          <w:b/>
          <w:bCs/>
          <w:kern w:val="0"/>
          <w:sz w:val="32"/>
          <w:szCs w:val="32"/>
          <w:lang w:val="en-US" w:eastAsia="zh-CN" w:bidi="ar"/>
        </w:rPr>
        <w:t>二是</w:t>
      </w:r>
      <w:r>
        <w:rPr>
          <w:rFonts w:hint="eastAsia" w:ascii="仿宋_GB2312" w:hAnsi="仿宋_GB2312" w:eastAsia="仿宋_GB2312" w:cs="仿宋_GB2312"/>
          <w:kern w:val="0"/>
          <w:sz w:val="32"/>
          <w:szCs w:val="32"/>
          <w:lang w:val="en-US" w:eastAsia="zh-CN" w:bidi="ar"/>
        </w:rPr>
        <w:t>带头践行法治理念。将习近平法治思想、民族宗教政策法规纳入党组理论学习中心组学习重点，全年主持开展法治专题学习4次，带头参与“宪法宣传周”、“铸牢中华民族共同体意识暨民族宗教政策法规宣传月”等活动，带头听取法治工作汇报，自觉运用法治思维和法治方式统筹推进民族宗教领域矛盾化解、场所管理等工作。</w:t>
      </w:r>
      <w:r>
        <w:rPr>
          <w:rFonts w:hint="eastAsia" w:ascii="仿宋_GB2312" w:hAnsi="仿宋_GB2312" w:eastAsia="仿宋_GB2312" w:cs="仿宋_GB2312"/>
          <w:b/>
          <w:bCs/>
          <w:kern w:val="0"/>
          <w:sz w:val="32"/>
          <w:szCs w:val="32"/>
          <w:lang w:val="en-US" w:eastAsia="zh-CN" w:bidi="ar"/>
        </w:rPr>
        <w:t>三是</w:t>
      </w:r>
      <w:r>
        <w:rPr>
          <w:rFonts w:hint="eastAsia" w:ascii="仿宋_GB2312" w:hAnsi="仿宋_GB2312" w:eastAsia="仿宋_GB2312" w:cs="仿宋_GB2312"/>
          <w:kern w:val="0"/>
          <w:sz w:val="32"/>
          <w:szCs w:val="32"/>
          <w:lang w:val="en-US" w:eastAsia="zh-CN" w:bidi="ar"/>
        </w:rPr>
        <w:t>健全依法决策机制。严格执行重大行政决策法定程序，完善党组议事规则和决策程序，健全单位法律顾问制度，对涉及民族宗教领域重大决策、重要规范性文件制定、重大执法决定等事项，均由法律顾问进行合法合规审查，确保决策合法合规、科学民主。</w:t>
      </w:r>
    </w:p>
    <w:p w14:paraId="7C368F8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国标黑体" w:hAnsi="国标黑体" w:eastAsia="国标黑体" w:cs="国标黑体"/>
          <w:b w:val="0"/>
          <w:bCs w:val="0"/>
          <w:sz w:val="32"/>
          <w:szCs w:val="32"/>
        </w:rPr>
      </w:pPr>
      <w:r>
        <w:rPr>
          <w:rFonts w:hint="eastAsia" w:ascii="国标黑体" w:hAnsi="国标黑体" w:eastAsia="国标黑体" w:cs="国标黑体"/>
          <w:b w:val="0"/>
          <w:bCs w:val="0"/>
          <w:sz w:val="32"/>
          <w:szCs w:val="32"/>
        </w:rPr>
        <w:t>二、2025年度推进法治政府建设的主要举措和成效</w:t>
      </w:r>
    </w:p>
    <w:p w14:paraId="299495C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（一）深化法治学习教育，筑牢依法行政思想根基</w:t>
      </w:r>
    </w:p>
    <w:p w14:paraId="49D7AFCC">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坚持把法治学习教育作为提升干部履职能力、规范行政行为的重要举措，多措并举推动学习教育走深走实。</w:t>
      </w: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kern w:val="0"/>
          <w:sz w:val="32"/>
          <w:szCs w:val="32"/>
          <w:lang w:val="en-US" w:eastAsia="zh-CN" w:bidi="ar"/>
        </w:rPr>
        <w:t>强化干部学法培训，将《宪法》《宗教事务条例》《河南省宗教事务条例》等法律法规纳入干部学习重点，通过“第一议题”、交流研讨、线上学习、集中培训等多种形式，开展全方位、多层次学法活动，全年组织集中学法4次、专题培训4次，参与干部累计达150余人次，切实提升干部法治素养和依法行政能力。积极申办行政执法证件，组织人员参加资格考试，本年度新增3名干部取得执法资格，目前全局行政执法人员均持证上岗。</w:t>
      </w:r>
      <w:r>
        <w:rPr>
          <w:rFonts w:hint="eastAsia" w:ascii="仿宋_GB2312" w:hAnsi="仿宋_GB2312" w:eastAsia="仿宋_GB2312" w:cs="仿宋_GB2312"/>
          <w:b/>
          <w:bCs/>
          <w:kern w:val="0"/>
          <w:sz w:val="32"/>
          <w:szCs w:val="32"/>
          <w:lang w:val="en-US" w:eastAsia="zh-CN" w:bidi="ar"/>
        </w:rPr>
        <w:t>二是</w:t>
      </w:r>
      <w:r>
        <w:rPr>
          <w:rFonts w:hint="eastAsia" w:ascii="仿宋_GB2312" w:hAnsi="仿宋_GB2312" w:eastAsia="仿宋_GB2312" w:cs="仿宋_GB2312"/>
          <w:kern w:val="0"/>
          <w:sz w:val="32"/>
          <w:szCs w:val="32"/>
          <w:lang w:val="en-US" w:eastAsia="zh-CN" w:bidi="ar"/>
        </w:rPr>
        <w:t>推进普法宣传全覆盖，落实“谁执法谁普法”责任制，结合“4·15”国家安全日、宪法宣传周、铸牢中华民族共同体意识暨民族宗教政策法规宣传月等重要节点，通过摆放展板、发放宣传资料、现场咨询、进村入户宣讲等形式，深入民族地区、宗教活动场所、村（社区）开展普法宣传活动，全年开展各类宣传活动15场次，发放宣传资料50000余份，解答群众咨询100余人次，有效提升各族群众和宗教界人士的法治意识。</w:t>
      </w:r>
      <w:r>
        <w:rPr>
          <w:rFonts w:hint="eastAsia" w:ascii="仿宋_GB2312" w:hAnsi="仿宋_GB2312" w:eastAsia="仿宋_GB2312" w:cs="仿宋_GB2312"/>
          <w:b/>
          <w:bCs/>
          <w:kern w:val="0"/>
          <w:sz w:val="32"/>
          <w:szCs w:val="32"/>
          <w:lang w:val="en-US" w:eastAsia="zh-CN" w:bidi="ar"/>
        </w:rPr>
        <w:t>三是</w:t>
      </w:r>
      <w:r>
        <w:rPr>
          <w:rFonts w:hint="eastAsia" w:ascii="仿宋_GB2312" w:hAnsi="仿宋_GB2312" w:eastAsia="仿宋_GB2312" w:cs="仿宋_GB2312"/>
          <w:kern w:val="0"/>
          <w:sz w:val="32"/>
          <w:szCs w:val="32"/>
          <w:lang w:val="en-US" w:eastAsia="zh-CN" w:bidi="ar"/>
        </w:rPr>
        <w:t>加强宗教界法治教育，结合“学法规、守戒律、重修为、树形象”教育活动组织宗教活动场所负责人、教职人员开展法治培训4场次，覆盖800余人次，引导宗教界人士自觉学习法律法规、遵守法律法规，依法开展宗教活动、管理宗教事务，推动宗教中国化与法治建设深度融合。</w:t>
      </w:r>
    </w:p>
    <w:p w14:paraId="3F300934">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（二）规范行政行为，提升依法行政规范化水平</w:t>
      </w:r>
    </w:p>
    <w:p w14:paraId="22F4F5EC">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kern w:val="0"/>
          <w:sz w:val="32"/>
          <w:szCs w:val="32"/>
          <w:lang w:val="en-US" w:eastAsia="zh-CN" w:bidi="ar"/>
        </w:rPr>
        <w:t>严格规范行政执法，全面推行行政执法“三项制度”，实现执法全过程记录、重大执法决定法制审核、执法信息公示全覆盖。严格落实执法证件管理制度，规范行政执法文书填写，不定期开展执法案卷抽查，提升案卷质量。创新执法方式，注重运用说服教育、劝导示范、警示告诫等方式，做到宽严相济、法理相融，全年开展行政执法检查10余次，均做到程序合法、处置适当。</w:t>
      </w:r>
      <w:r>
        <w:rPr>
          <w:rFonts w:hint="eastAsia" w:ascii="仿宋_GB2312" w:hAnsi="仿宋_GB2312" w:eastAsia="仿宋_GB2312" w:cs="仿宋_GB2312"/>
          <w:b/>
          <w:bCs/>
          <w:kern w:val="0"/>
          <w:sz w:val="32"/>
          <w:szCs w:val="32"/>
          <w:lang w:val="en-US" w:eastAsia="zh-CN" w:bidi="ar"/>
        </w:rPr>
        <w:t>二是</w:t>
      </w:r>
      <w:r>
        <w:rPr>
          <w:rFonts w:hint="eastAsia" w:ascii="仿宋_GB2312" w:hAnsi="仿宋_GB2312" w:eastAsia="仿宋_GB2312" w:cs="仿宋_GB2312"/>
          <w:kern w:val="0"/>
          <w:sz w:val="32"/>
          <w:szCs w:val="32"/>
          <w:lang w:val="en-US" w:eastAsia="zh-CN" w:bidi="ar"/>
        </w:rPr>
        <w:t>优化政务服务效能，简化行政审批流程，压缩办理时限。协助</w:t>
      </w:r>
      <w:r>
        <w:rPr>
          <w:rFonts w:hint="eastAsia" w:ascii="仿宋_GB2312" w:hAnsi="仿宋_GB2312" w:eastAsia="仿宋_GB2312" w:cs="仿宋_GB2312"/>
          <w:sz w:val="32"/>
          <w:szCs w:val="32"/>
        </w:rPr>
        <w:t>完成民族成分变更3起。</w:t>
      </w:r>
      <w:r>
        <w:rPr>
          <w:rFonts w:hint="eastAsia" w:ascii="仿宋_GB2312" w:hAnsi="仿宋_GB2312" w:eastAsia="仿宋_GB2312" w:cs="仿宋_GB2312"/>
          <w:sz w:val="32"/>
          <w:szCs w:val="32"/>
          <w:lang w:val="en-US" w:eastAsia="zh-CN"/>
        </w:rPr>
        <w:t>办理清真牌证19家（办理A证1个、B证14个、C证4个）</w:t>
      </w:r>
      <w:r>
        <w:rPr>
          <w:rFonts w:hint="eastAsia" w:ascii="仿宋_GB2312" w:hAnsi="仿宋_GB2312" w:eastAsia="仿宋_GB2312" w:cs="仿宋_GB2312"/>
          <w:kern w:val="0"/>
          <w:sz w:val="32"/>
          <w:szCs w:val="32"/>
          <w:lang w:val="en-US" w:eastAsia="zh-CN" w:bidi="ar"/>
        </w:rPr>
        <w:t>全年办结率100%，群众满意度达100%以上。</w:t>
      </w:r>
    </w:p>
    <w:p w14:paraId="4FFD0CF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国标仿宋-GB/T 2312" w:hAnsi="国标仿宋-GB/T 2312" w:eastAsia="国标仿宋-GB/T 2312" w:cs="国标仿宋-GB/T 2312"/>
          <w:sz w:val="32"/>
          <w:szCs w:val="32"/>
        </w:rPr>
      </w:pPr>
      <w:r>
        <w:rPr>
          <w:rFonts w:hint="eastAsia" w:ascii="国标仿宋-GB/T 2312" w:hAnsi="国标仿宋-GB/T 2312" w:eastAsia="国标仿宋-GB/T 2312" w:cs="国标仿宋-GB/T 2312"/>
          <w:sz w:val="32"/>
          <w:szCs w:val="32"/>
        </w:rPr>
        <w:t>（三）强化依法治理，维护民族宗教领域和谐稳定</w:t>
      </w:r>
    </w:p>
    <w:p w14:paraId="148B7AD8">
      <w:pPr>
        <w:keepNext w:val="0"/>
        <w:keepLines w:val="0"/>
        <w:pageBreakBefore w:val="0"/>
        <w:widowControl/>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lang w:val="en-US" w:eastAsia="zh-CN" w:bidi="ar"/>
        </w:rPr>
        <w:t>一是</w:t>
      </w:r>
      <w:r>
        <w:rPr>
          <w:rFonts w:hint="eastAsia" w:ascii="仿宋_GB2312" w:hAnsi="仿宋_GB2312" w:eastAsia="仿宋_GB2312" w:cs="仿宋_GB2312"/>
          <w:kern w:val="0"/>
          <w:sz w:val="32"/>
          <w:szCs w:val="32"/>
          <w:lang w:val="en-US" w:eastAsia="zh-CN" w:bidi="ar"/>
        </w:rPr>
        <w:t>深化民族领域依法治理，坚持民族平等、民族团结、民族互助原则，依法保障少数民族群众合法权益，排查化解民族领域矛盾纠纷，全年排查化解各类矛盾纠纷2起，化解率100%，推动各民族交往交流交融，铸牢中华民族共同体意识。</w:t>
      </w:r>
      <w:r>
        <w:rPr>
          <w:rFonts w:hint="eastAsia" w:ascii="仿宋_GB2312" w:hAnsi="仿宋_GB2312" w:eastAsia="仿宋_GB2312" w:cs="仿宋_GB2312"/>
          <w:b/>
          <w:bCs/>
          <w:kern w:val="0"/>
          <w:sz w:val="32"/>
          <w:szCs w:val="32"/>
          <w:lang w:val="en-US" w:eastAsia="zh-CN" w:bidi="ar"/>
        </w:rPr>
        <w:t>二是</w:t>
      </w:r>
      <w:r>
        <w:rPr>
          <w:rFonts w:hint="eastAsia" w:ascii="仿宋_GB2312" w:hAnsi="仿宋_GB2312" w:eastAsia="仿宋_GB2312" w:cs="仿宋_GB2312"/>
          <w:b w:val="0"/>
          <w:bCs w:val="0"/>
          <w:kern w:val="0"/>
          <w:sz w:val="32"/>
          <w:szCs w:val="32"/>
          <w:lang w:val="en-US" w:eastAsia="zh-CN" w:bidi="ar"/>
        </w:rPr>
        <w:t>结合宗教事务治理专项行动，</w:t>
      </w:r>
      <w:r>
        <w:rPr>
          <w:rFonts w:hint="eastAsia" w:ascii="仿宋_GB2312" w:hAnsi="仿宋_GB2312" w:eastAsia="仿宋_GB2312" w:cs="仿宋_GB2312"/>
          <w:kern w:val="0"/>
          <w:sz w:val="32"/>
          <w:szCs w:val="32"/>
          <w:lang w:val="en-US" w:eastAsia="zh-CN" w:bidi="ar"/>
        </w:rPr>
        <w:t>规范宗教领域依法管理。严格按照法律法规管理宗教活动场所、宗教教职人员和宗教活动，开展宗教事务专项治理，重点排查整治安全隐患、非法宗教活动等问题，规范宗教活动场所财务管理、消防安全管理等工作，提升宗教活动场所规范化管理水平。发挥基层网格作用，建立联防联控长效机制，依法查处非法传教1起并进行了严厉打击，形成有效震慑。</w:t>
      </w:r>
      <w:r>
        <w:rPr>
          <w:rFonts w:hint="eastAsia" w:ascii="仿宋_GB2312" w:hAnsi="仿宋_GB2312" w:eastAsia="仿宋_GB2312" w:cs="仿宋_GB2312"/>
          <w:sz w:val="32"/>
          <w:szCs w:val="32"/>
          <w:lang w:val="en-US" w:eastAsia="zh-CN"/>
        </w:rPr>
        <w:t>做好重点场所风险管控，指导清真寺配齐</w:t>
      </w:r>
      <w:r>
        <w:rPr>
          <w:rFonts w:hint="eastAsia" w:ascii="仿宋_GB2312" w:hAnsi="仿宋_GB2312" w:eastAsia="仿宋_GB2312" w:cs="仿宋_GB2312"/>
          <w:sz w:val="32"/>
          <w:szCs w:val="32"/>
        </w:rPr>
        <w:t>反恐器械，</w:t>
      </w:r>
      <w:r>
        <w:rPr>
          <w:rFonts w:hint="eastAsia" w:ascii="仿宋_GB2312" w:hAnsi="仿宋_GB2312" w:eastAsia="仿宋_GB2312" w:cs="仿宋_GB2312"/>
          <w:sz w:val="32"/>
          <w:szCs w:val="32"/>
          <w:lang w:val="en-US" w:eastAsia="zh-CN"/>
        </w:rPr>
        <w:t>完善</w:t>
      </w:r>
      <w:r>
        <w:rPr>
          <w:rFonts w:hint="eastAsia" w:ascii="仿宋_GB2312" w:hAnsi="仿宋_GB2312" w:eastAsia="仿宋_GB2312" w:cs="仿宋_GB2312"/>
          <w:sz w:val="32"/>
          <w:szCs w:val="32"/>
        </w:rPr>
        <w:t>反恐应急预案，</w:t>
      </w:r>
      <w:r>
        <w:rPr>
          <w:rFonts w:hint="eastAsia" w:ascii="仿宋_GB2312" w:hAnsi="仿宋_GB2312" w:eastAsia="仿宋_GB2312" w:cs="仿宋_GB2312"/>
          <w:b w:val="0"/>
          <w:bCs w:val="0"/>
          <w:sz w:val="32"/>
          <w:szCs w:val="32"/>
          <w:lang w:val="en-US" w:eastAsia="zh-CN"/>
        </w:rPr>
        <w:t>做好伊斯兰教开斋节、古尔邦节等重大节日安全保障工作，加强朝觐人员教育管理，2025年组织伊斯兰教信教群众参加朝觐5人，安全归国5人。开展反恐反暴应急处突演练2次，集中宣传1次。</w:t>
      </w:r>
    </w:p>
    <w:p w14:paraId="60F56FE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国标黑体" w:hAnsi="国标黑体" w:eastAsia="国标黑体" w:cs="国标黑体"/>
          <w:b w:val="0"/>
          <w:bCs w:val="0"/>
          <w:sz w:val="32"/>
          <w:szCs w:val="32"/>
        </w:rPr>
      </w:pPr>
      <w:r>
        <w:rPr>
          <w:rFonts w:hint="eastAsia" w:ascii="国标黑体" w:hAnsi="国标黑体" w:eastAsia="国标黑体" w:cs="国标黑体"/>
          <w:b w:val="0"/>
          <w:bCs w:val="0"/>
          <w:sz w:val="32"/>
          <w:szCs w:val="32"/>
        </w:rPr>
        <w:t>三、2025年度推进法治政府建设存在的不足、原因和问题整改情况</w:t>
      </w:r>
    </w:p>
    <w:p w14:paraId="4B1435D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（一）存在的不足</w:t>
      </w:r>
    </w:p>
    <w:p w14:paraId="09A4F5B1">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宣传的形式和成效有待提升。对少数民族群众、宗教界人士和群众的普法宣传形式较为单一，多以发放资料、现场宣讲为主，精准普法、个性化普法不足，普法成效有待进一步提升，部分群体遇事找法、解决问题靠法的思想树得不够牢。</w:t>
      </w:r>
    </w:p>
    <w:p w14:paraId="5177E099">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2.执法队伍力量薄弱。全局持证执法人员占比不高，专业执法能力参差不齐，缺乏专门法治工作机构，与当前法治工作任务不相匹配。</w:t>
      </w:r>
    </w:p>
    <w:p w14:paraId="0D082C42">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法治与业务融合不够深入。部分工作中仍存在重业务、轻法治的倾向，将法治建设与民族宗教业务工作深度融合的力度不足，运用法治手段破解民族宗教领域难点问题的能力有待提升，学用“两张皮”现象在一定范围内存在。</w:t>
      </w:r>
    </w:p>
    <w:p w14:paraId="21A9356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（二）原因分析</w:t>
      </w:r>
    </w:p>
    <w:p w14:paraId="2FF1C70F">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思想认识不够深刻。部分干部对法治政府建设的重要性、紧迫性认识不足，没有充分认识到法治建设是推动民族宗教工作高质量发展的重要保障，存在重业务、轻法治的思想，主动学习法治知识、践行法治理念的自觉性不够。</w:t>
      </w:r>
    </w:p>
    <w:p w14:paraId="2A5D40CB">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2.队伍建设有待加强。法治工作队伍人员配备不足，专业素养不高，缺乏系统的法治培训和实战锻炼，难以适应新形势下民族宗教法治工作的复杂任务。</w:t>
      </w:r>
    </w:p>
    <w:p w14:paraId="02F40947">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整改情况：扎实推进法治建设工作，系统性、针对性的谋划法治建设工作，注重加强对法治学习教育、行政执法规范化、法治与业务融合等工作的推进力度。同时，完善监督考核机制从而推动工作落实。</w:t>
      </w:r>
    </w:p>
    <w:p w14:paraId="541C2D5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国标黑体" w:hAnsi="国标黑体" w:eastAsia="国标黑体" w:cs="国标黑体"/>
          <w:b w:val="0"/>
          <w:bCs w:val="0"/>
          <w:sz w:val="32"/>
          <w:szCs w:val="32"/>
        </w:rPr>
      </w:pPr>
      <w:r>
        <w:rPr>
          <w:rFonts w:hint="eastAsia" w:ascii="国标黑体" w:hAnsi="国标黑体" w:eastAsia="国标黑体" w:cs="国标黑体"/>
          <w:b w:val="0"/>
          <w:bCs w:val="0"/>
          <w:sz w:val="32"/>
          <w:szCs w:val="32"/>
        </w:rPr>
        <w:t>四、下一年度推进法治政府建设的主要工作安排</w:t>
      </w:r>
    </w:p>
    <w:p w14:paraId="045F86B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一）全面压实法治建设责任</w:t>
      </w:r>
    </w:p>
    <w:p w14:paraId="5329B308">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严格落实主要负责人法治建设第一责任人职责，健全班子成员“一岗双责”履职机制，将法治建设与民族宗教业务工作同部署、同推进、同考核。严格执行依法行政责任制，细化执法责任清单，明确履职标准与问责情形，着力打造一支政治合格、精通法律、规范执法、文明有礼的民族宗教行政执法队伍，筑牢法治建设组织根基。</w:t>
      </w:r>
    </w:p>
    <w:p w14:paraId="308D4FD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（二）持续加大规范执法力度</w:t>
      </w:r>
    </w:p>
    <w:p w14:paraId="55A41745">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紧扣民族宗教领域法律法规及政策要求，常态化强化行政执法队伍专业化建设，通过专题培训、案例研讨等方式提升执法人员履职能力。深化民族宗教工作协调机制效能，加强与成员单位的协同联动，健全联合执法工作流程，明确各方职责分工、细化协作举措，打破工作壁垒、凝聚执法合力，推动民族宗教领域法治化建设稳步提质、落地见效。</w:t>
      </w:r>
    </w:p>
    <w:p w14:paraId="02F0585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（三）着力提升法治宣传质效</w:t>
      </w:r>
    </w:p>
    <w:p w14:paraId="5195DEF0">
      <w:pPr>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结合民族宗教工作特点及受众群体实际，精准划定法治宣传重点，聚焦民族宗教领域核心法律法规、政策条款及典型案例。创新丰富宣传形式，兼顾多样性与可操作性，综合运用线下宣讲、阵地宣传、新媒体推送等方式，让法治宣传更接地气、更具感染力，推动法治理念深入人心，引导相关群体自觉尊法学法守法用法。</w:t>
      </w:r>
    </w:p>
    <w:p w14:paraId="2ADBC9CB"/>
    <w:sectPr>
      <w:footerReference r:id="rId3" w:type="default"/>
      <w:pgSz w:w="11906" w:h="16838"/>
      <w:pgMar w:top="2098" w:right="1587"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国标仿宋-GB/T 2312">
    <w:altName w:val="仿宋"/>
    <w:panose1 w:val="020005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7DF6CDC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9689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7F5FB8">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257F5FB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512D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widowControl w:val="0"/>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next w:val="1"/>
    <w:unhideWhenUsed/>
    <w:qFormat/>
    <w:uiPriority w:val="0"/>
    <w:pPr>
      <w:widowControl w:val="0"/>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2026-07-21T08:59:49Z</dcterms:created>
  <dc:creator>86188</dc:creator>
  <cp:lastModifiedBy>盼盼</cp:lastModifiedBy>
  <dcterms:modified xsi:type="dcterms:W3CDTF">2026-07-21T09:00:14Z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eyJoZGlkIjoiNDg3OTVmNjNlZWMzNjc2YjE5YTgwMjNhODA3MTQ4ZTMiLCJ1c2VySWQiOiI0MDkzNDY5NDQifQ==</vt:lpwstr>
  </property>
  <property fmtid="{D5CDD505-2E9C-101B-9397-08002B2CF9AE}" pid="4" name="ICV">
    <vt:lpwstr>E25DE3835F41447BB443855A29B91CF1_12</vt:lpwstr>
  </property>
</Properties>
</file>