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鲁山县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琴台街道办事处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法治政府建设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情况的报告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年，琴台街道办事处</w:t>
      </w:r>
      <w:r>
        <w:rPr>
          <w:rFonts w:hint="eastAsia" w:ascii="仿宋_GB2312" w:hAnsi="仿宋_GB2312" w:eastAsia="仿宋_GB2312" w:cs="仿宋_GB2312"/>
          <w:lang w:eastAsia="zh-CN"/>
        </w:rPr>
        <w:t>在县委县政府的坚强领导下，在县依法治县办的精心指导下</w:t>
      </w:r>
      <w:r>
        <w:rPr>
          <w:rFonts w:hint="eastAsia"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  <w:lang w:eastAsia="zh-CN"/>
        </w:rPr>
        <w:t>深入学习贯彻习近平法治思想，严格落实《河南省法治政府建设与责任落实督察工作实施办法》及省、市、县相关工作要求</w:t>
      </w:r>
      <w:r>
        <w:rPr>
          <w:rFonts w:hint="eastAsia" w:ascii="仿宋_GB2312" w:hAnsi="仿宋_GB2312" w:eastAsia="仿宋_GB2312" w:cs="仿宋_GB2312"/>
        </w:rPr>
        <w:t>，积极推进依法行政，不断提高法治建设水平，为街道经济社会发展创造了良好的法治环境。现将本年度法治政府建设工作</w:t>
      </w:r>
      <w:r>
        <w:rPr>
          <w:rFonts w:hint="eastAsia" w:ascii="仿宋_GB2312" w:hAnsi="仿宋_GB2312" w:eastAsia="仿宋_GB2312" w:cs="仿宋_GB2312"/>
          <w:lang w:eastAsia="zh-CN"/>
        </w:rPr>
        <w:t>情况报告</w:t>
      </w:r>
      <w:r>
        <w:rPr>
          <w:rFonts w:hint="eastAsia" w:ascii="仿宋_GB2312" w:hAnsi="仿宋_GB2312" w:eastAsia="仿宋_GB2312" w:cs="仿宋_GB231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一、</w:t>
      </w:r>
      <w:r>
        <w:rPr>
          <w:rFonts w:hint="eastAsia" w:ascii="黑体" w:hAnsi="黑体" w:eastAsia="黑体" w:cs="黑体"/>
          <w:lang w:eastAsia="zh-CN"/>
        </w:rPr>
        <w:t>2025年度党政主要负责人履行推进法治建设第一责任人职责的情况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街道党政主要负责人切实扛起法治建设政治责任，严格落实《党政主要负责人履行推进法治政府建设第一责任人职责规定》，将法治政府建设纳入街道年度总体工作布局，与中心工作同部署、同推进、同考核、同奖惩，构建“一把手抓总、分管领导牵头、各科室社区协同、全员抓落实”的工作格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高位统筹谋划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</w:rPr>
        <w:t>压实工作责任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将习近平法治思想纳入党工委理论学习中心组年度学习计划，全年组织专题学习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</w:rPr>
        <w:t>次，开展党政班子法治研讨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</w:rPr>
        <w:t>次，引领全体干部深学笃行法治理念。主持召开法治建设专题党工委会议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</w:rPr>
        <w:t>次，专题研究法治政府建设规划、综合执法改革、矛盾纠纷化解等关键工作，解决执法阵地建设、普法资源配置等难点问题</w:t>
      </w:r>
      <w:r>
        <w:rPr>
          <w:rFonts w:hint="eastAsia" w:ascii="仿宋_GB2312" w:hAnsi="仿宋_GB2312" w:eastAsia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个</w:t>
      </w:r>
      <w:r>
        <w:rPr>
          <w:rFonts w:hint="eastAsia" w:ascii="仿宋_GB2312" w:hAnsi="仿宋_GB2312" w:eastAsia="仿宋_GB2312" w:cs="仿宋_GB2312"/>
          <w:lang w:eastAsia="zh-CN"/>
        </w:rPr>
        <w:t>，并</w:t>
      </w:r>
      <w:r>
        <w:rPr>
          <w:rFonts w:hint="eastAsia" w:ascii="仿宋_GB2312" w:hAnsi="仿宋_GB2312" w:eastAsia="仿宋_GB2312" w:cs="仿宋_GB2312"/>
        </w:rPr>
        <w:t>把法治素养和依法履职情况作为干部考核评优、晋升提拔的重要依据，形成鲜明工作导向。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带头依法履职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</w:rPr>
        <w:t>规范决策行为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党政主要负责人带头尊法学法守法用法，全程参与辖区重大项目建设、老旧小区改造等“三重一大”事项决策，全年牵头开展重大涉法事项合法性审查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</w:rPr>
        <w:t>次，确保所有决策于法有据、程序合规。带头深入基层调研法治建设工作，实地走访社区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个、辖区企业及商户</w:t>
      </w:r>
      <w:r>
        <w:rPr>
          <w:rFonts w:hint="eastAsia" w:ascii="仿宋_GB2312" w:hAnsi="仿宋_GB2312" w:eastAsia="仿宋_GB2312" w:cs="仿宋_GB231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</w:rPr>
        <w:t>家，收集并解决企业经营合规、群众法律服务等法治诉求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强化督导落实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</w:rPr>
        <w:t>推动闭环管理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建立“一把手抓一把手”责任传导机制，组织各社区负责人开展年度述法活动，现场点评整改法治建设落实不到位问题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个。牵头成立由纪工委、司法所组成的法治政府建设督查组，全年开展专项督查4次，重点检查普法宣传落实、矛盾化解等工作。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</w:rPr>
        <w:t>二、</w:t>
      </w:r>
      <w:r>
        <w:rPr>
          <w:rFonts w:hint="eastAsia" w:ascii="黑体" w:hAnsi="黑体" w:eastAsia="黑体" w:cs="黑体"/>
          <w:lang w:val="en-US" w:eastAsia="zh-CN"/>
        </w:rPr>
        <w:t>2</w:t>
      </w:r>
      <w:r>
        <w:rPr>
          <w:rFonts w:hint="eastAsia" w:ascii="黑体" w:hAnsi="黑体" w:eastAsia="黑体" w:cs="黑体"/>
        </w:rPr>
        <w:t>025年度推进法治政府建设的主要举措和成效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t>健全依法决策体系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  <w:lang w:eastAsia="zh-CN"/>
        </w:rPr>
        <w:t>提升决策规范水平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修订完善</w:t>
      </w:r>
      <w:r>
        <w:rPr>
          <w:rFonts w:hint="eastAsia" w:ascii="仿宋_GB2312" w:hAnsi="仿宋_GB2312" w:eastAsia="仿宋_GB2312" w:cs="仿宋_GB2312"/>
        </w:rPr>
        <w:t>《琴台街道重大行政决策程序规定》，明确重大行政决策的范围、程序和责任，确保重大行政决策科学、民主、合法。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</w:rPr>
        <w:t> 加强规范性文件管理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  <w:lang w:eastAsia="zh-CN"/>
        </w:rPr>
        <w:t>助推法治政府建设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严格按照规范性文件制定程序，对街道制定的规范性文件进行合法性审查，确保规范性文件内容合法、程序规范。同时，定期对规范性文件进行清理，及时废止不符合法律法规和政策规定的规范性文件</w:t>
      </w:r>
      <w:r>
        <w:rPr>
          <w:rFonts w:hint="eastAsia" w:ascii="仿宋_GB2312" w:hAnsi="仿宋_GB2312" w:eastAsia="仿宋_GB2312" w:cs="仿宋_GB2312"/>
          <w:lang w:eastAsia="zh-CN"/>
        </w:rPr>
        <w:t>，全年共清理（废止）</w:t>
      </w:r>
      <w:r>
        <w:rPr>
          <w:rFonts w:hint="eastAsia" w:ascii="仿宋_GB2312" w:hAnsi="仿宋_GB2312" w:eastAsia="仿宋_GB2312" w:cs="仿宋_GB2312"/>
          <w:lang w:val="en-US" w:eastAsia="zh-CN"/>
        </w:rPr>
        <w:t>2份规范性文件</w:t>
      </w:r>
      <w:r>
        <w:rPr>
          <w:rFonts w:hint="eastAsia" w:ascii="仿宋_GB2312" w:hAnsi="仿宋_GB2312" w:eastAsia="仿宋_GB2312" w:cs="仿宋_GB231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t>构建多元解纷机制</w:t>
      </w:r>
      <w:r>
        <w:rPr>
          <w:rFonts w:hint="eastAsia" w:ascii="楷体" w:hAnsi="楷体" w:eastAsia="楷体" w:cs="楷体"/>
          <w:lang w:val="en-US" w:eastAsia="zh-CN"/>
        </w:rPr>
        <w:t>，</w:t>
      </w:r>
      <w:r>
        <w:rPr>
          <w:rFonts w:hint="eastAsia" w:ascii="楷体" w:hAnsi="楷体" w:eastAsia="楷体" w:cs="楷体"/>
          <w:lang w:eastAsia="zh-CN"/>
        </w:rPr>
        <w:t>提升基层治理效能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深化新时代“枫桥经验”基层实践，整合司法所、社区调解室、网格员等资源，构建“街道-社区-网格”三级矛盾纠纷调解体系，配备专兼职人民调解员</w:t>
      </w:r>
      <w:r>
        <w:rPr>
          <w:rFonts w:hint="eastAsia" w:ascii="仿宋_GB2312" w:hAnsi="仿宋_GB2312" w:eastAsia="仿宋_GB2312" w:cs="仿宋_GB231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</w:rPr>
        <w:t>名、网格法治联络员</w:t>
      </w:r>
      <w:r>
        <w:rPr>
          <w:rFonts w:hint="eastAsia" w:ascii="仿宋_GB2312" w:hAnsi="仿宋_GB2312" w:eastAsia="仿宋_GB2312" w:cs="仿宋_GB2312"/>
          <w:lang w:val="en-US" w:eastAsia="zh-CN"/>
        </w:rPr>
        <w:t>84</w:t>
      </w:r>
      <w:r>
        <w:rPr>
          <w:rFonts w:hint="eastAsia" w:ascii="仿宋_GB2312" w:hAnsi="仿宋_GB2312" w:eastAsia="仿宋_GB2312" w:cs="仿宋_GB2312"/>
        </w:rPr>
        <w:t>名，实现矛盾纠纷源头排查、就地化解</w:t>
      </w:r>
      <w:r>
        <w:rPr>
          <w:rFonts w:hint="eastAsia" w:ascii="仿宋_GB2312" w:hAnsi="仿宋_GB2312" w:eastAsia="仿宋_GB2312" w:cs="仿宋_GB2312"/>
          <w:lang w:eastAsia="zh-CN"/>
        </w:rPr>
        <w:t>，全年化解各类纠纷</w:t>
      </w:r>
      <w:r>
        <w:rPr>
          <w:rFonts w:hint="eastAsia" w:ascii="仿宋_GB2312" w:hAnsi="仿宋_GB2312" w:eastAsia="仿宋_GB2312" w:cs="仿宋_GB2312"/>
          <w:lang w:val="en-US" w:eastAsia="zh-CN"/>
        </w:rPr>
        <w:t>365件，化解率达98%以上</w:t>
      </w:r>
      <w:r>
        <w:rPr>
          <w:rFonts w:hint="eastAsia" w:ascii="仿宋_GB2312" w:hAnsi="仿宋_GB2312" w:eastAsia="仿宋_GB2312" w:cs="仿宋_GB231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强化普法宣传教育，营造崇法尚治氛围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eastAsia="zh-CN"/>
        </w:rPr>
        <w:t>严格落实“八五”普法规划，构建“线上</w:t>
      </w:r>
      <w:r>
        <w:rPr>
          <w:rFonts w:hint="eastAsia" w:ascii="仿宋_GB2312" w:hAnsi="仿宋_GB2312" w:eastAsia="仿宋_GB2312" w:cs="仿宋_GB2312"/>
          <w:lang w:val="en-US" w:eastAsia="zh-CN"/>
        </w:rPr>
        <w:t>+线下</w:t>
      </w:r>
      <w:r>
        <w:rPr>
          <w:rFonts w:hint="eastAsia" w:ascii="仿宋_GB2312" w:hAnsi="仿宋_GB2312" w:eastAsia="仿宋_GB2312" w:cs="仿宋_GB2312"/>
          <w:lang w:eastAsia="zh-CN"/>
        </w:rPr>
        <w:t>”多维普法矩阵，推动法制宣传教育走深走实。线下依托</w:t>
      </w:r>
      <w:r>
        <w:rPr>
          <w:rFonts w:hint="eastAsia" w:ascii="仿宋_GB2312" w:hAnsi="仿宋_GB2312" w:eastAsia="仿宋_GB2312" w:cs="仿宋_GB2312"/>
        </w:rPr>
        <w:t>“国家宪法日”“全国法制宣传日”等重要时间节点，组织开展形式多样的法治宣传活动</w:t>
      </w:r>
      <w:r>
        <w:rPr>
          <w:rFonts w:hint="eastAsia" w:ascii="仿宋_GB2312" w:hAnsi="仿宋_GB2312" w:eastAsia="仿宋_GB2312" w:cs="仿宋_GB2312"/>
          <w:lang w:val="en-US" w:eastAsia="zh-CN"/>
        </w:rPr>
        <w:t>12场</w:t>
      </w:r>
      <w:r>
        <w:rPr>
          <w:rFonts w:hint="eastAsia" w:ascii="仿宋_GB2312" w:hAnsi="仿宋_GB2312" w:eastAsia="仿宋_GB2312" w:cs="仿宋_GB2312"/>
        </w:rPr>
        <w:t>，通过发放宣传资料、举办法律知识讲座、开展法律咨询等形式，向广大居民群众宣传宪法、法律知识，提高全民法治意识。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eastAsia="zh-CN"/>
        </w:rPr>
        <w:t>三</w:t>
      </w:r>
      <w:r>
        <w:rPr>
          <w:rFonts w:hint="eastAsia" w:ascii="黑体" w:hAnsi="黑体" w:eastAsia="黑体" w:cs="黑体"/>
        </w:rPr>
        <w:t>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2025年琴台街道在推进法治政府建设工作取得一定成效，但客观上也存在一些不足，例如：</w:t>
      </w:r>
      <w:r>
        <w:rPr>
          <w:rFonts w:hint="eastAsia" w:ascii="仿宋_GB2312" w:hAnsi="仿宋_GB2312" w:eastAsia="仿宋_GB2312" w:cs="仿宋_GB2312"/>
        </w:rPr>
        <w:t>法治政府建设工作进展不平衡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  <w:r>
        <w:rPr>
          <w:rFonts w:hint="eastAsia" w:ascii="仿宋_GB2312" w:hAnsi="仿宋_GB2312" w:eastAsia="仿宋_GB2312" w:cs="仿宋_GB2312"/>
        </w:rPr>
        <w:t>法治宣教工作质效不优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</w:rPr>
        <w:t>个别部门和社区对法治政府建设工作重视不够，</w:t>
      </w:r>
      <w:r>
        <w:rPr>
          <w:rFonts w:hint="eastAsia" w:ascii="仿宋_GB2312" w:hAnsi="仿宋_GB2312" w:eastAsia="仿宋_GB2312" w:cs="仿宋_GB2312"/>
          <w:lang w:eastAsia="zh-CN"/>
        </w:rPr>
        <w:t>未将建设要求融入到日常工作，存在部署多，落实少，推进节奏不一致、工作成效有差距的问题</w:t>
      </w:r>
      <w:r>
        <w:rPr>
          <w:rFonts w:hint="eastAsia" w:ascii="仿宋_GB2312" w:hAnsi="仿宋_GB2312" w:eastAsia="仿宋_GB2312" w:cs="仿宋_GB2312"/>
        </w:rPr>
        <w:t>。宣传形式偏传统、内容针对性不足，未能结合辖区群众需求、行业监管重点开展精准宣传，教育引导的实效性和感染力不强，全民法治意识培育效果未达预期。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整改情况：抓实法治教育，定期组织街道干部、社区工作者开展法治专题学习，提升依法履职能力。针对法治专业力量薄弱问题，注重培育社区法治骨干，强化辅助保障。创新普法形式，依托社区法治阵地、“法律明白人”，开展贴合居民需求的精准普法，推动法治理念融入社区治理日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四、下</w:t>
      </w:r>
      <w:r>
        <w:rPr>
          <w:rFonts w:hint="eastAsia" w:ascii="黑体" w:hAnsi="黑体" w:eastAsia="黑体" w:cs="黑体"/>
        </w:rPr>
        <w:t>一</w:t>
      </w:r>
      <w:r>
        <w:rPr>
          <w:rFonts w:hint="eastAsia" w:ascii="黑体" w:hAnsi="黑体" w:eastAsia="黑体" w:cs="黑体"/>
          <w:lang w:eastAsia="zh-CN"/>
        </w:rPr>
        <w:t>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1.强化组织领导压实责任，将法治政府建设纳入各部门、社区年度重点工作考核，层层细化任务清单、责任清单，定期召开工作推进会，推动各主体提高重视程度，确保各项建设任务落地落细。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抓实执法队伍能力建设，制定年度行政执法人员系统化培训计划，围绕核心法律法规、执法规范流程、现场处置技巧等开展集中授课、案例研讨、实操演练，实现执法人员培训全覆盖，全面提升业务素质和依法执法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创新法治宣教工作模式，结合辖区实际丰富宣传内容，聚焦民生热点、高频违法领域定制宣教主题；创新线下宣讲、阵地宣传与线上新媒体推送、短视频解读相结合的形式，开展精准化、常态化法治宣传教育，切实增强针对性和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健全监督检查长效机制，成立法治政府建设工作督查组，采取定期检查、随机抽查、台账核查等方式，对各部门、社区建设工作推进情况开展常态化督查，及时发现问题、建立整改台账、明确整改时限，跟踪督办销号，以严格督查推动法治政府建设工作持续走深走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撰稿人：杨双业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15036894751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righ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琴台街道办事处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righ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2026年2月1日        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5499A"/>
    <w:multiLevelType w:val="singleLevel"/>
    <w:tmpl w:val="9005499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13E51B5"/>
    <w:multiLevelType w:val="singleLevel"/>
    <w:tmpl w:val="C13E51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00000000"/>
    <w:rsid w:val="19BB5EC8"/>
    <w:rsid w:val="1B1154E1"/>
    <w:rsid w:val="1BFC7740"/>
    <w:rsid w:val="36C30932"/>
    <w:rsid w:val="42CB58ED"/>
    <w:rsid w:val="4A212D5B"/>
    <w:rsid w:val="4A372180"/>
    <w:rsid w:val="520C25E1"/>
    <w:rsid w:val="5AF81A07"/>
    <w:rsid w:val="60DB57EF"/>
    <w:rsid w:val="726D0DB9"/>
    <w:rsid w:val="72CA2572"/>
    <w:rsid w:val="77343A13"/>
    <w:rsid w:val="7F2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1"/>
    <w:qFormat/>
    <w:uiPriority w:val="0"/>
    <w:rPr>
      <w:rFonts w:eastAsia="仿宋_GB2312" w:asciiTheme="minorAscii" w:hAnsiTheme="minorAscii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2024-03-08T00:42:00Z</dcterms:created>
  <dc:creator>Administrator</dc:creator>
  <cp:lastModifiedBy>陈哇塞</cp:lastModifiedBy>
  <cp:lastPrinted>2026-02-02T08:57:00Z</cp:lastPrinted>
  <dcterms:modified xsi:type="dcterms:W3CDTF">2026-02-06T01:49:21Z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461B35B773024AF28D02475A306217B7_12</vt:lpwstr>
  </property>
</Properties>
</file>