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鲁山县自然资源局关于2025年法治政府建设情况的报告</w:t>
      </w:r>
    </w:p>
    <w:bookmarkEnd w:id="0"/>
    <w:p>
      <w:pPr>
        <w:ind w:firstLine="640" w:firstLineChars="200"/>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以来，我局在县委、县政府坚强领导下，在市自然资源和规划局精心指导及县委依法治县办统筹部署下，以习近平法治思想为根本遵循，紧扣自然资源管理核心职能，推动法治政府建设与耕地保护、矿产资源管理、不动产登记等中心工作深度融合，健全机制、规范执法、深化普法、提升效能，全面提升依法行政水平，为全县自然资源事业高质量发展筑牢法治根基。现将工作情况汇报如下：</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一、2025年度党政主要负责人履行推进法治建设第一责任人职责的情况</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局党组主要负责人切实扛起法治建设第一责任人职责，将法治政府建设纳入党组重要议事日程，与业务工作同部署、同推进、同督促、同考核。</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统筹谋划部署，主持召开党组会议、法治政府建设专题会议8次，制定《2025年法治政府建设工作实施方案》，明确目标任务与责任分工，协调解决执法协同、普法宣传等重大问题12项。</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压实法治建设责任。局领导班子成员落实“一岗双责”，结合分管工作推进法治建设，研究解决执法不规范等问题，形成主要负责人牵头抓总、班子成员分工负责、各部门协同推进的工作格局。</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带头学法用法，将习近平法治思想及自然资源领域新法规纳入党组理论学习中心组学习，全年组织专题学习6次，主要负责人讲授法治党课2次，引领干部职工强化法治意识。</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规范决策行为，严格执行《重大行政决策程序暂行条例》，对矿权出让、土地征收等重大事项，落实公众参与、合法性审查等法定程序，</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年完成合法性审查23次。</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强化监督落实，定期听取工作汇报，带队开展执法监督、普法落实专项检查4次，建立问题台账、限期整改</w:t>
      </w:r>
      <w:r>
        <w:rPr>
          <w:rFonts w:hint="eastAsia" w:ascii="仿宋_GB2312" w:hAnsi="仿宋_GB2312" w:eastAsia="仿宋_GB2312" w:cs="仿宋_GB2312"/>
          <w:sz w:val="32"/>
          <w:szCs w:val="32"/>
          <w:lang w:eastAsia="zh-CN"/>
        </w:rPr>
        <w:t>。</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二、2025年度推进法治政府建设的主要举措和成效</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（一）健全制度体系，夯实法治建设基础</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1.完善规范性文件管理。</w:t>
      </w:r>
      <w:r>
        <w:rPr>
          <w:rFonts w:hint="eastAsia" w:ascii="仿宋_GB2312" w:hAnsi="仿宋_GB2312" w:eastAsia="仿宋_GB2312" w:cs="仿宋_GB2312"/>
          <w:sz w:val="32"/>
          <w:szCs w:val="32"/>
        </w:rPr>
        <w:t>严格落实制定、备案、清理流程，全面清理自然资源领域规范性文件，废止过时文件3件，修订《行政执法自由裁量权适用办法》等制度4项，确保与现行法规衔接。</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落实法律顾问制度</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聘请专职律师，设立法律顾问室挂靠法规股，全程参与重大执法、合同审查等工作，全年提供法律意见36条，防范法律风险。</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3.强化内部监督。</w:t>
      </w:r>
      <w:r>
        <w:rPr>
          <w:rFonts w:hint="eastAsia" w:ascii="仿宋_GB2312" w:hAnsi="仿宋_GB2312" w:eastAsia="仿宋_GB2312" w:cs="仿宋_GB2312"/>
          <w:sz w:val="32"/>
          <w:szCs w:val="32"/>
        </w:rPr>
        <w:t>制定《行政执法监督管理办法》，建立执法过错责任追究制度，全程监督执法权力运行。</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（二）规范执法行为，提升执法监管效能</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1.严格落实行政执法“三项制度”。</w:t>
      </w:r>
      <w:r>
        <w:rPr>
          <w:rFonts w:hint="eastAsia" w:ascii="仿宋_GB2312" w:hAnsi="仿宋_GB2312" w:eastAsia="仿宋_GB2312" w:cs="仿宋_GB2312"/>
          <w:sz w:val="32"/>
          <w:szCs w:val="32"/>
        </w:rPr>
        <w:t>公示行政处罚案件18件、行政许可263项；实现执法全过程音像记录全覆盖，归档案卷18卷；完成重大执法决定法制审核18件，通过率100%。</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2.严守耕地保护红线。</w:t>
      </w:r>
      <w:r>
        <w:rPr>
          <w:rFonts w:hint="eastAsia" w:ascii="仿宋_GB2312" w:hAnsi="仿宋_GB2312" w:eastAsia="仿宋_GB2312" w:cs="仿宋_GB2312"/>
          <w:sz w:val="32"/>
          <w:szCs w:val="32"/>
        </w:rPr>
        <w:t>落实“占补平衡”“进出平衡”，通过卫片执法、动态监测开展巡查200余次，查处整改违法占地7宗，整改率100%。</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3.强化矿产资源监管。</w:t>
      </w:r>
      <w:r>
        <w:rPr>
          <w:rFonts w:hint="eastAsia" w:ascii="仿宋_GB2312" w:hAnsi="仿宋_GB2312" w:eastAsia="仿宋_GB2312" w:cs="仿宋_GB2312"/>
          <w:sz w:val="32"/>
          <w:szCs w:val="32"/>
        </w:rPr>
        <w:t>开展专项整治，查处违法案件5宗；创新“云上交易”模式完成熊背乡葛庄钾长石矿权出让，实现开发与生态保护双赢。</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4.推进执法协同。</w:t>
      </w:r>
      <w:r>
        <w:rPr>
          <w:rFonts w:hint="eastAsia" w:ascii="仿宋_GB2312" w:hAnsi="仿宋_GB2312" w:eastAsia="仿宋_GB2312" w:cs="仿宋_GB2312"/>
          <w:sz w:val="32"/>
          <w:szCs w:val="32"/>
        </w:rPr>
        <w:t>与法院、公安等部门开展联合执法6次，解决难点问题8个；做好行政职权下放对接，确保乡镇履职到位。</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（三）深化政务服务，提升法治服务水平</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1.深化“放管服”改革</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推行不动产登记“一链办理”“带押过户”等模式，将平均办理时限压缩至1个工作日，全年颁发不动产权证书4200余本、证明2100余张，提升群众满意度。</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2.规范土地供应</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完成3宗地块挂牌出让，涵盖零售商业、住宅等类型，保障土地市场公平公正。</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3.推进政务公开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梳理公开事项清单，通过多平台公开信息300余条，保障公众知情权。</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4.强化地质灾害防治</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建立动态监测预警机制，发布预警12次，有效防范风险、保障群众生命财产安全。</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（四）强化普法宣传，营造浓厚法治氛围</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rPr>
        <w:t>落实“谁执法谁普法”责任制，制定普法清单，推动普法与业务工作深度融合。2.结合世界地球日、全国土地日等节点，开展“五进”宣传10场次，悬挂标语200余幅，发放资料5万余份，解答咨询800余人次。</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扎实开展法治宣传教育，</w:t>
      </w:r>
      <w:r>
        <w:rPr>
          <w:rFonts w:hint="eastAsia" w:ascii="仿宋_GB2312" w:hAnsi="仿宋_GB2312" w:eastAsia="仿宋_GB2312" w:cs="仿宋_GB2312"/>
          <w:sz w:val="32"/>
          <w:szCs w:val="32"/>
        </w:rPr>
        <w:t>开展干部法治培训6次，重点学习新法规草案，督促全员参与普法考试，参考率、合格率均达100%。</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rPr>
        <w:t>创新</w:t>
      </w:r>
      <w:r>
        <w:rPr>
          <w:rFonts w:hint="eastAsia" w:ascii="仿宋_GB2312" w:hAnsi="仿宋_GB2312" w:eastAsia="仿宋_GB2312" w:cs="仿宋_GB2312"/>
          <w:sz w:val="32"/>
          <w:szCs w:val="32"/>
          <w:lang w:val="en-US" w:eastAsia="zh-CN"/>
        </w:rPr>
        <w:t>普法形式，开展</w:t>
      </w:r>
      <w:r>
        <w:rPr>
          <w:rFonts w:hint="eastAsia" w:ascii="仿宋_GB2312" w:hAnsi="仿宋_GB2312" w:eastAsia="仿宋_GB2312" w:cs="仿宋_GB2312"/>
          <w:sz w:val="32"/>
          <w:szCs w:val="32"/>
        </w:rPr>
        <w:t>线上普法，通过微信、抖音发布短视频、政策解读40余条，覆盖群众2万余人次，提升普法实效性。</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（五）依法化解矛盾，维护社会和谐稳定</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rPr>
        <w:t>畅通信访渠道，落实信访责任制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全年接待来访60余起、200余人次，受理信访案件35件，办结率100%，圆满完成省、市交办任务。</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规范行政复议、行政诉讼工作，办理复议案件3件、诉讼案件2件，行政机关负责人出庭应诉率100%，妥善落实司法、检察建议。</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rPr>
        <w:t>推进矛盾源头化解，完成土地征收、矿权出让等风险评估15项，排查化解纠纷28起，未发生群体性上访事件。</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三、2025年度推进法治政府建设存在的不足、原因和问题整改情况</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（一）存在不足</w:t>
      </w:r>
      <w:r>
        <w:rPr>
          <w:rFonts w:hint="eastAsia" w:ascii="楷体_GB2312" w:hAnsi="楷体_GB2312" w:eastAsia="楷体_GB2312" w:cs="楷体_GB2312"/>
          <w:sz w:val="32"/>
          <w:szCs w:val="32"/>
          <w:lang w:val="en-US" w:eastAsia="zh-CN"/>
        </w:rPr>
        <w:t>及原因</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rPr>
        <w:t>法治思维运用能力不足，部分基层执法人员解决复杂问题、化解矛盾的法治能力薄弱，对新法规学习不深入，存在重业务、轻法治倾向。</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执法协同效能不佳，跨部门协同联动机制不完善，信息共享、案件移送效率不高，执法合力未充分形成。</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rPr>
        <w:t>普法宣传精准度不够，存在“大水漫灌”现象，针对不同群体的个性化普法不足，新媒体普法形式单一、缺乏互动性。</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rPr>
        <w:t>基层法治力量薄弱，基层所人员编制不足、专业法律人才匮乏，难以适配新形势下执法工作需求。</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rPr>
        <w:t>核心法治支撑力量不足，政策法规股仅3名工作人员，难以匹配规范性文件审查、行政复议等工作的专业需求与工作强度。</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val="en-US" w:eastAsia="zh-CN"/>
        </w:rPr>
        <w:t>整改情况</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强化法治培训，常态化开展新法规学习和执法实操演练，扭转“重业务、轻法治”倾向，提升基层执法人员法治素养和矛盾化解能力。</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健全跨部门协同机制，完善信息共享、案件移送流程，凝聚执法合力，提升执法效能。</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优化精准普法，摒弃“大水漫灌”模式，针对不同群体定制普法内容，创新新媒体互动普法形式，增强普法实效性。</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补齐基层法治力量短板，积极争取编制支持，招录专业法律人才，加强基层所人员培训。</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强化核心法治支撑，充实政策法规股力量，优化工作分工，提升规范性文件审查、行政复议等工作专业水平。</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四、下一年度推进法治政府建设的主要工作安排</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2026年，我局将以问题为导向，紧扣核心职能，深化法治政府建设，重点做好七项工作：</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1.强化法治理念引领</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将习近平法治思想纳入常态化学习，制定针对性法治培训计划，采用案例分析、执法比武等形式，加强基层执法及窗口人员培训；组织新法规专项学习，提升干部运用法治思维履职的能力。</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2.规范执法权力运行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深化行政执法“三项制度”落实，加强执法案卷评查；严守耕地保护红线，开展专项整治，严厉打击自然资源违法行为；完善矿产资源管理，推动绿色矿山建设；健全跨部门协同机制，提升执法合力。</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3.深化政务服务改革</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优化不动产登记、土地征收等流程，压缩办理时限；完善“互联网+政务服务”平台，推动更多事项“一网通办”；扩大政务公开范围，提升公开质效；健全地质灾害防治机制，筑牢安全防线。</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4.创新普法宣传模式</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落实“谁执法谁普法”，针对不同群体开展精准普法；打造互动性、趣味性新媒体普法产品，营造全民守法氛围。</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5.健全矛盾化解机制</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畅通信访渠道，提升办理质效；强化行政复议、行政诉讼工作，落实负责人出庭应诉制度；充实基层执法力量，加强人才培养，推动矛盾纠纷源头化解。</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6.充实核心法治力量</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积极争取编制，通过公开招录、内部遴选等方式，补充政策法规股专业人才，优化队伍结构，提升核心法治工作专业化水平。</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7.强化工作保障</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完善法治建设工作机制，加大法治建设考核权重；加强法治队伍建设，定期开展督查检查，建立问题台账、限期整改，推动法治政府建设再上新台阶，为全县经济社会高质量发展提供坚实自然资源法治保障。</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（撰稿人：王军海联系电话：13569550115）</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鲁山县自然资源局</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2026年2月2日</w:t>
      </w:r>
      <w:r>
        <w:rPr>
          <w:rFonts w:hint="eastAsia" w:ascii="仿宋_GB2312" w:hAnsi="仿宋_GB2312" w:eastAsia="仿宋_GB2312" w:cs="仿宋_GB2312"/>
          <w:sz w:val="32"/>
          <w:szCs w:val="32"/>
          <w:lang w:val="en-US" w:eastAsia="zh-CN"/>
        </w:rPr>
        <w:t xml:space="preserve">        </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3F4E04E1"/>
    <w:rsid w:val="3F4E0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2026-02-06T02:12:00Z</dcterms:created>
  <dc:creator>陈哇塞</dc:creator>
  <cp:lastModifiedBy>陈哇塞</cp:lastModifiedBy>
  <dcterms:modified xsi:type="dcterms:W3CDTF">2026-02-06T02:21:51Z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56EE7FD3C49B402E9C05DDFA52011652_11</vt:lpwstr>
  </property>
</Properties>
</file>