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8FC7FE">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鲁山县财政局关于202</w:t>
      </w:r>
      <w:r>
        <w:rPr>
          <w:rFonts w:hint="eastAsia" w:ascii="方正小标宋简体" w:hAnsi="方正小标宋简体" w:eastAsia="方正小标宋简体" w:cs="方正小标宋简体"/>
          <w:b w:val="0"/>
          <w:bCs w:val="0"/>
          <w:color w:val="auto"/>
          <w:sz w:val="44"/>
          <w:szCs w:val="44"/>
          <w:lang w:val="en-US" w:eastAsia="zh-CN"/>
        </w:rPr>
        <w:t>5</w:t>
      </w:r>
      <w:r>
        <w:rPr>
          <w:rFonts w:hint="eastAsia" w:ascii="方正小标宋简体" w:hAnsi="方正小标宋简体" w:eastAsia="方正小标宋简体" w:cs="方正小标宋简体"/>
          <w:b w:val="0"/>
          <w:bCs w:val="0"/>
          <w:color w:val="auto"/>
          <w:sz w:val="44"/>
          <w:szCs w:val="44"/>
        </w:rPr>
        <w:t>年法治政府建设情况的报告</w:t>
      </w:r>
    </w:p>
    <w:p w14:paraId="67BEEF39">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b w:val="0"/>
          <w:bCs w:val="0"/>
          <w:color w:val="auto"/>
          <w:kern w:val="0"/>
          <w:sz w:val="32"/>
          <w:szCs w:val="32"/>
          <w:lang w:val="en-US" w:eastAsia="zh-CN" w:bidi="ar"/>
        </w:rPr>
      </w:pPr>
    </w:p>
    <w:p w14:paraId="04CAF36D">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kern w:val="0"/>
          <w:sz w:val="32"/>
          <w:szCs w:val="32"/>
          <w:lang w:val="en-US" w:eastAsia="zh-CN" w:bidi="ar"/>
        </w:rPr>
        <w:t>2025年以来，鲁山县财政局坚持以习近平新时代中国特色社会主义思想为指导，深入学习贯彻党的二十大及二十届历次全会，全面践行习近平法治思想。</w:t>
      </w:r>
      <w:r>
        <w:rPr>
          <w:rFonts w:hint="eastAsia" w:ascii="仿宋_GB2312" w:hAnsi="仿宋_GB2312" w:eastAsia="仿宋_GB2312" w:cs="仿宋_GB2312"/>
          <w:color w:val="auto"/>
          <w:sz w:val="32"/>
          <w:szCs w:val="32"/>
          <w:lang w:val="en-US" w:eastAsia="zh-CN"/>
        </w:rPr>
        <w:t>县财政局</w:t>
      </w:r>
      <w:r>
        <w:rPr>
          <w:rFonts w:hint="eastAsia" w:ascii="仿宋_GB2312" w:hAnsi="仿宋_GB2312" w:eastAsia="仿宋_GB2312" w:cs="仿宋_GB2312"/>
          <w:b w:val="0"/>
          <w:bCs w:val="0"/>
          <w:color w:val="auto"/>
          <w:kern w:val="0"/>
          <w:sz w:val="32"/>
          <w:szCs w:val="32"/>
          <w:lang w:val="en-US" w:eastAsia="zh-CN" w:bidi="ar"/>
        </w:rPr>
        <w:t>在县委、县政府的正确领导下，紧紧围绕《鲁山县法治政府建设实施方案（2022-2025年）》目标任务，</w:t>
      </w:r>
      <w:r>
        <w:rPr>
          <w:rFonts w:hint="eastAsia" w:ascii="仿宋_GB2312" w:hAnsi="仿宋_GB2312" w:eastAsia="仿宋_GB2312" w:cs="仿宋_GB2312"/>
          <w:color w:val="auto"/>
          <w:sz w:val="32"/>
          <w:szCs w:val="32"/>
          <w:lang w:val="en-US" w:eastAsia="zh-CN"/>
        </w:rPr>
        <w:t>不断贯彻</w:t>
      </w:r>
      <w:r>
        <w:rPr>
          <w:rFonts w:hint="eastAsia" w:ascii="仿宋_GB2312" w:hAnsi="仿宋_GB2312" w:eastAsia="仿宋_GB2312" w:cs="仿宋_GB2312"/>
          <w:color w:val="auto"/>
          <w:sz w:val="32"/>
          <w:szCs w:val="32"/>
        </w:rPr>
        <w:t>落实</w:t>
      </w:r>
      <w:r>
        <w:rPr>
          <w:rFonts w:hint="eastAsia" w:ascii="仿宋_GB2312" w:hAnsi="仿宋_GB2312" w:eastAsia="仿宋_GB2312" w:cs="仿宋_GB2312"/>
          <w:color w:val="auto"/>
          <w:sz w:val="32"/>
          <w:szCs w:val="32"/>
          <w:lang w:eastAsia="zh-CN"/>
        </w:rPr>
        <w:t>法治</w:t>
      </w:r>
      <w:r>
        <w:rPr>
          <w:rFonts w:hint="eastAsia" w:ascii="仿宋_GB2312" w:hAnsi="仿宋_GB2312" w:eastAsia="仿宋_GB2312" w:cs="仿宋_GB2312"/>
          <w:color w:val="auto"/>
          <w:sz w:val="32"/>
          <w:szCs w:val="32"/>
        </w:rPr>
        <w:t>政府建设工作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现将我局</w:t>
      </w:r>
      <w:r>
        <w:rPr>
          <w:rFonts w:hint="eastAsia" w:ascii="仿宋_GB2312" w:hAnsi="仿宋_GB2312" w:eastAsia="仿宋_GB2312" w:cs="仿宋_GB2312"/>
          <w:color w:val="auto"/>
          <w:sz w:val="32"/>
          <w:szCs w:val="32"/>
          <w:lang w:val="en-US" w:eastAsia="zh-CN"/>
        </w:rPr>
        <w:t>2025年法治政府建设</w:t>
      </w:r>
      <w:r>
        <w:rPr>
          <w:rFonts w:hint="eastAsia" w:ascii="仿宋_GB2312" w:hAnsi="仿宋_GB2312" w:eastAsia="仿宋_GB2312" w:cs="仿宋_GB2312"/>
          <w:color w:val="auto"/>
          <w:sz w:val="32"/>
          <w:szCs w:val="32"/>
        </w:rPr>
        <w:t>情况汇报如下:</w:t>
      </w:r>
    </w:p>
    <w:p w14:paraId="715836C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一、</w:t>
      </w:r>
      <w:r>
        <w:rPr>
          <w:rFonts w:hint="eastAsia" w:ascii="黑体" w:hAnsi="黑体" w:eastAsia="黑体" w:cs="黑体"/>
          <w:color w:val="auto"/>
          <w:sz w:val="32"/>
          <w:szCs w:val="32"/>
          <w:lang w:val="en-US" w:eastAsia="zh-CN"/>
        </w:rPr>
        <w:t>2025年度党政主要负责人履行推进法治政府建设第一责任人职责的情况</w:t>
      </w:r>
    </w:p>
    <w:p w14:paraId="185EDE93">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楷体" w:hAnsi="楷体" w:eastAsia="楷体" w:cs="楷体"/>
          <w:b w:val="0"/>
          <w:bCs w:val="0"/>
          <w:color w:val="auto"/>
          <w:kern w:val="0"/>
          <w:sz w:val="32"/>
          <w:szCs w:val="32"/>
          <w:lang w:val="en-US" w:eastAsia="zh-CN" w:bidi="ar"/>
        </w:rPr>
      </w:pPr>
      <w:r>
        <w:rPr>
          <w:rFonts w:hint="eastAsia" w:ascii="楷体" w:hAnsi="楷体" w:eastAsia="楷体" w:cs="楷体"/>
          <w:b w:val="0"/>
          <w:bCs w:val="0"/>
          <w:color w:val="auto"/>
          <w:kern w:val="0"/>
          <w:sz w:val="32"/>
          <w:szCs w:val="32"/>
          <w:lang w:val="en-US" w:eastAsia="zh-CN" w:bidi="ar"/>
        </w:rPr>
        <w:t>（一）压实主体责任</w:t>
      </w:r>
    </w:p>
    <w:p w14:paraId="2CDF41B9">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我局党组书记、局长杜军同志切实履行推进法治建设第一责任人职责，坚持重大问题亲自过问、重点环节亲自协调督导，有效推动了我局法治政府建设工作的开展。</w:t>
      </w:r>
    </w:p>
    <w:p w14:paraId="401EFCAA">
      <w:pPr>
        <w:keepNext w:val="0"/>
        <w:keepLines w:val="0"/>
        <w:pageBreakBefore w:val="0"/>
        <w:widowControl/>
        <w:numPr>
          <w:ilvl w:val="0"/>
          <w:numId w:val="1"/>
        </w:numPr>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楷体" w:hAnsi="楷体" w:eastAsia="楷体" w:cs="楷体"/>
          <w:b w:val="0"/>
          <w:bCs w:val="0"/>
          <w:color w:val="auto"/>
          <w:kern w:val="0"/>
          <w:sz w:val="32"/>
          <w:szCs w:val="32"/>
          <w:lang w:val="en-US" w:eastAsia="zh-CN" w:bidi="ar"/>
        </w:rPr>
      </w:pPr>
      <w:r>
        <w:rPr>
          <w:rFonts w:hint="eastAsia" w:ascii="楷体" w:hAnsi="楷体" w:eastAsia="楷体" w:cs="楷体"/>
          <w:b w:val="0"/>
          <w:bCs w:val="0"/>
          <w:color w:val="auto"/>
          <w:kern w:val="0"/>
          <w:sz w:val="32"/>
          <w:szCs w:val="32"/>
          <w:lang w:val="en-US" w:eastAsia="zh-CN" w:bidi="ar"/>
        </w:rPr>
        <w:t>深化思想引领</w:t>
      </w:r>
      <w:bookmarkStart w:id="0" w:name="_GoBack"/>
      <w:bookmarkEnd w:id="0"/>
    </w:p>
    <w:p w14:paraId="0F242676">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严格按照“第一议题”制度、领导干部学法制度，将习近平法治思想纳入理论学习中心组重点学习内容，并带动全局职工深入学习习近平法治思想，推动干部职工学法用法常态化，提升运用法治思维深化改革、化解矛盾的能力。</w:t>
      </w:r>
    </w:p>
    <w:p w14:paraId="3BCACC31">
      <w:pPr>
        <w:keepNext w:val="0"/>
        <w:keepLines w:val="0"/>
        <w:pageBreakBefore w:val="0"/>
        <w:widowControl/>
        <w:numPr>
          <w:ilvl w:val="0"/>
          <w:numId w:val="1"/>
        </w:numPr>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楷体" w:hAnsi="楷体" w:eastAsia="楷体" w:cs="楷体"/>
          <w:b w:val="0"/>
          <w:bCs w:val="0"/>
          <w:color w:val="auto"/>
          <w:kern w:val="0"/>
          <w:sz w:val="32"/>
          <w:szCs w:val="32"/>
          <w:lang w:val="en-US" w:eastAsia="zh-CN" w:bidi="ar"/>
        </w:rPr>
      </w:pPr>
      <w:r>
        <w:rPr>
          <w:rFonts w:hint="eastAsia" w:ascii="楷体" w:hAnsi="楷体" w:eastAsia="楷体" w:cs="楷体"/>
          <w:b w:val="0"/>
          <w:bCs w:val="0"/>
          <w:color w:val="auto"/>
          <w:kern w:val="0"/>
          <w:sz w:val="32"/>
          <w:szCs w:val="32"/>
          <w:lang w:val="en-US" w:eastAsia="zh-CN" w:bidi="ar"/>
        </w:rPr>
        <w:t>深入谋划部署</w:t>
      </w:r>
    </w:p>
    <w:p w14:paraId="0504F731">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我局坚持将法治建设与财政工作同部署、同安排、同推进。制定了法治宣传、教育培训计划，定期召开专题会议，及时研究解决法治建设中的各类问题。</w:t>
      </w:r>
    </w:p>
    <w:p w14:paraId="2E9A4C6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二、2025年度推进法治政府建设的主要举措和成效</w:t>
      </w:r>
    </w:p>
    <w:p w14:paraId="2C61E874">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color w:val="auto"/>
          <w:kern w:val="0"/>
          <w:sz w:val="32"/>
          <w:szCs w:val="32"/>
          <w:lang w:val="en-US" w:eastAsia="zh-CN" w:bidi="ar"/>
        </w:rPr>
      </w:pPr>
      <w:r>
        <w:rPr>
          <w:rFonts w:hint="eastAsia" w:ascii="楷体_GB2312" w:hAnsi="楷体_GB2312" w:eastAsia="楷体_GB2312" w:cs="楷体_GB2312"/>
          <w:b w:val="0"/>
          <w:bCs w:val="0"/>
          <w:color w:val="auto"/>
          <w:kern w:val="0"/>
          <w:sz w:val="32"/>
          <w:szCs w:val="32"/>
          <w:lang w:val="en-US" w:eastAsia="zh-CN" w:bidi="ar"/>
        </w:rPr>
        <w:t>强化法治教育、宣传</w:t>
      </w:r>
    </w:p>
    <w:p w14:paraId="29F1B795">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认真贯彻习近平法治思想，确保把习近平法治思想学习引向深入。深入开展“八五”普法规划，按照《鲁山县2025年领导干部学法计划》开展集中学法，组织财政干部定期学习《领导干部应知应会党内法规和国家法律清单》，推动领导干部学法用法；利用“宪法宣传周”“民法典宣传月”等重要宣传活动，大力开展普法宣传，确保宣传效果；积极组织单位人员参加上级财政部门举办的法治学习培训班、行政执法人员网络培训班等培训活动,利用上级提供的优质平台协助工作人员学习财政法治工作与案件办理经验，提升执法水平。</w:t>
      </w:r>
    </w:p>
    <w:p w14:paraId="5DA90251">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color w:val="auto"/>
          <w:kern w:val="0"/>
          <w:sz w:val="32"/>
          <w:szCs w:val="32"/>
          <w:lang w:val="en-US" w:eastAsia="zh-CN" w:bidi="ar"/>
        </w:rPr>
      </w:pPr>
      <w:r>
        <w:rPr>
          <w:rFonts w:hint="eastAsia" w:ascii="楷体_GB2312" w:hAnsi="楷体_GB2312" w:eastAsia="楷体_GB2312" w:cs="楷体_GB2312"/>
          <w:b w:val="0"/>
          <w:bCs w:val="0"/>
          <w:color w:val="auto"/>
          <w:kern w:val="0"/>
          <w:sz w:val="32"/>
          <w:szCs w:val="32"/>
          <w:lang w:val="en-US" w:eastAsia="zh-CN" w:bidi="ar"/>
        </w:rPr>
        <w:t>落实经费保障</w:t>
      </w:r>
    </w:p>
    <w:p w14:paraId="2A8E12A2">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default"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行政执法经费统一纳入财政预算予以保障，罚缴分离和收支两条线管理制度得到有效贯彻。罚没收入同作出行政处罚的行政执法人员的考核、考评完全脱钩。足额保障行政执法部门财供人员经费和日常工作经费，及时拨付上级政法专项转移支付资金及本级财政安排的专项资金。</w:t>
      </w:r>
    </w:p>
    <w:p w14:paraId="2E910E12">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color w:val="auto"/>
          <w:kern w:val="0"/>
          <w:sz w:val="32"/>
          <w:szCs w:val="32"/>
          <w:lang w:val="en-US" w:eastAsia="zh-CN" w:bidi="ar"/>
        </w:rPr>
      </w:pPr>
      <w:r>
        <w:rPr>
          <w:rFonts w:hint="eastAsia" w:ascii="楷体_GB2312" w:hAnsi="楷体_GB2312" w:eastAsia="楷体_GB2312" w:cs="楷体_GB2312"/>
          <w:b w:val="0"/>
          <w:bCs w:val="0"/>
          <w:color w:val="auto"/>
          <w:kern w:val="0"/>
          <w:sz w:val="32"/>
          <w:szCs w:val="32"/>
          <w:lang w:val="en-US" w:eastAsia="zh-CN" w:bidi="ar"/>
        </w:rPr>
        <w:t>完善服务型行政执法建设</w:t>
      </w:r>
    </w:p>
    <w:p w14:paraId="268D95C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通过</w:t>
      </w:r>
      <w:r>
        <w:rPr>
          <w:rFonts w:hint="eastAsia" w:ascii="仿宋_GB2312" w:hAnsi="仿宋_GB2312" w:eastAsia="仿宋_GB2312" w:cs="仿宋_GB2312"/>
          <w:color w:val="auto"/>
          <w:sz w:val="32"/>
          <w:szCs w:val="32"/>
          <w:lang w:eastAsia="zh-CN"/>
        </w:rPr>
        <w:t>制度引导执法人员树立执法为民理念，不断提升行政执法服务发展、服务企业、服务群众的能力和水平。规范裁量范围、种类、幅度，坚持公正文明执法，做到不偏不倚、不枉不纵，提倡柔性执法，防止粗暴执法。深入落实国务院关于简政放权、加强监管、提升服务的要求，精简办事程序，减少办事环节，缩短办理时限，改进服务质量，不断提升财政执法和公共服务水平。</w:t>
      </w:r>
    </w:p>
    <w:p w14:paraId="195D5B86">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color w:val="auto"/>
          <w:kern w:val="0"/>
          <w:sz w:val="32"/>
          <w:szCs w:val="32"/>
          <w:lang w:val="en-US" w:eastAsia="zh-CN" w:bidi="ar"/>
        </w:rPr>
      </w:pPr>
      <w:r>
        <w:rPr>
          <w:rFonts w:hint="eastAsia" w:ascii="楷体_GB2312" w:hAnsi="楷体_GB2312" w:eastAsia="楷体_GB2312" w:cs="楷体_GB2312"/>
          <w:b w:val="0"/>
          <w:bCs w:val="0"/>
          <w:color w:val="auto"/>
          <w:kern w:val="0"/>
          <w:sz w:val="32"/>
          <w:szCs w:val="32"/>
          <w:lang w:val="en-US" w:eastAsia="zh-CN" w:bidi="ar"/>
        </w:rPr>
        <w:t>依法履职，提高执法能力</w:t>
      </w:r>
    </w:p>
    <w:p w14:paraId="6F12488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积极推进财政职能转变和简政放</w:t>
      </w:r>
      <w:r>
        <w:rPr>
          <w:rFonts w:hint="eastAsia" w:ascii="仿宋_GB2312" w:hAnsi="仿宋_GB2312" w:eastAsia="仿宋_GB2312" w:cs="仿宋_GB2312"/>
          <w:color w:val="auto"/>
          <w:sz w:val="32"/>
          <w:szCs w:val="32"/>
          <w:lang w:val="en-US" w:eastAsia="zh-CN"/>
        </w:rPr>
        <w:t>权，</w:t>
      </w:r>
      <w:r>
        <w:rPr>
          <w:rFonts w:hint="eastAsia" w:ascii="仿宋_GB2312" w:hAnsi="仿宋_GB2312" w:eastAsia="仿宋_GB2312" w:cs="仿宋_GB2312"/>
          <w:color w:val="auto"/>
          <w:sz w:val="32"/>
          <w:szCs w:val="32"/>
          <w:lang w:eastAsia="zh-CN"/>
        </w:rPr>
        <w:t>全面</w:t>
      </w:r>
      <w:r>
        <w:rPr>
          <w:rFonts w:hint="eastAsia" w:ascii="仿宋_GB2312" w:hAnsi="仿宋_GB2312" w:eastAsia="仿宋_GB2312" w:cs="仿宋_GB2312"/>
          <w:color w:val="auto"/>
          <w:sz w:val="32"/>
          <w:szCs w:val="32"/>
          <w:lang w:val="en-US" w:eastAsia="zh-CN"/>
        </w:rPr>
        <w:t>贯彻</w:t>
      </w:r>
      <w:r>
        <w:rPr>
          <w:rFonts w:hint="eastAsia" w:ascii="仿宋_GB2312" w:hAnsi="仿宋_GB2312" w:eastAsia="仿宋_GB2312" w:cs="仿宋_GB2312"/>
          <w:color w:val="auto"/>
          <w:sz w:val="32"/>
          <w:szCs w:val="32"/>
          <w:lang w:eastAsia="zh-CN"/>
        </w:rPr>
        <w:t>落实《优化营商环境条例》，</w:t>
      </w:r>
      <w:r>
        <w:rPr>
          <w:rFonts w:hint="eastAsia" w:ascii="仿宋_GB2312" w:hAnsi="仿宋_GB2312" w:eastAsia="仿宋_GB2312" w:cs="仿宋_GB2312"/>
          <w:color w:val="auto"/>
          <w:sz w:val="32"/>
          <w:szCs w:val="32"/>
          <w:lang w:val="en-US" w:eastAsia="zh-CN"/>
        </w:rPr>
        <w:t>不断</w:t>
      </w:r>
      <w:r>
        <w:rPr>
          <w:rFonts w:hint="eastAsia" w:ascii="仿宋_GB2312" w:hAnsi="仿宋_GB2312" w:eastAsia="仿宋_GB2312" w:cs="仿宋_GB2312"/>
          <w:color w:val="auto"/>
          <w:sz w:val="32"/>
          <w:szCs w:val="32"/>
          <w:lang w:eastAsia="zh-CN"/>
        </w:rPr>
        <w:t>深化政府采购改革，着力解决营商环境中存在的政务服务质量不高、营商氛围不够浓厚等问题；充分发挥法律顾问作用，聘请</w:t>
      </w:r>
      <w:r>
        <w:rPr>
          <w:rFonts w:hint="eastAsia" w:ascii="仿宋_GB2312" w:hAnsi="仿宋_GB2312" w:eastAsia="仿宋_GB2312" w:cs="仿宋_GB2312"/>
          <w:color w:val="auto"/>
          <w:sz w:val="32"/>
          <w:szCs w:val="32"/>
          <w:lang w:val="en-US" w:eastAsia="zh-CN"/>
        </w:rPr>
        <w:t>河南厚源律师事务所李士朋</w:t>
      </w:r>
      <w:r>
        <w:rPr>
          <w:rFonts w:hint="eastAsia" w:ascii="仿宋_GB2312" w:hAnsi="仿宋_GB2312" w:eastAsia="仿宋_GB2312" w:cs="仿宋_GB2312"/>
          <w:color w:val="auto"/>
          <w:sz w:val="32"/>
          <w:szCs w:val="32"/>
          <w:lang w:eastAsia="zh-CN"/>
        </w:rPr>
        <w:t>律师为法律顾问，</w:t>
      </w:r>
      <w:r>
        <w:rPr>
          <w:rFonts w:hint="eastAsia" w:ascii="仿宋_GB2312" w:hAnsi="仿宋_GB2312" w:eastAsia="仿宋_GB2312" w:cs="仿宋_GB2312"/>
          <w:color w:val="auto"/>
          <w:sz w:val="32"/>
          <w:szCs w:val="32"/>
          <w:lang w:val="en-US" w:eastAsia="zh-CN"/>
        </w:rPr>
        <w:t>参与规范性文件合法性审核、清理等工作，</w:t>
      </w:r>
      <w:r>
        <w:rPr>
          <w:rFonts w:hint="eastAsia" w:ascii="仿宋_GB2312" w:hAnsi="仿宋_GB2312" w:eastAsia="仿宋_GB2312" w:cs="仿宋_GB2312"/>
          <w:color w:val="auto"/>
          <w:sz w:val="32"/>
          <w:szCs w:val="32"/>
          <w:lang w:eastAsia="zh-CN"/>
        </w:rPr>
        <w:t>有效防范行政决策的法律风险；</w:t>
      </w:r>
      <w:r>
        <w:rPr>
          <w:rFonts w:hint="eastAsia" w:ascii="仿宋_GB2312" w:hAnsi="仿宋_GB2312" w:eastAsia="仿宋_GB2312" w:cs="仿宋_GB2312"/>
          <w:color w:val="auto"/>
          <w:sz w:val="32"/>
          <w:szCs w:val="32"/>
          <w:lang w:val="en-US" w:eastAsia="zh-CN"/>
        </w:rPr>
        <w:t>认真做好财政监督，组织开展会计信息质量检查等工作，对检查中发现的问题，督促相关单位进行整改和规范。</w:t>
      </w:r>
    </w:p>
    <w:p w14:paraId="078141FC">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color w:val="auto"/>
          <w:kern w:val="0"/>
          <w:sz w:val="32"/>
          <w:szCs w:val="32"/>
          <w:lang w:val="en-US" w:eastAsia="zh-CN" w:bidi="ar"/>
        </w:rPr>
      </w:pPr>
      <w:r>
        <w:rPr>
          <w:rFonts w:hint="eastAsia" w:ascii="楷体_GB2312" w:hAnsi="楷体_GB2312" w:eastAsia="楷体_GB2312" w:cs="楷体_GB2312"/>
          <w:b w:val="0"/>
          <w:bCs w:val="0"/>
          <w:color w:val="auto"/>
          <w:kern w:val="0"/>
          <w:sz w:val="32"/>
          <w:szCs w:val="32"/>
          <w:lang w:val="en-US" w:eastAsia="zh-CN" w:bidi="ar"/>
        </w:rPr>
        <w:t>持续推进法治政府建设</w:t>
      </w:r>
    </w:p>
    <w:p w14:paraId="40FBD67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局领导高度重视法治政府建设工作，定期开展法治政府建设工作推进会，会议传达学习上级有关法治政府方面的文件精神，对工作进程和下一步工作再安排，做到已完成的工作与下步的工作重点有效衔接。</w:t>
      </w:r>
    </w:p>
    <w:p w14:paraId="47B9DF0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三、2025年度推进法治政府建设存在的不足、原因和问题整改情况</w:t>
      </w:r>
    </w:p>
    <w:p w14:paraId="125BC45B">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color w:val="auto"/>
          <w:sz w:val="32"/>
          <w:szCs w:val="32"/>
          <w:lang w:val="en-US" w:eastAsia="zh-CN"/>
        </w:rPr>
        <w:t>我局的依法行政水平虽不断提高，法治政府建设工作稳步持续推进，但仍然存在一些问题和不足，具体表现在：一是</w:t>
      </w:r>
      <w:r>
        <w:rPr>
          <w:rFonts w:hint="eastAsia" w:ascii="仿宋_GB2312" w:hAnsi="仿宋_GB2312" w:eastAsia="仿宋_GB2312" w:cs="仿宋_GB2312"/>
          <w:b w:val="0"/>
          <w:bCs w:val="0"/>
          <w:color w:val="auto"/>
          <w:kern w:val="0"/>
          <w:sz w:val="32"/>
          <w:szCs w:val="32"/>
          <w:lang w:val="en-US" w:eastAsia="zh-CN" w:bidi="ar"/>
        </w:rPr>
        <w:t>执法能力不均衡。新办证人员的法律专业知识和实践能力存在短板，部分人员存在执法风险；二是法治工作与部分业务工作融合不深。业务开展的创新性不足，部分工作还需跟法治理念更有效的结合。</w:t>
      </w:r>
    </w:p>
    <w:p w14:paraId="1EC82C3C">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整改情况：2025年以来，我局坚持组织执法人员进行学习测试，以及积极参加上级组织的法治培训和学习会等活动，提升法治素养，提高执法水平。在执法工作中要求以老带新共同执法，有效降低执法风险；法治宣传教育方面，注重提高法治宣传力度，扩大宣传覆盖面，积极参加法治宣传活动，丰富宣传内容。</w:t>
      </w:r>
    </w:p>
    <w:p w14:paraId="38AEA256">
      <w:pPr>
        <w:keepNext w:val="0"/>
        <w:keepLines w:val="0"/>
        <w:pageBreakBefore w:val="0"/>
        <w:widowControl w:val="0"/>
        <w:numPr>
          <w:ilvl w:val="0"/>
          <w:numId w:val="3"/>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下一年度推进法治政府建设的主要工作安排</w:t>
      </w:r>
    </w:p>
    <w:p w14:paraId="7CE1DBE4">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一是严格遵照职责做好本职工作，按照相关部门和文件的要求，认真完成法治政府建设各项任务；二是深入推进依法行政，提升行政执法水平，加强规范性文件的审查，确保文件合法有效；三是强化财政干部法治思维和法治意识，坚持落实局党组集体学法、财政干部日常学法等制度；四是强化法治理念和业务工作相结合的意识，优化业务工作，提升服务对象的满意度。</w:t>
      </w:r>
    </w:p>
    <w:p w14:paraId="01706E8C">
      <w:pPr>
        <w:keepNext w:val="0"/>
        <w:keepLines w:val="0"/>
        <w:pageBreakBefore w:val="0"/>
        <w:widowControl/>
        <w:numPr>
          <w:ilvl w:val="0"/>
          <w:numId w:val="0"/>
        </w:numPr>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方正仿宋_GB2312" w:hAnsi="方正仿宋_GB2312" w:eastAsia="方正仿宋_GB2312" w:cs="方正仿宋_GB2312"/>
          <w:color w:val="auto"/>
          <w:sz w:val="32"/>
          <w:szCs w:val="32"/>
          <w:lang w:val="en-US" w:eastAsia="zh-CN"/>
        </w:rPr>
      </w:pPr>
    </w:p>
    <w:p w14:paraId="3D9A6E12">
      <w:pPr>
        <w:keepNext w:val="0"/>
        <w:keepLines w:val="0"/>
        <w:pageBreakBefore w:val="0"/>
        <w:widowControl/>
        <w:numPr>
          <w:ilvl w:val="0"/>
          <w:numId w:val="0"/>
        </w:numPr>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方正仿宋_GB2312" w:hAnsi="方正仿宋_GB2312" w:eastAsia="方正仿宋_GB2312" w:cs="方正仿宋_GB2312"/>
          <w:color w:val="auto"/>
          <w:sz w:val="32"/>
          <w:szCs w:val="32"/>
          <w:lang w:val="en-US" w:eastAsia="zh-CN"/>
        </w:rPr>
      </w:pPr>
    </w:p>
    <w:p w14:paraId="7A65F757">
      <w:pPr>
        <w:keepNext w:val="0"/>
        <w:keepLines w:val="0"/>
        <w:pageBreakBefore w:val="0"/>
        <w:widowControl/>
        <w:numPr>
          <w:ilvl w:val="0"/>
          <w:numId w:val="0"/>
        </w:numPr>
        <w:suppressLineNumbers w:val="0"/>
        <w:kinsoku/>
        <w:wordWrap w:val="0"/>
        <w:overflowPunct/>
        <w:topLinePunct w:val="0"/>
        <w:autoSpaceDE/>
        <w:autoSpaceDN/>
        <w:bidi w:val="0"/>
        <w:adjustRightInd/>
        <w:snapToGrid/>
        <w:spacing w:line="580" w:lineRule="exact"/>
        <w:ind w:firstLine="640" w:firstLineChars="200"/>
        <w:jc w:val="righ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鲁山县财政局        </w:t>
      </w:r>
    </w:p>
    <w:p w14:paraId="279E42F2">
      <w:pPr>
        <w:keepNext w:val="0"/>
        <w:keepLines w:val="0"/>
        <w:pageBreakBefore w:val="0"/>
        <w:widowControl/>
        <w:numPr>
          <w:ilvl w:val="0"/>
          <w:numId w:val="0"/>
        </w:numPr>
        <w:suppressLineNumbers w:val="0"/>
        <w:kinsoku/>
        <w:wordWrap w:val="0"/>
        <w:overflowPunct/>
        <w:topLinePunct w:val="0"/>
        <w:autoSpaceDE/>
        <w:autoSpaceDN/>
        <w:bidi w:val="0"/>
        <w:adjustRightInd/>
        <w:snapToGrid/>
        <w:spacing w:line="580" w:lineRule="exact"/>
        <w:ind w:firstLine="640" w:firstLineChars="200"/>
        <w:jc w:val="righ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2026年1月27日      </w:t>
      </w:r>
    </w:p>
    <w:p w14:paraId="7D52078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黑体" w:hAnsi="黑体" w:eastAsia="黑体" w:cs="黑体"/>
          <w:color w:val="auto"/>
          <w:sz w:val="32"/>
          <w:szCs w:val="32"/>
          <w:lang w:val="en-US" w:eastAsia="zh-CN"/>
        </w:rPr>
      </w:pPr>
    </w:p>
    <w:p w14:paraId="69AFB2E9">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color w:val="auto"/>
          <w:sz w:val="32"/>
          <w:szCs w:val="32"/>
          <w:lang w:val="en-US" w:eastAsia="zh-CN"/>
        </w:rPr>
      </w:pPr>
    </w:p>
    <w:p w14:paraId="4F26ADA0">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方正仿宋_GB2312" w:hAnsi="方正仿宋_GB2312" w:eastAsia="方正仿宋_GB2312" w:cs="方正仿宋_GB2312"/>
          <w:color w:val="auto"/>
          <w:sz w:val="32"/>
          <w:szCs w:val="32"/>
          <w:lang w:val="en-US" w:eastAsia="zh-CN"/>
        </w:rPr>
      </w:pPr>
    </w:p>
    <w:p w14:paraId="2FE41297">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left"/>
        <w:textAlignment w:val="auto"/>
        <w:rPr>
          <w:rFonts w:hint="eastAsia" w:ascii="仿宋_GB2312" w:hAnsi="仿宋_GB2312" w:eastAsia="方正仿宋_GB2312" w:cs="仿宋_GB2312"/>
          <w:color w:val="auto"/>
          <w:sz w:val="32"/>
          <w:szCs w:val="32"/>
          <w:lang w:val="en-US" w:eastAsia="zh-CN"/>
        </w:rPr>
      </w:pPr>
    </w:p>
    <w:p w14:paraId="0870818F">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default" w:ascii="方正楷体_GB2312" w:hAnsi="方正楷体_GB2312" w:eastAsia="方正楷体_GB2312" w:cs="方正楷体_GB2312"/>
          <w:color w:val="auto"/>
          <w:sz w:val="32"/>
          <w:szCs w:val="32"/>
          <w:lang w:val="en-US" w:eastAsia="zh-CN"/>
        </w:rPr>
      </w:pPr>
    </w:p>
    <w:p w14:paraId="559CCCD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方正仿宋_GB2312" w:hAnsi="方正仿宋_GB2312" w:eastAsia="方正仿宋_GB2312" w:cs="方正仿宋_GB2312"/>
          <w:b w:val="0"/>
          <w:bCs w:val="0"/>
          <w:color w:val="auto"/>
          <w:kern w:val="0"/>
          <w:sz w:val="32"/>
          <w:szCs w:val="32"/>
          <w:lang w:val="en-US" w:eastAsia="zh-CN" w:bidi="ar"/>
        </w:rPr>
      </w:pPr>
    </w:p>
    <w:p w14:paraId="0BBBD892">
      <w:pPr>
        <w:numPr>
          <w:ilvl w:val="0"/>
          <w:numId w:val="0"/>
        </w:numPr>
        <w:ind w:firstLine="640" w:firstLineChars="200"/>
        <w:rPr>
          <w:rFonts w:hint="default" w:ascii="仿宋" w:hAnsi="仿宋" w:eastAsia="仿宋" w:cs="仿宋"/>
          <w:color w:val="auto"/>
          <w:sz w:val="32"/>
          <w:szCs w:val="32"/>
          <w:lang w:val="en-US" w:eastAsia="zh-CN"/>
        </w:rPr>
      </w:pPr>
    </w:p>
    <w:p w14:paraId="5974B912">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方正楷体_GB2312" w:hAnsi="方正楷体_GB2312" w:eastAsia="方正楷体_GB2312" w:cs="方正楷体_GB2312"/>
          <w:b w:val="0"/>
          <w:bCs w:val="0"/>
          <w:color w:val="auto"/>
          <w:kern w:val="0"/>
          <w:sz w:val="32"/>
          <w:szCs w:val="32"/>
          <w:lang w:val="en-US" w:eastAsia="zh-CN" w:bidi="ar"/>
        </w:rPr>
      </w:pPr>
    </w:p>
    <w:p w14:paraId="21BCF92D">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both"/>
        <w:textAlignment w:val="auto"/>
        <w:rPr>
          <w:rFonts w:hint="eastAsia" w:ascii="方正仿宋_GB2312" w:hAnsi="方正仿宋_GB2312" w:eastAsia="方正仿宋_GB2312" w:cs="方正仿宋_GB2312"/>
          <w:b w:val="0"/>
          <w:bCs w:val="0"/>
          <w:color w:val="auto"/>
          <w:kern w:val="0"/>
          <w:sz w:val="32"/>
          <w:szCs w:val="32"/>
          <w:lang w:val="en-US" w:eastAsia="zh-CN" w:bidi="ar"/>
        </w:rPr>
      </w:pPr>
    </w:p>
    <w:p w14:paraId="1FB16920">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200"/>
        <w:jc w:val="both"/>
        <w:textAlignment w:val="auto"/>
        <w:rPr>
          <w:rFonts w:hint="default" w:ascii="方正楷体_GB2312" w:hAnsi="方正楷体_GB2312" w:eastAsia="方正楷体_GB2312" w:cs="方正楷体_GB2312"/>
          <w:b w:val="0"/>
          <w:bCs w:val="0"/>
          <w:color w:val="auto"/>
          <w:kern w:val="0"/>
          <w:sz w:val="32"/>
          <w:szCs w:val="32"/>
          <w:lang w:val="en-US" w:eastAsia="zh-CN" w:bidi="ar"/>
        </w:rPr>
      </w:pPr>
    </w:p>
    <w:p w14:paraId="5AF8C0BC">
      <w:pPr>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both"/>
        <w:textAlignment w:val="auto"/>
        <w:rPr>
          <w:rFonts w:hint="default" w:ascii="方正仿宋_GB2312" w:hAnsi="方正仿宋_GB2312" w:eastAsia="方正仿宋_GB2312" w:cs="方正仿宋_GB2312"/>
          <w:b w:val="0"/>
          <w:bCs w:val="0"/>
          <w:color w:val="auto"/>
          <w:kern w:val="0"/>
          <w:sz w:val="32"/>
          <w:szCs w:val="32"/>
          <w:lang w:val="en-US" w:eastAsia="zh-CN" w:bidi="ar"/>
        </w:rPr>
      </w:pPr>
    </w:p>
    <w:p w14:paraId="7A4A1762">
      <w:pPr>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both"/>
        <w:textAlignment w:val="auto"/>
        <w:rPr>
          <w:rFonts w:hint="eastAsia" w:ascii="方正仿宋_GB2312" w:hAnsi="方正仿宋_GB2312" w:eastAsia="方正仿宋_GB2312" w:cs="方正仿宋_GB2312"/>
          <w:b w:val="0"/>
          <w:bCs w:val="0"/>
          <w:color w:val="auto"/>
          <w:kern w:val="0"/>
          <w:sz w:val="32"/>
          <w:szCs w:val="32"/>
          <w:lang w:val="en-US" w:eastAsia="zh-CN" w:bidi="ar"/>
        </w:rPr>
      </w:pPr>
    </w:p>
    <w:p w14:paraId="301185D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黑体" w:hAnsi="黑体" w:eastAsia="黑体" w:cs="黑体"/>
          <w:color w:val="auto"/>
          <w:sz w:val="32"/>
          <w:szCs w:val="32"/>
          <w:lang w:val="en-US" w:eastAsia="zh-CN"/>
        </w:rPr>
      </w:pPr>
    </w:p>
    <w:p w14:paraId="32D37D06">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color w:val="auto"/>
          <w:sz w:val="32"/>
          <w:szCs w:val="32"/>
        </w:rPr>
      </w:pPr>
    </w:p>
    <w:p w14:paraId="63C70E01">
      <w:pPr>
        <w:jc w:val="center"/>
        <w:rPr>
          <w:rFonts w:hint="eastAsia" w:ascii="方正公文小标宋" w:hAnsi="方正公文小标宋" w:eastAsia="方正公文小标宋" w:cs="方正公文小标宋"/>
          <w:b w:val="0"/>
          <w:bCs w:val="0"/>
          <w:color w:val="auto"/>
          <w:sz w:val="44"/>
          <w:szCs w:val="44"/>
          <w:lang w:val="en-US" w:eastAsia="zh-CN"/>
        </w:rPr>
      </w:pPr>
    </w:p>
    <w:p w14:paraId="527ED967">
      <w:pPr>
        <w:rPr>
          <w:color w:val="auto"/>
        </w:rPr>
      </w:pPr>
    </w:p>
    <w:sectPr>
      <w:footerReference r:id="rId3" w:type="default"/>
      <w:pgSz w:w="11906" w:h="16838"/>
      <w:pgMar w:top="2098" w:right="1587"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70F2F6B-93B2-46B7-89B0-CFF527146C8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CCA081D-389F-4987-9582-5A3807F1875E}"/>
  </w:font>
  <w:font w:name="方正小标宋_GBK">
    <w:panose1 w:val="03000509000000000000"/>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embedRegular r:id="rId3" w:fontKey="{ACE1C72F-C2BD-4B28-B6A8-F60D36E9301C}"/>
  </w:font>
  <w:font w:name="方正仿宋_GB2312">
    <w:panose1 w:val="02000000000000000000"/>
    <w:charset w:val="86"/>
    <w:family w:val="auto"/>
    <w:pitch w:val="default"/>
    <w:sig w:usb0="A00002BF" w:usb1="184F6CFA" w:usb2="00000012" w:usb3="00000000" w:csb0="00040001" w:csb1="00000000"/>
    <w:embedRegular r:id="rId4" w:fontKey="{DA22ABA5-19D4-4CB7-90D2-35D0B9F64F02}"/>
  </w:font>
  <w:font w:name="仿宋_GB2312">
    <w:panose1 w:val="02010609030101010101"/>
    <w:charset w:val="86"/>
    <w:family w:val="modern"/>
    <w:pitch w:val="default"/>
    <w:sig w:usb0="00000001" w:usb1="080E0000" w:usb2="00000000" w:usb3="00000000" w:csb0="00040000" w:csb1="00000000"/>
    <w:embedRegular r:id="rId5" w:fontKey="{F471FBB9-6FE0-4BF7-A444-86AC0B9795B2}"/>
  </w:font>
  <w:font w:name="楷体">
    <w:panose1 w:val="02010609060101010101"/>
    <w:charset w:val="86"/>
    <w:family w:val="auto"/>
    <w:pitch w:val="default"/>
    <w:sig w:usb0="800002BF" w:usb1="38CF7CFA" w:usb2="00000016" w:usb3="00000000" w:csb0="00040001" w:csb1="00000000"/>
    <w:embedRegular r:id="rId6" w:fontKey="{3CF36F82-BEB7-46A3-A248-A3C148FF275A}"/>
  </w:font>
  <w:font w:name="楷体_GB2312">
    <w:panose1 w:val="02010609030101010101"/>
    <w:charset w:val="86"/>
    <w:family w:val="auto"/>
    <w:pitch w:val="default"/>
    <w:sig w:usb0="00000001" w:usb1="080E0000" w:usb2="00000000" w:usb3="00000000" w:csb0="00040000" w:csb1="00000000"/>
    <w:embedRegular r:id="rId7" w:fontKey="{E54BBF18-6534-47F5-BA56-5A274613065B}"/>
  </w:font>
  <w:font w:name="方正楷体_GB2312">
    <w:panose1 w:val="02000000000000000000"/>
    <w:charset w:val="86"/>
    <w:family w:val="auto"/>
    <w:pitch w:val="default"/>
    <w:sig w:usb0="A00002BF" w:usb1="184F6CFA" w:usb2="00000012" w:usb3="00000000" w:csb0="00040001" w:csb1="00000000"/>
    <w:embedRegular r:id="rId8" w:fontKey="{A7A70A79-4C9E-4DDC-A731-AC6D2385B8C4}"/>
  </w:font>
  <w:font w:name="仿宋">
    <w:panose1 w:val="02010609060101010101"/>
    <w:charset w:val="86"/>
    <w:family w:val="auto"/>
    <w:pitch w:val="default"/>
    <w:sig w:usb0="800002BF" w:usb1="38CF7CFA" w:usb2="00000016" w:usb3="00000000" w:csb0="00040001" w:csb1="00000000"/>
    <w:embedRegular r:id="rId9" w:fontKey="{6198B92E-922C-44BA-9FAD-070695252E32}"/>
  </w:font>
  <w:font w:name="方正公文小标宋">
    <w:panose1 w:val="02000500000000000000"/>
    <w:charset w:val="86"/>
    <w:family w:val="auto"/>
    <w:pitch w:val="default"/>
    <w:sig w:usb0="A00002BF" w:usb1="38CF7CFA" w:usb2="00000016" w:usb3="00000000" w:csb0="00040001" w:csb1="00000000"/>
    <w:embedRegular r:id="rId10" w:fontKey="{7E64B0F6-BF63-455A-A3C2-5A4C7B704138}"/>
  </w:font>
  <w:font w:name="WPSEMBED1">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939D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2D180C">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42D180C">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A49D25"/>
    <w:multiLevelType w:val="singleLevel"/>
    <w:tmpl w:val="8DA49D25"/>
    <w:lvl w:ilvl="0" w:tentative="0">
      <w:start w:val="2"/>
      <w:numFmt w:val="chineseCounting"/>
      <w:suff w:val="nothing"/>
      <w:lvlText w:val="（%1）"/>
      <w:lvlJc w:val="left"/>
      <w:rPr>
        <w:rFonts w:hint="eastAsia"/>
      </w:rPr>
    </w:lvl>
  </w:abstractNum>
  <w:abstractNum w:abstractNumId="1">
    <w:nsid w:val="033D4704"/>
    <w:multiLevelType w:val="singleLevel"/>
    <w:tmpl w:val="033D4704"/>
    <w:lvl w:ilvl="0" w:tentative="0">
      <w:start w:val="4"/>
      <w:numFmt w:val="chineseCounting"/>
      <w:suff w:val="nothing"/>
      <w:lvlText w:val="%1、"/>
      <w:lvlJc w:val="left"/>
      <w:rPr>
        <w:rFonts w:hint="eastAsia"/>
      </w:rPr>
    </w:lvl>
  </w:abstractNum>
  <w:abstractNum w:abstractNumId="2">
    <w:nsid w:val="33831794"/>
    <w:multiLevelType w:val="singleLevel"/>
    <w:tmpl w:val="33831794"/>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s>
  <w:rsids>
    <w:rsidRoot w:val="00000000"/>
    <w:rsid w:val="0691128D"/>
    <w:rsid w:val="10640044"/>
    <w:rsid w:val="1CCF0BE9"/>
    <w:rsid w:val="3BEE0B96"/>
    <w:rsid w:val="44BA76D1"/>
    <w:rsid w:val="4D730361"/>
    <w:rsid w:val="5EF00B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459</Words>
  <Characters>479</Characters>
  <Lines>0</Lines>
  <Paragraphs>0</Paragraphs>
  <TotalTime>5</TotalTime>
  <ScaleCrop>false</ScaleCrop>
  <LinksUpToDate>false</LinksUpToDate>
  <CharactersWithSpaces>479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2022-02-11T08:41:00Z</dcterms:created>
  <dc:creator>Administrator</dc:creator>
  <cp:lastModifiedBy>若菲</cp:lastModifiedBy>
  <cp:lastPrinted>2026-02-03T07:03:00Z</cp:lastPrinted>
  <dcterms:modified xsi:type="dcterms:W3CDTF">2026-04-02T03:06:46Z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48E941D0D0E34B628012A1A85F568BC9_13</vt:lpwstr>
  </property>
  <property fmtid="{D5CDD505-2E9C-101B-9397-08002B2CF9AE}" pid="4" name="KSOTemplateDocerSaveRecord">
    <vt:lpwstr>eyJoZGlkIjoiNGIyN2Q2MGRhZWZiYWRkOGMwNGE5MzE0N2M5ZjU1NGYiLCJ1c2VySWQiOiI0MTIwNzAzOTcifQ==</vt:lpwstr>
  </property>
</Properties>
</file>