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鲁山县退役军人事务局</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关于2024年法治政府建设情况的报告</w:t>
      </w:r>
    </w:p>
    <w:p>
      <w:pPr>
        <w:pStyle w:val="3"/>
        <w:rPr>
          <w:rFonts w:hint="eastAsia"/>
        </w:rPr>
      </w:pPr>
    </w:p>
    <w:p>
      <w:pPr>
        <w:pStyle w:val="2"/>
        <w:pageBreakBefore w:val="0"/>
        <w:widowControl w:val="0"/>
        <w:kinsoku/>
        <w:wordWrap/>
        <w:overflowPunct/>
        <w:topLinePunct w:val="0"/>
        <w:autoSpaceDE/>
        <w:autoSpaceDN/>
        <w:bidi w:val="0"/>
        <w:adjustRightInd/>
        <w:snapToGrid/>
        <w:spacing w:beforeLines="0" w:afterLines="0" w:line="560" w:lineRule="exact"/>
        <w:textAlignment w:val="auto"/>
        <w:rPr>
          <w:rFonts w:hint="eastAsia" w:ascii="仿宋_GB2312" w:hAnsi="仿宋_GB2312" w:eastAsia="仿宋_GB2312" w:cs="仿宋_GB2312"/>
          <w:snapToGrid/>
          <w:color w:val="auto"/>
          <w:kern w:val="2"/>
          <w:sz w:val="32"/>
          <w:szCs w:val="32"/>
          <w:lang w:val="en-US" w:eastAsia="zh-CN" w:bidi="ar-SA"/>
        </w:rPr>
      </w:pPr>
      <w:r>
        <w:rPr>
          <w:rFonts w:hint="eastAsia" w:ascii="仿宋_GB2312" w:hAnsi="仿宋_GB2312" w:eastAsia="仿宋_GB2312" w:cs="仿宋_GB2312"/>
          <w:snapToGrid/>
          <w:color w:val="auto"/>
          <w:kern w:val="2"/>
          <w:sz w:val="32"/>
          <w:szCs w:val="32"/>
          <w:lang w:val="en-US" w:eastAsia="zh-CN" w:bidi="ar-SA"/>
        </w:rPr>
        <w:t>2024年，我局坚持以习近平新时代中国特色社会主义思想为指导，认真学习贯彻习总书记关于法治建设的重要指示精神，在县委、县政府正确领导下，加强退役军人服务保障工作，维护退役军人合法权益，高水平推进我县退役军人事务领域治理体系和治理能力现代化，现将2024年度法治政府建设工作汇报如下：</w:t>
      </w:r>
    </w:p>
    <w:p>
      <w:pPr>
        <w:pStyle w:val="2"/>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rPr>
      </w:pPr>
      <w:r>
        <w:rPr>
          <w:rFonts w:hint="eastAsia"/>
          <w:lang w:val="en-US" w:eastAsia="zh-CN"/>
        </w:rPr>
        <w:t>一、2024年度党政主要负责人履行推进法治建设第一责任人职责，加强法治政府建设的有关情况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我局主要负责人带头认真履行法治建设重要组织者、推动者和实践者职责，坚持重要工作亲自部署、重大问题亲自过问、重点环节亲自协调、重要任务亲自督办，深入推进“谁执法谁普法”普法责任制落实，准确把握我县退役军人工作面临的新形势新任务新要求，积极推进县委、县政府关于全面依法治县的决策部署。</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（一）落实“三个到位”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default" w:ascii="仿宋_GB2312" w:hAnsi="仿宋_GB2312" w:eastAsia="仿宋_GB2312" w:cs="仿宋_GB2312"/>
          <w:color w:val="auto"/>
          <w:sz w:val="32"/>
          <w:szCs w:val="32"/>
          <w:lang w:val="en-US" w:eastAsia="zh-CN"/>
        </w:rPr>
        <w:t>每年将</w:t>
      </w:r>
      <w:r>
        <w:rPr>
          <w:rFonts w:hint="eastAsia" w:ascii="仿宋_GB2312" w:hAnsi="仿宋_GB2312" w:eastAsia="仿宋_GB2312" w:cs="仿宋_GB2312"/>
          <w:color w:val="auto"/>
          <w:sz w:val="32"/>
          <w:szCs w:val="32"/>
          <w:lang w:val="en-US" w:eastAsia="zh-CN"/>
        </w:rPr>
        <w:t>法治建设</w:t>
      </w:r>
      <w:r>
        <w:rPr>
          <w:rFonts w:hint="default" w:ascii="仿宋_GB2312" w:hAnsi="仿宋_GB2312" w:eastAsia="仿宋_GB2312" w:cs="仿宋_GB2312"/>
          <w:color w:val="auto"/>
          <w:sz w:val="32"/>
          <w:szCs w:val="32"/>
          <w:lang w:val="en-US" w:eastAsia="zh-CN"/>
        </w:rPr>
        <w:t>工作纳入年度目标管理考核，组织召开专题会议研究部署</w:t>
      </w:r>
      <w:r>
        <w:rPr>
          <w:rFonts w:hint="eastAsia" w:ascii="仿宋_GB2312" w:hAnsi="仿宋_GB2312" w:eastAsia="仿宋_GB2312" w:cs="仿宋_GB2312"/>
          <w:color w:val="auto"/>
          <w:sz w:val="32"/>
          <w:szCs w:val="32"/>
          <w:lang w:val="en-US" w:eastAsia="zh-CN"/>
        </w:rPr>
        <w:t>法治建设</w:t>
      </w:r>
      <w:r>
        <w:rPr>
          <w:rFonts w:hint="default" w:ascii="仿宋_GB2312" w:hAnsi="仿宋_GB2312" w:eastAsia="仿宋_GB2312" w:cs="仿宋_GB2312"/>
          <w:color w:val="auto"/>
          <w:sz w:val="32"/>
          <w:szCs w:val="32"/>
          <w:lang w:val="en-US" w:eastAsia="zh-CN"/>
        </w:rPr>
        <w:t>工作，做到组织领导、规划先行、经费保障均落实到位。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 w:hAnsi="楷体" w:eastAsia="楷体" w:cs="楷体"/>
          <w:b w:val="0"/>
          <w:bCs w:val="0"/>
          <w:color w:val="auto"/>
          <w:kern w:val="2"/>
          <w:sz w:val="32"/>
          <w:szCs w:val="32"/>
          <w:lang w:val="en-US" w:eastAsia="zh-CN" w:bidi="ar-SA"/>
        </w:rPr>
      </w:pPr>
      <w:r>
        <w:rPr>
          <w:rFonts w:hint="eastAsia" w:ascii="楷体" w:hAnsi="楷体" w:eastAsia="楷体" w:cs="楷体"/>
          <w:b w:val="0"/>
          <w:bCs w:val="0"/>
          <w:color w:val="auto"/>
          <w:kern w:val="2"/>
          <w:sz w:val="32"/>
          <w:szCs w:val="32"/>
          <w:lang w:val="en-US" w:eastAsia="zh-CN" w:bidi="ar-SA"/>
        </w:rPr>
        <w:t>（二）紧抓“四个重点”</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default" w:ascii="仿宋_GB2312" w:hAnsi="仿宋_GB2312" w:eastAsia="仿宋_GB2312" w:cs="仿宋_GB2312"/>
          <w:color w:val="auto"/>
          <w:sz w:val="32"/>
          <w:szCs w:val="32"/>
          <w:lang w:val="en-US" w:eastAsia="zh-CN"/>
        </w:rPr>
        <w:t>重点抓好机关工作人员</w:t>
      </w:r>
      <w:r>
        <w:rPr>
          <w:rFonts w:hint="eastAsia" w:ascii="仿宋_GB2312" w:hAnsi="仿宋_GB2312" w:eastAsia="仿宋_GB2312" w:cs="仿宋_GB2312"/>
          <w:color w:val="auto"/>
          <w:sz w:val="32"/>
          <w:szCs w:val="32"/>
          <w:lang w:val="en-US" w:eastAsia="zh-CN"/>
        </w:rPr>
        <w:t>学</w:t>
      </w:r>
      <w:r>
        <w:rPr>
          <w:rFonts w:hint="default" w:ascii="仿宋_GB2312" w:hAnsi="仿宋_GB2312" w:eastAsia="仿宋_GB2312" w:cs="仿宋_GB2312"/>
          <w:color w:val="auto"/>
          <w:sz w:val="32"/>
          <w:szCs w:val="32"/>
          <w:lang w:val="en-US" w:eastAsia="zh-CN"/>
        </w:rPr>
        <w:t>法。每年开展一次“机关集中学法月活动”，并开展测试活动。每月开展一次局党组理论学习中心组专题学法，营造浓厚的学法氛围。</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default" w:ascii="仿宋_GB2312" w:hAnsi="仿宋_GB2312" w:eastAsia="仿宋_GB2312" w:cs="仿宋_GB2312"/>
          <w:color w:val="auto"/>
          <w:sz w:val="32"/>
          <w:szCs w:val="32"/>
          <w:lang w:val="en-US" w:eastAsia="zh-CN"/>
        </w:rPr>
        <w:t>重点抓好重大节日宣传活动。每年确定1-2个宣传重点，面向退役军人群体和社会大众，精心组织开展“12.4”国家宪法日“9.30国家公祭日”等法治宣传咨询活动。</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default" w:ascii="仿宋_GB2312" w:hAnsi="仿宋_GB2312" w:eastAsia="仿宋_GB2312" w:cs="仿宋_GB2312"/>
          <w:color w:val="auto"/>
          <w:sz w:val="32"/>
          <w:szCs w:val="32"/>
          <w:lang w:val="en-US" w:eastAsia="zh-CN"/>
        </w:rPr>
        <w:t>重点运用多种载体开展宣传。</w:t>
      </w:r>
      <w:r>
        <w:rPr>
          <w:rFonts w:hint="eastAsia" w:ascii="仿宋_GB2312" w:hAnsi="仿宋_GB2312" w:eastAsia="仿宋_GB2312" w:cs="仿宋_GB2312"/>
          <w:color w:val="auto"/>
          <w:sz w:val="32"/>
          <w:szCs w:val="32"/>
          <w:lang w:val="en-US" w:eastAsia="zh-CN"/>
        </w:rPr>
        <w:t>一是</w:t>
      </w:r>
      <w:r>
        <w:rPr>
          <w:rFonts w:hint="eastAsia" w:ascii="仿宋_GB2312" w:hAnsi="仿宋_GB2312" w:eastAsia="仿宋_GB2312" w:cs="仿宋_GB2312"/>
          <w:i w:val="0"/>
          <w:iCs w:val="0"/>
          <w:caps w:val="0"/>
          <w:color w:val="auto"/>
          <w:spacing w:val="0"/>
          <w:sz w:val="32"/>
          <w:szCs w:val="32"/>
          <w:shd w:val="clear" w:fill="FFFFFF"/>
          <w:lang w:val="en-US" w:eastAsia="zh-CN"/>
        </w:rPr>
        <w:t>印制宣传册、宣传彩页，</w:t>
      </w:r>
      <w:r>
        <w:rPr>
          <w:rFonts w:hint="eastAsia" w:ascii="仿宋_GB2312" w:hAnsi="仿宋_GB2312" w:eastAsia="仿宋_GB2312" w:cs="仿宋_GB2312"/>
          <w:color w:val="auto"/>
          <w:sz w:val="32"/>
          <w:szCs w:val="32"/>
          <w:lang w:val="en-US" w:eastAsia="zh-CN"/>
        </w:rPr>
        <w:t>制作宣传版面，在公共场所集中宣传，向广大群众宣传退役军人保障法、分发宣传册及彩页。二是在县退役军人服务大厅及退役军人服务窗口开展退役军人保障法、优待工作条例等专项法律法规的宣传。三是运用大屏幕进行宣传。四是开展大走访活动，将宣传送到退役老兵家中。五是组织送政策进军营活动，为部队官兵送去法律宣传，提升官兵的荣誉感和尊崇感，促进部队官兵坚定信心，扎根军营，担当奉献</w:t>
      </w:r>
      <w:r>
        <w:rPr>
          <w:rFonts w:hint="default" w:ascii="仿宋_GB2312" w:hAnsi="仿宋_GB2312" w:eastAsia="仿宋_GB2312" w:cs="仿宋_GB2312"/>
          <w:color w:val="auto"/>
          <w:sz w:val="32"/>
          <w:szCs w:val="32"/>
          <w:lang w:val="en-US"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楷体" w:hAnsi="楷体" w:eastAsia="楷体" w:cs="楷体"/>
          <w:b w:val="0"/>
          <w:bCs w:val="0"/>
          <w:color w:val="auto"/>
          <w:kern w:val="2"/>
          <w:sz w:val="32"/>
          <w:szCs w:val="32"/>
          <w:lang w:val="en-US" w:eastAsia="zh-CN" w:bidi="ar-SA"/>
        </w:rPr>
      </w:pPr>
      <w:r>
        <w:rPr>
          <w:rFonts w:hint="eastAsia" w:ascii="楷体" w:hAnsi="楷体" w:eastAsia="楷体" w:cs="楷体"/>
          <w:b w:val="0"/>
          <w:bCs w:val="0"/>
          <w:color w:val="auto"/>
          <w:kern w:val="2"/>
          <w:sz w:val="32"/>
          <w:szCs w:val="32"/>
          <w:lang w:val="en-US" w:eastAsia="zh-CN" w:bidi="ar-SA"/>
        </w:rPr>
        <w:t>（三）实现三个显著“增强”</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rPr>
      </w:pPr>
      <w:r>
        <w:rPr>
          <w:rFonts w:hint="default" w:ascii="仿宋_GB2312" w:hAnsi="仿宋_GB2312" w:eastAsia="仿宋_GB2312" w:cs="仿宋_GB2312"/>
          <w:color w:val="auto"/>
          <w:sz w:val="32"/>
          <w:szCs w:val="32"/>
          <w:lang w:val="en-US" w:eastAsia="zh-CN"/>
        </w:rPr>
        <w:t>一是法治意识显著增强。全局广大干部职工的法治素养明显增强，依法依规办事的自觉性进一步提高。二是合法合规意识显著增强。办理的案件，使用法律更准确，程序更规范、更高效。三是服务保障能力显著增强。始终坚持把</w:t>
      </w:r>
      <w:r>
        <w:rPr>
          <w:rFonts w:hint="eastAsia" w:ascii="仿宋_GB2312" w:hAnsi="仿宋_GB2312" w:eastAsia="仿宋_GB2312" w:cs="仿宋_GB2312"/>
          <w:color w:val="auto"/>
          <w:sz w:val="32"/>
          <w:szCs w:val="32"/>
          <w:lang w:val="en-US" w:eastAsia="zh-CN"/>
        </w:rPr>
        <w:t>法治建设</w:t>
      </w:r>
      <w:r>
        <w:rPr>
          <w:rFonts w:hint="default" w:ascii="仿宋_GB2312" w:hAnsi="仿宋_GB2312" w:eastAsia="仿宋_GB2312" w:cs="仿宋_GB2312"/>
          <w:color w:val="auto"/>
          <w:sz w:val="32"/>
          <w:szCs w:val="32"/>
          <w:lang w:val="en-US" w:eastAsia="zh-CN"/>
        </w:rPr>
        <w:t>工作作为推动依法行政、推动服务保障能力提升的一个重要抓手，加强政策解读工作，以政策服务为着力点，对退役军人事务系统的重大法规政策跟进宣传解读，及时帮助服务对象了解政策、用好政策，着力打通服务退役军人最后一公里，进一步提升了服务水平。</w:t>
      </w:r>
    </w:p>
    <w:p>
      <w:pPr>
        <w:pStyle w:val="2"/>
        <w:pageBreakBefore w:val="0"/>
        <w:widowControl w:val="0"/>
        <w:kinsoku/>
        <w:wordWrap/>
        <w:overflowPunct/>
        <w:topLinePunct w:val="0"/>
        <w:autoSpaceDE/>
        <w:autoSpaceDN/>
        <w:bidi w:val="0"/>
        <w:adjustRightInd/>
        <w:snapToGrid/>
        <w:spacing w:beforeLines="0" w:afterLines="0" w:line="560" w:lineRule="exact"/>
        <w:textAlignment w:val="auto"/>
        <w:rPr>
          <w:rFonts w:hint="eastAsia"/>
        </w:rPr>
      </w:pPr>
      <w:r>
        <w:rPr>
          <w:rFonts w:hint="eastAsia"/>
          <w:lang w:val="en-US" w:eastAsia="zh-CN"/>
        </w:rPr>
        <w:t>二</w:t>
      </w:r>
      <w:r>
        <w:rPr>
          <w:rFonts w:hint="eastAsia"/>
        </w:rPr>
        <w:t>、</w:t>
      </w:r>
      <w:r>
        <w:rPr>
          <w:rFonts w:hint="eastAsia"/>
          <w:lang w:val="en-US" w:eastAsia="zh-CN"/>
        </w:rPr>
        <w:t>2024年度推进法治政府建设的主要举措和成效</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（一）加强组织领导和保障，提高法治意识和依法行政能力</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1.落实法治建设工作责任制。坚持以法治建设工作为契机促进退役军人事务系统队伍建设，明确责任分工，形成了主要领导负总责，分管领导具体抓，股室负责人抓落实的良好机制。</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2.确保职能发挥到位。以制度建设为突破口，完善各项工作制度，促进职能作用的发挥。制定工作计划，将工作任务分解到每个股室，形成人人肩上有担子，个个身上有压力。</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建立学法用法工作制度。每月定期召开中心组学习会，每季度组织乡镇退役军人服务站集中学习，把法治宣传教育内容纳入学习计划，增强退役军人事务系统法治意识、法治思维以及依法维护退役军人合法权益的自觉性。</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（二）深入推进法治宣传，营造良好法治氛围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1.线上充分利用“中国普法”微信公众号、学习强国APP等在退役军人事务系统内广泛学习了《宪法》《退役士兵安置条例》《军人抚恤优待条例》《中华人民共和国退役军人保障法》等法律法规。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线下结合宪法宣传周、退役军人专场招聘会，重要节日走访慰问等活动，我局工作人员通过摆放宣传展板、发放宣传彩页等方式，向辖区退役军人、军属等宣传退役军人就业创业、移交安置、待遇保障、抚恤优待、荣誉激励、教育管理等政策规定。</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sz w:val="32"/>
          <w:szCs w:val="32"/>
          <w:lang w:val="en-US" w:eastAsia="zh-CN"/>
        </w:rPr>
      </w:pPr>
      <w:r>
        <w:rPr>
          <w:rFonts w:hint="eastAsia" w:ascii="楷体" w:hAnsi="楷体" w:eastAsia="楷体" w:cs="楷体"/>
          <w:b w:val="0"/>
          <w:bCs w:val="0"/>
          <w:color w:val="auto"/>
          <w:sz w:val="32"/>
          <w:szCs w:val="32"/>
          <w:lang w:val="en-US" w:eastAsia="zh-CN"/>
        </w:rPr>
        <w:t>（三）健全矛盾纠纷处理机制，有效化解社会矛盾纠纷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1.依托退役军人服务工作站，充分发挥工作职能，组织开展调解工作，把矛盾化解在萌芽状态</w:t>
      </w:r>
      <w:r>
        <w:rPr>
          <w:rFonts w:hint="eastAsia" w:ascii="仿宋_GB2312" w:hAnsi="仿宋_GB2312" w:eastAsia="仿宋_GB2312" w:cs="仿宋_GB2312"/>
          <w:b/>
          <w:bCs/>
          <w:color w:val="auto"/>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充分发挥退役军人法律援助工作站的作用。自成立县退役军人法律援助工作站后，县司法局每周二由派驻值班律师作为法律顾问，为全县退役军人及家属提供给免费法律咨询、法治教育等法律援助服务，自法律援助站成立以来共帮助解决退役军人的合理诉求35件，为维护退役军人合法权益提供了有力保障。</w:t>
      </w:r>
    </w:p>
    <w:p>
      <w:pPr>
        <w:pStyle w:val="2"/>
        <w:pageBreakBefore w:val="0"/>
        <w:widowControl w:val="0"/>
        <w:kinsoku/>
        <w:wordWrap/>
        <w:overflowPunct/>
        <w:topLinePunct w:val="0"/>
        <w:autoSpaceDE/>
        <w:autoSpaceDN/>
        <w:bidi w:val="0"/>
        <w:adjustRightInd/>
        <w:snapToGrid/>
        <w:spacing w:beforeLines="0" w:afterLines="0" w:line="560" w:lineRule="exact"/>
        <w:ind w:left="0" w:leftChars="0" w:firstLine="640" w:firstLineChars="200"/>
        <w:textAlignment w:val="auto"/>
        <w:rPr>
          <w:rFonts w:hint="eastAsia"/>
        </w:rPr>
      </w:pPr>
      <w:r>
        <w:rPr>
          <w:rFonts w:hint="eastAsia"/>
          <w:lang w:val="en-US" w:eastAsia="zh-CN"/>
        </w:rPr>
        <w:t>三、2024年度推进法治政府建设存在的不足、原因和问题整改情况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2024年，我局法治政府建设工作始终坚持高标准、严要求，取得了一些成绩，但仍然存在一些问题和不足：一是普法宣传的广度和力度还不够，宣传范围还未达到全覆盖，宣传力度不足，存在宣传的盲区；二是部分执法人员法治意识仍待提升。法治工作严谨性、细致性要求高，在实际工作中表现有时不够深入细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四、下一年度推进法治政府建设的初步安排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kern w:val="2"/>
          <w:sz w:val="32"/>
          <w:szCs w:val="32"/>
          <w:lang w:val="en-US" w:eastAsia="zh-CN" w:bidi="ar-SA"/>
        </w:rPr>
      </w:pPr>
      <w:r>
        <w:rPr>
          <w:rFonts w:hint="eastAsia" w:ascii="楷体" w:hAnsi="楷体" w:eastAsia="楷体" w:cs="楷体"/>
          <w:b w:val="0"/>
          <w:bCs w:val="0"/>
          <w:color w:val="auto"/>
          <w:kern w:val="2"/>
          <w:sz w:val="32"/>
          <w:szCs w:val="32"/>
          <w:lang w:val="en-US" w:eastAsia="zh-CN" w:bidi="ar-SA"/>
        </w:rPr>
        <w:t>（一)强化组织领导</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继续建立健全组织机制，明确全局分工，并按照县政府和上级部门要求，结合部门实际，制定具体的计划措施。建立健全学法制度，强化法</w:t>
      </w:r>
      <w:r>
        <w:rPr>
          <w:rFonts w:hint="eastAsia" w:ascii="仿宋_GB2312" w:hAnsi="仿宋_GB2312" w:eastAsia="仿宋_GB2312" w:cs="仿宋_GB2312"/>
          <w:sz w:val="32"/>
          <w:szCs w:val="32"/>
          <w:lang w:val="en-US" w:eastAsia="zh-CN"/>
        </w:rPr>
        <w:t>治</w:t>
      </w:r>
      <w:r>
        <w:rPr>
          <w:rFonts w:hint="default" w:ascii="仿宋_GB2312" w:hAnsi="仿宋_GB2312" w:eastAsia="仿宋_GB2312" w:cs="仿宋_GB2312"/>
          <w:sz w:val="32"/>
          <w:szCs w:val="32"/>
          <w:lang w:val="en-US" w:eastAsia="zh-CN"/>
        </w:rPr>
        <w:t>宣传教育，加强法</w:t>
      </w:r>
      <w:r>
        <w:rPr>
          <w:rFonts w:hint="eastAsia" w:ascii="仿宋_GB2312" w:hAnsi="仿宋_GB2312" w:eastAsia="仿宋_GB2312" w:cs="仿宋_GB2312"/>
          <w:sz w:val="32"/>
          <w:szCs w:val="32"/>
          <w:lang w:val="en-US" w:eastAsia="zh-CN"/>
        </w:rPr>
        <w:t>治</w:t>
      </w:r>
      <w:r>
        <w:rPr>
          <w:rFonts w:hint="default" w:ascii="仿宋_GB2312" w:hAnsi="仿宋_GB2312" w:eastAsia="仿宋_GB2312" w:cs="仿宋_GB2312"/>
          <w:sz w:val="32"/>
          <w:szCs w:val="32"/>
          <w:lang w:val="en-US" w:eastAsia="zh-CN"/>
        </w:rPr>
        <w:t>培训和业务培训，进</w:t>
      </w:r>
      <w:r>
        <w:rPr>
          <w:rFonts w:hint="eastAsia" w:ascii="仿宋_GB2312" w:hAnsi="仿宋_GB2312" w:eastAsia="仿宋_GB2312" w:cs="仿宋_GB2312"/>
          <w:sz w:val="32"/>
          <w:szCs w:val="32"/>
          <w:lang w:val="en-US" w:eastAsia="zh-CN"/>
        </w:rPr>
        <w:t>一</w:t>
      </w:r>
      <w:bookmarkStart w:id="0" w:name="_GoBack"/>
      <w:bookmarkEnd w:id="0"/>
      <w:r>
        <w:rPr>
          <w:rFonts w:hint="default" w:ascii="仿宋_GB2312" w:hAnsi="仿宋_GB2312" w:eastAsia="仿宋_GB2312" w:cs="仿宋_GB2312"/>
          <w:sz w:val="32"/>
          <w:szCs w:val="32"/>
          <w:lang w:val="en-US" w:eastAsia="zh-CN"/>
        </w:rPr>
        <w:t>步提高全局干部职工依法行政工作能力。</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kern w:val="2"/>
          <w:sz w:val="32"/>
          <w:szCs w:val="32"/>
          <w:lang w:val="en-US" w:eastAsia="zh-CN" w:bidi="ar-SA"/>
        </w:rPr>
      </w:pPr>
      <w:r>
        <w:rPr>
          <w:rFonts w:hint="eastAsia" w:ascii="楷体" w:hAnsi="楷体" w:eastAsia="楷体" w:cs="楷体"/>
          <w:b w:val="0"/>
          <w:bCs w:val="0"/>
          <w:color w:val="auto"/>
          <w:kern w:val="2"/>
          <w:sz w:val="32"/>
          <w:szCs w:val="32"/>
          <w:lang w:val="en-US" w:eastAsia="zh-CN" w:bidi="ar-SA"/>
        </w:rPr>
        <w:t>(二)完善决策机制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继续完善法律顾问制度、重大行政决策机制、提升行政决策法治水平，全面提高工作人员法治思维和依法行政能力。加强规范性文件发布管理，确保行政决策合法有效。完善政务公开制度，及时主动公开各类政务信息。</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kern w:val="2"/>
          <w:sz w:val="32"/>
          <w:szCs w:val="32"/>
          <w:lang w:val="en-US" w:eastAsia="zh-CN" w:bidi="ar-SA"/>
        </w:rPr>
      </w:pPr>
      <w:r>
        <w:rPr>
          <w:rFonts w:hint="eastAsia" w:ascii="楷体" w:hAnsi="楷体" w:eastAsia="楷体" w:cs="楷体"/>
          <w:b w:val="0"/>
          <w:bCs w:val="0"/>
          <w:color w:val="auto"/>
          <w:kern w:val="2"/>
          <w:sz w:val="32"/>
          <w:szCs w:val="32"/>
          <w:lang w:val="en-US" w:eastAsia="zh-CN" w:bidi="ar-SA"/>
        </w:rPr>
        <w:t>(三)深化法治教育</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深入贯彻习近平法治思想，以科学理论为指导，加强理论思维，不断从理论和实践的结合上取得新进展，总结好、运用好党关于新时代加强法治建设的思想理论成果。加大法律知识学习和法治意识培训，提升队伍整体素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color w:val="auto"/>
          <w:kern w:val="2"/>
          <w:sz w:val="32"/>
          <w:szCs w:val="32"/>
          <w:lang w:val="en-US" w:eastAsia="zh-CN" w:bidi="ar-SA"/>
        </w:rPr>
      </w:pPr>
      <w:r>
        <w:rPr>
          <w:rFonts w:hint="eastAsia" w:ascii="楷体" w:hAnsi="楷体" w:eastAsia="楷体" w:cs="楷体"/>
          <w:b w:val="0"/>
          <w:bCs w:val="0"/>
          <w:color w:val="auto"/>
          <w:kern w:val="2"/>
          <w:sz w:val="32"/>
          <w:szCs w:val="32"/>
          <w:lang w:val="en-US" w:eastAsia="zh-CN" w:bidi="ar-SA"/>
        </w:rPr>
        <w:t>（四）加大法治宣传力度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shd w:val="clear" w:color="auto" w:fill="auto"/>
        </w:rPr>
      </w:pPr>
      <w:r>
        <w:rPr>
          <w:rFonts w:hint="eastAsia" w:ascii="仿宋_GB2312" w:hAnsi="仿宋_GB2312" w:eastAsia="仿宋_GB2312" w:cs="仿宋_GB2312"/>
          <w:b w:val="0"/>
          <w:bCs w:val="0"/>
          <w:sz w:val="32"/>
          <w:szCs w:val="32"/>
          <w:shd w:val="clear" w:color="auto" w:fill="auto"/>
        </w:rPr>
        <w:t>将</w:t>
      </w:r>
      <w:r>
        <w:rPr>
          <w:rFonts w:hint="eastAsia" w:ascii="仿宋_GB2312" w:hAnsi="仿宋_GB2312" w:eastAsia="仿宋_GB2312" w:cs="仿宋_GB2312"/>
          <w:b w:val="0"/>
          <w:bCs w:val="0"/>
          <w:sz w:val="32"/>
          <w:szCs w:val="32"/>
          <w:shd w:val="clear" w:color="auto" w:fill="auto"/>
          <w:lang w:eastAsia="zh-CN"/>
        </w:rPr>
        <w:t>法治宣传</w:t>
      </w:r>
      <w:r>
        <w:rPr>
          <w:rFonts w:hint="eastAsia" w:ascii="仿宋_GB2312" w:hAnsi="仿宋_GB2312" w:eastAsia="仿宋_GB2312" w:cs="仿宋_GB2312"/>
          <w:b w:val="0"/>
          <w:bCs w:val="0"/>
          <w:sz w:val="32"/>
          <w:szCs w:val="32"/>
          <w:shd w:val="clear" w:color="auto" w:fill="auto"/>
        </w:rPr>
        <w:t>与日常工作相结合，充分利用各种渠道向</w:t>
      </w:r>
      <w:r>
        <w:rPr>
          <w:rFonts w:hint="eastAsia" w:ascii="仿宋_GB2312" w:hAnsi="仿宋_GB2312" w:eastAsia="仿宋_GB2312" w:cs="仿宋_GB2312"/>
          <w:b w:val="0"/>
          <w:bCs w:val="0"/>
          <w:sz w:val="32"/>
          <w:szCs w:val="32"/>
          <w:shd w:val="clear" w:color="auto" w:fill="auto"/>
          <w:lang w:eastAsia="zh-CN"/>
        </w:rPr>
        <w:t>退役军人群体</w:t>
      </w:r>
      <w:r>
        <w:rPr>
          <w:rFonts w:hint="eastAsia" w:ascii="仿宋_GB2312" w:hAnsi="仿宋_GB2312" w:eastAsia="仿宋_GB2312" w:cs="仿宋_GB2312"/>
          <w:b w:val="0"/>
          <w:bCs w:val="0"/>
          <w:sz w:val="32"/>
          <w:szCs w:val="32"/>
          <w:shd w:val="clear" w:color="auto" w:fill="auto"/>
        </w:rPr>
        <w:t>广泛宣传</w:t>
      </w:r>
      <w:r>
        <w:rPr>
          <w:rFonts w:hint="eastAsia" w:ascii="仿宋_GB2312" w:hAnsi="仿宋_GB2312" w:eastAsia="仿宋_GB2312" w:cs="仿宋_GB2312"/>
          <w:b w:val="0"/>
          <w:bCs w:val="0"/>
          <w:sz w:val="32"/>
          <w:szCs w:val="32"/>
          <w:shd w:val="clear" w:color="auto" w:fill="auto"/>
          <w:lang w:eastAsia="zh-CN"/>
        </w:rPr>
        <w:t>相关政策和</w:t>
      </w:r>
      <w:r>
        <w:rPr>
          <w:rFonts w:hint="eastAsia" w:ascii="仿宋_GB2312" w:hAnsi="仿宋_GB2312" w:eastAsia="仿宋_GB2312" w:cs="仿宋_GB2312"/>
          <w:b w:val="0"/>
          <w:bCs w:val="0"/>
          <w:sz w:val="32"/>
          <w:szCs w:val="32"/>
          <w:shd w:val="clear" w:color="auto" w:fill="auto"/>
        </w:rPr>
        <w:t>法律法规，为推进依法行政和法治政府建设营造良好的社会氛围。</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shd w:val="clear" w:color="auto" w:fill="auto"/>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z w:val="32"/>
          <w:szCs w:val="32"/>
          <w:shd w:val="clear" w:color="auto" w:fill="auto"/>
        </w:rPr>
      </w:pPr>
    </w:p>
    <w:p>
      <w:pPr>
        <w:keepNext w:val="0"/>
        <w:keepLines w:val="0"/>
        <w:pageBreakBefore w:val="0"/>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b w:val="0"/>
          <w:bCs w:val="0"/>
          <w:sz w:val="32"/>
          <w:szCs w:val="32"/>
          <w:shd w:val="clear" w:color="auto" w:fill="auto"/>
          <w:lang w:val="en-US" w:eastAsia="zh-CN"/>
        </w:rPr>
      </w:pPr>
      <w:r>
        <w:rPr>
          <w:rFonts w:hint="eastAsia" w:ascii="仿宋_GB2312" w:hAnsi="仿宋_GB2312" w:eastAsia="仿宋_GB2312" w:cs="仿宋_GB2312"/>
          <w:sz w:val="32"/>
          <w:szCs w:val="32"/>
          <w:lang w:val="en-US" w:eastAsia="zh-CN"/>
        </w:rPr>
        <w:t xml:space="preserve">2025年1月        </w:t>
      </w:r>
    </w:p>
    <w:sectPr>
      <w:footerReference r:id="rId3" w:type="default"/>
      <w:pgSz w:w="11906" w:h="16838"/>
      <w:pgMar w:top="1984" w:right="1531" w:bottom="1701" w:left="1531" w:header="851" w:footer="1361"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b2de8b51-b56b-4366-962a-b7238866a21d"/>
  </w:docVars>
  <w:rsids>
    <w:rsidRoot w:val="4F034C08"/>
    <w:rsid w:val="004F2C39"/>
    <w:rsid w:val="0882173B"/>
    <w:rsid w:val="1F147D30"/>
    <w:rsid w:val="1FAE3C21"/>
    <w:rsid w:val="29B97123"/>
    <w:rsid w:val="34C1017A"/>
    <w:rsid w:val="35A97830"/>
    <w:rsid w:val="3A6A08B3"/>
    <w:rsid w:val="4C0D3CD6"/>
    <w:rsid w:val="4F034C08"/>
    <w:rsid w:val="55FE3268"/>
    <w:rsid w:val="56544F4C"/>
    <w:rsid w:val="568F7E33"/>
    <w:rsid w:val="5E442379"/>
    <w:rsid w:val="72D34D8A"/>
    <w:rsid w:val="7B5E7793"/>
    <w:rsid w:val="7C1A7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cs="Arial"/>
      <w:snapToGrid w:val="0"/>
      <w:color w:val="000000"/>
      <w:kern w:val="0"/>
      <w:sz w:val="32"/>
      <w:szCs w:val="21"/>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widowControl w:val="0"/>
      <w:adjustRightInd/>
      <w:snapToGrid/>
      <w:spacing w:after="120"/>
      <w:jc w:val="both"/>
    </w:pPr>
    <w:rPr>
      <w:rFonts w:ascii="Times New Roman" w:hAnsi="Times New Roman" w:eastAsia="宋体"/>
      <w:kern w:val="2"/>
      <w:sz w:val="21"/>
      <w:szCs w:val="24"/>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line="270" w:lineRule="atLeast"/>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1540</Words>
  <Characters>1568</Characters>
  <Lines>0</Lines>
  <Paragraphs>0</Paragraphs>
  <TotalTime>4</TotalTime>
  <ScaleCrop>false</ScaleCrop>
  <LinksUpToDate>false</LinksUpToDate>
  <CharactersWithSpaces>1570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2022-11-03T09:01:00Z</dcterms:created>
  <dc:creator>123456</dc:creator>
  <cp:lastModifiedBy>86177</cp:lastModifiedBy>
  <cp:lastPrinted>2022-11-04T03:45:00Z</cp:lastPrinted>
  <dcterms:modified xsi:type="dcterms:W3CDTF">2025-03-14T00:48:00Z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8021DD96F62B4305831F6DD453E3450E_13</vt:lpwstr>
  </property>
</Properties>
</file>