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鲁山县退役军人事务局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关于2025年法治政府建设情况的报告</w:t>
      </w:r>
    </w:p>
    <w:p>
      <w:pPr>
        <w:pStyle w:val="3"/>
        <w:rPr>
          <w:rFonts w:hint="eastAsia"/>
        </w:rPr>
      </w:pPr>
    </w:p>
    <w:p>
      <w:pPr>
        <w:pStyle w:val="2"/>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2025年，我局坚持以习近平新时代中国特色社会主义思想为指导，认真学习贯彻习总书记关于法治建设的重要指示精神，在县委、县政府正确领导下，加强退役军人服务保障工作，维护退役军人合法权益，高水平推进我县退役军人事务领域治理体系和治理能力现代化，现将2025年度法治政府建设工作汇报如下：</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一、2025年度党政主要负责人履行推进法治建设第一责任人职责的情况</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局主要负责人带头认真履行法治建设重要组织者、推动者和实践者职责，坚持重要工作亲自部署、重大问题亲自过问、重点环节亲自协调、重要任务亲自督办，深入推进“谁执法谁普法”普法责任制落实，准确把握我县退役军人工作面临的新形势新任务新要求，积极推进县委、县政府关于全面依法治县的决策部署</w:t>
      </w:r>
      <w:r>
        <w:rPr>
          <w:rFonts w:hint="eastAsia" w:ascii="楷体" w:hAnsi="楷体" w:eastAsia="楷体" w:cs="楷体"/>
          <w:color w:val="auto"/>
          <w:sz w:val="32"/>
          <w:szCs w:val="32"/>
          <w:lang w:val="en-US" w:eastAsia="zh-CN"/>
        </w:rPr>
        <w:t>。</w:t>
      </w:r>
      <w:r>
        <w:rPr>
          <w:rFonts w:hint="eastAsia" w:ascii="仿宋_GB2312" w:hAnsi="仿宋_GB2312" w:eastAsia="仿宋_GB2312" w:cs="仿宋_GB2312"/>
          <w:color w:val="auto"/>
          <w:sz w:val="32"/>
          <w:szCs w:val="32"/>
          <w:lang w:val="en-US" w:eastAsia="zh-CN"/>
        </w:rPr>
        <w:t>将法治建设纳入全局工作“一盘棋”谋划，纳入年度工作计划和绩效考核体系，与退役军人核心业务同部署、同推进、同考核。成立由局由我任组长，班子成员任副组长，各股室负责人为成员的法治政府建设工作领导小组，形成“主要领导亲自抓、分管领导具体抓、责任股室抓落实、全员参与共推进”的工作格局。严格落实学法制度，将《宪法》《退役军人保障法》等法律法规纳入重点学习内容，全年带头领学法治专题4场次，为干部职工树立学法用法的鲜明标杆。严格遵循民主集中制原则与重大行政决策程序，“三重一大”事项全部通过集体讨论决定，确保各项决策始终在法治框架内科学有序推进。强化履职监督，推动落地见效。带头以法治思维和法治方式推动工作，主要领导亲自督办重大信访案件和复杂矛盾纠纷，全年深入基层调研法治建设落实情况8次，实地查看乡镇服务站政策执行、法治宣传等工作开展情况，及时发现并整改基层法治建设中的薄弱环节。督促班子成员严格履行“一岗双责”，将法治要求融入分管业务各环节，形成一级抓一级、层层抓落实的责任传导机制，以“关键少数”带动“绝大多数”，推动全局法治建设走深走实。​</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sz w:val="32"/>
          <w:szCs w:val="32"/>
          <w:lang w:val="en-US" w:eastAsia="zh-CN"/>
        </w:rPr>
        <w:t>二、2025</w:t>
      </w:r>
      <w:r>
        <w:rPr>
          <w:rFonts w:hint="eastAsia" w:ascii="黑体" w:hAnsi="黑体" w:eastAsia="黑体" w:cs="黑体"/>
          <w:sz w:val="32"/>
          <w:szCs w:val="32"/>
        </w:rPr>
        <w:t>年度推进法治政府建设的主要举措和成效</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（一）健全法治工作体系，筑牢建设根基。</w:t>
      </w:r>
      <w:r>
        <w:rPr>
          <w:rFonts w:hint="eastAsia" w:ascii="仿宋_GB2312" w:hAnsi="仿宋_GB2312" w:eastAsia="仿宋_GB2312" w:cs="仿宋_GB2312"/>
          <w:color w:val="auto"/>
          <w:sz w:val="32"/>
          <w:szCs w:val="32"/>
          <w:lang w:val="en-US" w:eastAsia="zh-CN"/>
        </w:rPr>
        <w:t>一是完善制度保障。全面梳理退役军人工作领域现有制度，修订完善《退役军人信访接待工作规范》《优抚资金发放管理办法》等制度2项，形成务实管用、操作性强的制度体系，为依法行政提供坚实制度支撑。二是强化队伍建设。建立常态化学法用法机制，将法律法规培训纳入干部职工教育培训重点内容，全年组织专题学法4次，覆盖了全体干部职工；聘请专业法律顾问1名，全程参与重大决策论证、合同审核等工作，2025年共提供法律咨询23次、开展法治宣讲1次，有效提升干部依法履职能力。​​</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（二）聚焦主责主业，提升依法行政效能。</w:t>
      </w:r>
      <w:r>
        <w:rPr>
          <w:rFonts w:hint="eastAsia" w:ascii="仿宋_GB2312" w:hAnsi="仿宋_GB2312" w:eastAsia="仿宋_GB2312" w:cs="仿宋_GB2312"/>
          <w:color w:val="auto"/>
          <w:sz w:val="32"/>
          <w:szCs w:val="32"/>
          <w:lang w:val="en-US" w:eastAsia="zh-CN"/>
        </w:rPr>
        <w:t>一是依法落实优抚安置政策。严格执行《军人抚恤优待条例》等法律法规，精准核查优抚对象信息，规范资金发放流程，确保各项待遇依法足额落实。2025年发放定期抚恤补助资金6684人5432万元，义务兵家庭优待金371人430万元。圆满完成年度退役士兵接收安置任务，28名符合安排工作条件的退役士兵全部妥善安置，安置质量和满意度持续提升。二是优化法治政务服务。深化“放管服”改革，全面梳理权责清单和公共服务事项，公开办事流程、申请材料、办理时限等信息。</w:t>
      </w:r>
      <w:r>
        <w:rPr>
          <w:rFonts w:hint="eastAsia" w:ascii="仿宋_GB2312" w:hAnsi="仿宋_GB2312" w:eastAsia="仿宋_GB2312" w:cs="仿宋_GB2312"/>
          <w:b w:val="0"/>
          <w:bCs w:val="0"/>
          <w:color w:val="auto"/>
          <w:sz w:val="32"/>
          <w:szCs w:val="32"/>
          <w:lang w:val="en-US" w:eastAsia="zh-CN"/>
        </w:rPr>
        <w:t>通过退役军人“一件事”系统网上受理报到220人次，办结率100%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三是强化权益依法保障。</w:t>
      </w:r>
      <w:r>
        <w:rPr>
          <w:rFonts w:hint="eastAsia" w:ascii="仿宋_GB2312" w:hAnsi="仿宋_GB2312" w:eastAsia="仿宋_GB2312" w:cs="仿宋_GB2312"/>
          <w:color w:val="auto"/>
          <w:sz w:val="32"/>
          <w:szCs w:val="32"/>
          <w:lang w:val="en-US" w:eastAsia="zh-CN"/>
        </w:rPr>
        <w:t>坚持和发展新时代“枫桥经验”，健全矛盾纠纷化解机制。规范信访接待流程，实行“领导包案、专人负责、限时办结”制度，设立接待窗口，全年办理退役军人信访41件，核查预警舆情16起，接待来访68批113人次。依托基层退役军人服务站组建“老兵工作室”，邀请优秀退役军人担任调解员，运用“身边人化解身边事”的方式，成功调解邻里纠纷、政策误解等矛盾问题36起，有效筑牢社会和谐稳定防线。​</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（三）深化普法宣传，营造良好法治氛围。</w:t>
      </w:r>
      <w:r>
        <w:rPr>
          <w:rFonts w:hint="eastAsia" w:ascii="仿宋_GB2312" w:hAnsi="仿宋_GB2312" w:eastAsia="仿宋_GB2312" w:cs="仿宋_GB2312"/>
          <w:color w:val="auto"/>
          <w:sz w:val="32"/>
          <w:szCs w:val="32"/>
          <w:lang w:val="en-US" w:eastAsia="zh-CN"/>
        </w:rPr>
        <w:t>严格落实“谁执法谁普法”普法责任制，构建多元化普法格局。结合“八一”建军节、烈士纪念日、国家宪法日等重要节点，开展“送法进军营”专项活动3场，通过悬挂横幅、发放宣传手册、现场咨询答疑等形式，向现役军人、退役军人及群众普及法律法规和政策知识，全年发放宣传资料1万余份，接待咨询群众200余人次。针对退役士兵适应性培训、就业创业专场招聘会等场景，嵌入法治教育模块，重点讲解劳动合同、权益维护、创业扶持等法律知识，提升退役军人依法维权和守法经营意识。</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w:t>
      </w:r>
      <w:r>
        <w:rPr>
          <w:rFonts w:hint="eastAsia" w:ascii="黑体" w:hAnsi="黑体" w:eastAsia="黑体" w:cs="黑体"/>
          <w:sz w:val="32"/>
          <w:szCs w:val="32"/>
          <w:lang w:val="en-US" w:eastAsia="zh-CN"/>
        </w:rPr>
        <w:t>2025年度推进法治政府建设存在的不足、原因和问题整改情况</w:t>
      </w:r>
      <w:r>
        <w:rPr>
          <w:rFonts w:hint="eastAsia" w:ascii="黑体" w:hAnsi="黑体" w:eastAsia="黑体" w:cs="黑体"/>
          <w:color w:val="auto"/>
          <w:sz w:val="32"/>
          <w:szCs w:val="32"/>
          <w:lang w:val="en-US" w:eastAsia="zh-CN"/>
        </w:rPr>
        <w:t>​</w:t>
      </w:r>
    </w:p>
    <w:p>
      <w:pPr>
        <w:keepNext w:val="0"/>
        <w:keepLines w:val="0"/>
        <w:pageBreakBefore w:val="0"/>
        <w:widowControl w:val="0"/>
        <w:kinsoku w:val="0"/>
        <w:wordWrap/>
        <w:overflowPunct w:val="0"/>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lang w:val="en-US" w:eastAsia="zh-CN"/>
        </w:rPr>
        <w:t>一是法治专业力量较为薄弱。</w:t>
      </w:r>
      <w:r>
        <w:rPr>
          <w:rFonts w:hint="eastAsia" w:ascii="仿宋_GB2312" w:hAnsi="仿宋_GB2312" w:eastAsia="仿宋_GB2312" w:cs="仿宋_GB2312"/>
          <w:color w:val="auto"/>
          <w:sz w:val="32"/>
          <w:szCs w:val="32"/>
          <w:lang w:val="en-US" w:eastAsia="zh-CN"/>
        </w:rPr>
        <w:t>全局法律专业背景人员稀缺，部分干部职工运用法治思维和法治方式破解历史遗留难题、处理复杂矛盾纠纷的能力有待进一步提升。</w:t>
      </w:r>
      <w:r>
        <w:rPr>
          <w:rFonts w:hint="eastAsia" w:ascii="仿宋_GB2312" w:hAnsi="仿宋_GB2312" w:eastAsia="仿宋_GB2312" w:cs="仿宋_GB2312"/>
          <w:b/>
          <w:bCs/>
          <w:color w:val="auto"/>
          <w:sz w:val="32"/>
          <w:szCs w:val="32"/>
          <w:lang w:val="en-US" w:eastAsia="zh-CN"/>
        </w:rPr>
        <w:t>二是普法宣传创新不足。</w:t>
      </w:r>
      <w:r>
        <w:rPr>
          <w:rFonts w:hint="eastAsia" w:ascii="仿宋_GB2312" w:hAnsi="仿宋_GB2312" w:eastAsia="仿宋_GB2312" w:cs="仿宋_GB2312"/>
          <w:color w:val="auto"/>
          <w:sz w:val="32"/>
          <w:szCs w:val="32"/>
          <w:lang w:val="en-US" w:eastAsia="zh-CN"/>
        </w:rPr>
        <w:t>普法方式仍以传统的发放资料、现场宣讲为主，运用新媒体形式的宣传力度不够，普法内容针对性、趣味性不强，对年轻退役军人群体的吸引力不足，宣传实效有待提高</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整改情况：安排经</w:t>
      </w:r>
      <w:r>
        <w:rPr>
          <w:rFonts w:hint="eastAsia" w:ascii="仿宋_GB2312" w:hAnsi="仿宋_GB2312" w:eastAsia="仿宋_GB2312" w:cs="仿宋_GB2312"/>
          <w:sz w:val="32"/>
          <w:szCs w:val="32"/>
          <w:lang w:val="en-US" w:eastAsia="zh-CN"/>
        </w:rPr>
        <w:t>验丰富的老骨干与年轻或能力偏弱的同志结对，进一步提升法治化水平；重点学习最新的法律法规和政策精神，不只是读条文，更要结合案例研讨，理解其背后的法治精神和社会效果。</w:t>
      </w:r>
    </w:p>
    <w:p>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autoSpaceDN/>
        <w:bidi w:val="0"/>
        <w:adjustRightInd/>
        <w:snapToGrid/>
        <w:spacing w:line="560" w:lineRule="exact"/>
        <w:ind w:firstLine="640" w:firstLineChars="200"/>
        <w:jc w:val="both"/>
        <w:textAlignment w:val="baseline"/>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四、下一年度推进法治</w:t>
      </w:r>
      <w:bookmarkStart w:id="0" w:name="_GoBack"/>
      <w:bookmarkEnd w:id="0"/>
      <w:r>
        <w:rPr>
          <w:rFonts w:hint="eastAsia" w:ascii="黑体" w:hAnsi="黑体" w:eastAsia="黑体" w:cs="黑体"/>
          <w:color w:val="auto"/>
          <w:sz w:val="32"/>
          <w:szCs w:val="32"/>
          <w:lang w:val="en-US" w:eastAsia="zh-CN"/>
        </w:rPr>
        <w:t>政府建设的主要工作安排</w:t>
      </w:r>
    </w:p>
    <w:p>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（一）强化政治引领，压实法治建设责任。</w:t>
      </w:r>
      <w:r>
        <w:rPr>
          <w:rFonts w:hint="eastAsia" w:ascii="仿宋_GB2312" w:hAnsi="仿宋_GB2312" w:eastAsia="仿宋_GB2312" w:cs="仿宋_GB2312"/>
          <w:color w:val="auto"/>
          <w:sz w:val="32"/>
          <w:szCs w:val="32"/>
          <w:lang w:val="en-US" w:eastAsia="zh-CN"/>
        </w:rPr>
        <w:t>持续深入学习贯彻习近平法治思想和习近平总书记关于退役军人工作的重要论述，将法治建设作为党组重要议事内容，定期研究部署法治建设重点工作。进一步压实党政负责人第一责任人职责和班子成员“一岗双责”，推动法治建设与业务工作深度融合。​</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（二）加强队伍建设，提升依法履职能力。</w:t>
      </w:r>
      <w:r>
        <w:rPr>
          <w:rFonts w:hint="eastAsia" w:ascii="仿宋_GB2312" w:hAnsi="仿宋_GB2312" w:eastAsia="仿宋_GB2312" w:cs="仿宋_GB2312"/>
          <w:color w:val="auto"/>
          <w:sz w:val="32"/>
          <w:szCs w:val="32"/>
          <w:lang w:val="en-US" w:eastAsia="zh-CN"/>
        </w:rPr>
        <w:t>加大法治专业人才引进和培养力度，鼓励干部参加法律职业资格考试和法治专题培训，建立“法律顾问+业务骨干”结对指导机制，提升干部运用法治思维和法治方式解决问题的能力。​</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（三）深化普法宣传，营造浓厚法治氛围。</w:t>
      </w:r>
      <w:r>
        <w:rPr>
          <w:rFonts w:hint="eastAsia" w:ascii="仿宋_GB2312" w:hAnsi="仿宋_GB2312" w:eastAsia="仿宋_GB2312" w:cs="仿宋_GB2312"/>
          <w:color w:val="auto"/>
          <w:sz w:val="32"/>
          <w:szCs w:val="32"/>
          <w:lang w:val="en-US" w:eastAsia="zh-CN"/>
        </w:rPr>
        <w:t>创新普法宣传方式，利用微信公众号平台资源，制作推出政策解读短视频、法治微课堂等，提升普法宣传的吸引力和感染力。</w:t>
      </w:r>
    </w:p>
    <w:p>
      <w:pPr>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（四）规范权力运行，提升法治服务质效。</w:t>
      </w:r>
      <w:r>
        <w:rPr>
          <w:rFonts w:hint="eastAsia" w:ascii="仿宋_GB2312" w:hAnsi="仿宋_GB2312" w:eastAsia="仿宋_GB2312" w:cs="仿宋_GB2312"/>
          <w:color w:val="auto"/>
          <w:sz w:val="32"/>
          <w:szCs w:val="32"/>
          <w:lang w:val="en-US" w:eastAsia="zh-CN"/>
        </w:rPr>
        <w:t>持续深化“放管服”改革，优化退役军人“一件事”办理流程。健全矛盾纠纷多元化解机制，强化“老兵工作室”建设，加强与司法、信访等部门联动，依法高效化解退役军人矛盾纠纷，切实维护退役军人合法权益，为退役军人工作高质量发展提供坚实法治保障。</w:t>
      </w:r>
    </w:p>
    <w:p>
      <w:pPr>
        <w:keepNext w:val="0"/>
        <w:keepLines w:val="0"/>
        <w:pageBreakBefore w:val="0"/>
        <w:widowControl w:val="0"/>
        <w:kinsoku w:val="0"/>
        <w:wordWrap/>
        <w:overflowPunct w:val="0"/>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val="0"/>
        <w:wordWrap/>
        <w:overflowPunct w:val="0"/>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2026年2月        </w:t>
      </w:r>
    </w:p>
    <w:p>
      <w:pPr>
        <w:keepNext w:val="0"/>
        <w:keepLines w:val="0"/>
        <w:pageBreakBefore w:val="0"/>
        <w:widowControl w:val="0"/>
        <w:kinsoku w:val="0"/>
        <w:wordWrap/>
        <w:overflowPunct w:val="0"/>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w:t>
                          </w: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w:t>
                    </w: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08F63DC2"/>
    <w:rsid w:val="08F63DC2"/>
    <w:rsid w:val="117B5103"/>
    <w:rsid w:val="13EE5AF6"/>
    <w:rsid w:val="18DD3F6C"/>
    <w:rsid w:val="335B32DC"/>
    <w:rsid w:val="476051AA"/>
    <w:rsid w:val="51C3736C"/>
    <w:rsid w:val="5A9102A6"/>
    <w:rsid w:val="76327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Arial"/>
      <w:snapToGrid w:val="0"/>
      <w:color w:val="000000"/>
      <w:kern w:val="0"/>
      <w:sz w:val="32"/>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widowControl w:val="0"/>
      <w:adjustRightInd/>
      <w:snapToGrid/>
      <w:spacing w:after="120"/>
      <w:jc w:val="both"/>
    </w:pPr>
    <w:rPr>
      <w:rFonts w:ascii="Times New Roman" w:hAnsi="Times New Roman" w:eastAsia="宋体"/>
      <w:kern w:val="2"/>
      <w:sz w:val="21"/>
      <w:szCs w:val="24"/>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2137</Words>
  <Characters>2175</Characters>
  <Lines>0</Lines>
  <Paragraphs>0</Paragraphs>
  <TotalTime>1</TotalTime>
  <ScaleCrop>false</ScaleCrop>
  <LinksUpToDate>false</LinksUpToDate>
  <CharactersWithSpaces>2177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2026-02-04T07:59:00Z</dcterms:created>
  <dc:creator>玲玲铛</dc:creator>
  <cp:lastModifiedBy>陈哇塞</cp:lastModifiedBy>
  <cp:lastPrinted>2026-03-11T08:58:00Z</cp:lastPrinted>
  <dcterms:modified xsi:type="dcterms:W3CDTF">2026-04-02T06:40:04Z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C3FF6F4F7DBB4904B1465A842DDF75D1_13</vt:lpwstr>
  </property>
  <property fmtid="{D5CDD505-2E9C-101B-9397-08002B2CF9AE}" pid="4" name="KSOTemplateDocerSaveRecord">
    <vt:lpwstr>eyJoZGlkIjoiY2ZkYjRjMjkzZTk1NGZiOTllNThjY2IxZWZhZmMyZjciLCJ1c2VySWQiOiIxMDc3MjcxMjUwIn0=</vt:lpwstr>
  </property>
</Properties>
</file>