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鲁山县鲁阳街道办事处关于2025年法治政府建设情况的报告</w:t>
      </w:r>
    </w:p>
    <w:bookmarkEnd w:id="0"/>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以来，在县委、县政府的坚强领导下，鲁阳街道办事处始终坚持以习近平新时代中国特色社会主义思想为指导，深入贯彻党的二十大和二十届历次全会精神，全面落实习近平法治思想，紧紧围绕《法治政府建设实施纲要（2021—2025年）》及省、市、县部署要求，以建设人民满意的法治政府为目标，认真履行推进法治建设职责，各项工作取得新进展。现将具体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一、2025年度党政主要负责人履行推进法治建设第一责任人职责的情况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（一）强化组织领导，压实法治责任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党政主要负责人严格履行推进法治建设第一责任人职责，将法治政府建设摆在全局工作突出位置，纳入年度工作计划，与中心工作同部署、同推进。成立了以主要负责同志为组长的法治政府建设工作领导小组，形成了主要领导亲自抓、分管领导具体抓、职能部门协同抓的工作格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（二）带头学法用法，提升法治素养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领导干部带头尊法学法守法用法，将习近平法治思想、宪法法律和党内法规纳入理论学习中心组学习和班子会议重要内容。主要负责人带头讲法治课，切实增强了运用法治思维和法治方式深化改革、推动发展、化解矛盾、维护稳定、应对风险的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（三）坚持依法决策，规范权力运行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严格执行重大行政决策程序规定，全面落实公众参与、专家论证、风险评估、合法性审查、集体讨论决定等法定程序。凡属“三重一大”事项，均经集体研究决定，并充分听取</w:t>
      </w:r>
      <w:r>
        <w:rPr>
          <w:rFonts w:hint="eastAsia" w:ascii="仿宋_GB2312" w:hAnsi="仿宋_GB2312" w:eastAsia="仿宋_GB2312" w:cs="仿宋_GB2312"/>
          <w:sz w:val="32"/>
          <w:szCs w:val="32"/>
          <w:highlight w:val="none"/>
        </w:rPr>
        <w:t>法律顾问</w:t>
      </w:r>
      <w:r>
        <w:rPr>
          <w:rFonts w:hint="eastAsia" w:ascii="仿宋_GB2312" w:hAnsi="仿宋_GB2312" w:eastAsia="仿宋_GB2312" w:cs="仿宋_GB2312"/>
          <w:sz w:val="32"/>
          <w:szCs w:val="32"/>
        </w:rPr>
        <w:t>意见，进行合法性审查，确保决策科学民主合法。加强对规范性文件的管理，严格落实行政执法“三项制度”，推动行政行为全过程规范、透明。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二、2025年度推进法治政府建设的主要举措和成效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（一）深化法治宣传教育，营造浓厚法治氛围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1.落实普法责任制。</w:t>
      </w:r>
      <w:r>
        <w:rPr>
          <w:rFonts w:hint="eastAsia" w:ascii="仿宋_GB2312" w:hAnsi="仿宋_GB2312" w:eastAsia="仿宋_GB2312" w:cs="仿宋_GB2312"/>
          <w:sz w:val="32"/>
          <w:szCs w:val="32"/>
        </w:rPr>
        <w:t>制定年度普法计划，明确责任分工，将普法融入执法、管理、服务全过程。</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2.开展精准普法。</w:t>
      </w:r>
      <w:r>
        <w:rPr>
          <w:rFonts w:hint="eastAsia" w:ascii="仿宋_GB2312" w:hAnsi="仿宋_GB2312" w:eastAsia="仿宋_GB2312" w:cs="仿宋_GB2312"/>
          <w:sz w:val="32"/>
          <w:szCs w:val="32"/>
        </w:rPr>
        <w:t>面向街道机关干部举办法治培训4场；开展“法治进校园”活动8场，覆盖师生1800余人次；围绕“4·15”国家安全日、“12·4”国家宪法日等重要节点，组织开展“送法进公园、进广场”“普法进社区”等现场活动26场次，累计发放宣传资料1.2万余份，接受法律咨询120余人次。</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3.创新普法载体。</w:t>
      </w:r>
      <w:r>
        <w:rPr>
          <w:rFonts w:hint="eastAsia" w:ascii="仿宋_GB2312" w:hAnsi="仿宋_GB2312" w:eastAsia="仿宋_GB2312" w:cs="仿宋_GB2312"/>
          <w:sz w:val="32"/>
          <w:szCs w:val="32"/>
        </w:rPr>
        <w:t>依托微信群、公众号等平台，推送涵盖法律法规、反电诈、防溺水等主题的短视频、以案释法案例85条。街道开展“法治夜话”“文明城市创建法治同行”等专题活动，相关工作被《平顶山日报》《河南法制报》等媒体报道。</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4.加强阵地建设。</w:t>
      </w:r>
      <w:r>
        <w:rPr>
          <w:rFonts w:hint="eastAsia" w:ascii="仿宋_GB2312" w:hAnsi="仿宋_GB2312" w:eastAsia="仿宋_GB2312" w:cs="仿宋_GB2312"/>
          <w:sz w:val="32"/>
          <w:szCs w:val="32"/>
        </w:rPr>
        <w:t>更新法治宣传栏，设立法治图书角，营造随处可见的法治文化环境。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（二）健全依法行政制度，提升依法行政水平</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1.优化决策机制。</w:t>
      </w:r>
      <w:r>
        <w:rPr>
          <w:rFonts w:hint="eastAsia" w:ascii="仿宋_GB2312" w:hAnsi="仿宋_GB2312" w:eastAsia="仿宋_GB2312" w:cs="仿宋_GB2312"/>
          <w:sz w:val="32"/>
          <w:szCs w:val="32"/>
        </w:rPr>
        <w:t>完善并严格执行内部重大行政决策程序规定，强化决策过程记录和材料归档。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2.规范文件管理。</w:t>
      </w:r>
      <w:r>
        <w:rPr>
          <w:rFonts w:hint="eastAsia" w:ascii="仿宋_GB2312" w:hAnsi="仿宋_GB2312" w:eastAsia="仿宋_GB2312" w:cs="仿宋_GB2312"/>
          <w:sz w:val="32"/>
          <w:szCs w:val="32"/>
        </w:rPr>
        <w:t>加强规范性文件合法性审核与备案管理，定期开展清理，确保与法律法规和上级政策一致。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3.严格规范执法。</w:t>
      </w:r>
      <w:r>
        <w:rPr>
          <w:rFonts w:hint="eastAsia" w:ascii="仿宋_GB2312" w:hAnsi="仿宋_GB2312" w:eastAsia="仿宋_GB2312" w:cs="仿宋_GB2312"/>
          <w:sz w:val="32"/>
          <w:szCs w:val="32"/>
        </w:rPr>
        <w:t>全面落实行政执法公示、全过程记录、重大执法决定法制审核制度。探索运用说服教育、劝导示范等非强制性执法方式。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（三）优化政务服务效能，建设人民满意政府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1.深化政务公开。</w:t>
      </w:r>
      <w:r>
        <w:rPr>
          <w:rFonts w:hint="eastAsia" w:ascii="仿宋_GB2312" w:hAnsi="仿宋_GB2312" w:eastAsia="仿宋_GB2312" w:cs="仿宋_GB2312"/>
          <w:sz w:val="32"/>
          <w:szCs w:val="32"/>
        </w:rPr>
        <w:t>坚持以公开为常态、不公开为例外，通过政府网站、政务新媒体等渠道，主动公开各类政府信息，保障公众知情权、参与权、监督权。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2.推进“放管服”改革。</w:t>
      </w:r>
      <w:r>
        <w:rPr>
          <w:rFonts w:hint="eastAsia" w:ascii="仿宋_GB2312" w:hAnsi="仿宋_GB2312" w:eastAsia="仿宋_GB2312" w:cs="仿宋_GB2312"/>
          <w:sz w:val="32"/>
          <w:szCs w:val="32"/>
        </w:rPr>
        <w:t>优化办事流程，压缩办理时限，推行“一窗受理”“网上办理”，提升政务服务便捷度。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3.加强数字法治政府建设。</w:t>
      </w:r>
      <w:r>
        <w:rPr>
          <w:rFonts w:hint="eastAsia" w:ascii="仿宋_GB2312" w:hAnsi="仿宋_GB2312" w:eastAsia="仿宋_GB2312" w:cs="仿宋_GB2312"/>
          <w:sz w:val="32"/>
          <w:szCs w:val="32"/>
        </w:rPr>
        <w:t>积极探索运用大数据、人工智能等技术辅助行政决策和执法监管，提升工作智能化水平。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（四）依法化解社会矛盾，维护社会和谐稳定</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1.完善矛盾纠纷多元化解机制。</w:t>
      </w:r>
      <w:r>
        <w:rPr>
          <w:rFonts w:hint="eastAsia" w:ascii="仿宋_GB2312" w:hAnsi="仿宋_GB2312" w:eastAsia="仿宋_GB2312" w:cs="仿宋_GB2312"/>
          <w:sz w:val="32"/>
          <w:szCs w:val="32"/>
        </w:rPr>
        <w:t>坚持和发展新时代“枫桥经验”，健全人民调解、行政调解、司法调解联动体系，加强街道、社区两级调解员队伍建设和业务培训。全年累计排查化解各类矛盾纠纷103起，规范制作调解卷宗70件，调解成功率较高，切实把矛盾化解在基层、化解在萌芽状态。</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2.推进信访工作法治化。</w:t>
      </w:r>
      <w:r>
        <w:rPr>
          <w:rFonts w:hint="eastAsia" w:ascii="仿宋_GB2312" w:hAnsi="仿宋_GB2312" w:eastAsia="仿宋_GB2312" w:cs="仿宋_GB2312"/>
          <w:sz w:val="32"/>
          <w:szCs w:val="32"/>
        </w:rPr>
        <w:t>依法分类处理信访诉求，引导群众依法维权。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3.强化重点领域监管。</w:t>
      </w:r>
      <w:r>
        <w:rPr>
          <w:rFonts w:hint="eastAsia" w:ascii="仿宋_GB2312" w:hAnsi="仿宋_GB2312" w:eastAsia="仿宋_GB2312" w:cs="仿宋_GB2312"/>
          <w:sz w:val="32"/>
          <w:szCs w:val="32"/>
        </w:rPr>
        <w:t>严格落实安全生产责任制，开展专项检查，排查整改隐患。加强社会治安综合治理，参与“护学岗”等行动，有效维护辖区安全稳定。</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4.特殊人群管理规范有序。</w:t>
      </w:r>
      <w:r>
        <w:rPr>
          <w:rFonts w:hint="eastAsia" w:ascii="仿宋_GB2312" w:hAnsi="仿宋_GB2312" w:eastAsia="仿宋_GB2312" w:cs="仿宋_GB2312"/>
          <w:sz w:val="32"/>
          <w:szCs w:val="32"/>
        </w:rPr>
        <w:t>严格执行《社区矫正法》，落实日常监管措施，坚持每周电话汇报、每月思想汇报、定期公益劳动等制度。全年新接收社区矫正对象11人，期满解除矫正5人，目前在册14人；完成审前社会调查评估11例，开展走访65次、集中教育36次、组织公益劳动12次，有效促进矫正对象顺利融入社会。扎实推进安置帮教工作，严格落实“一人一档”管理，做好刑满释放人员信息核查与衔接。全年新接收安置帮教对象18人，现有在册57人，其中失联17人已报送派出所协助查找，重点帮教对象5人，一般帮教对象52人，切实预防和减少重新违法犯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（五）强化权力监督制约，确保权力阳光运行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1.自觉接受各方监督。</w:t>
      </w:r>
      <w:r>
        <w:rPr>
          <w:rFonts w:hint="eastAsia" w:ascii="仿宋_GB2312" w:hAnsi="仿宋_GB2312" w:eastAsia="仿宋_GB2312" w:cs="仿宋_GB2312"/>
          <w:sz w:val="32"/>
          <w:szCs w:val="32"/>
        </w:rPr>
        <w:t>认真办理人大代表建议、政协委员提案，办复率、满意率均达100%。依法接受司法监督，支持法院依法审理行政案件。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2.加强内部层级监督。</w:t>
      </w:r>
      <w:r>
        <w:rPr>
          <w:rFonts w:hint="eastAsia" w:ascii="仿宋_GB2312" w:hAnsi="仿宋_GB2312" w:eastAsia="仿宋_GB2312" w:cs="仿宋_GB2312"/>
          <w:sz w:val="32"/>
          <w:szCs w:val="32"/>
        </w:rPr>
        <w:t>开展行政执法案卷评查，对发现的问题及时督促整改。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3.发挥法律顾问作用。</w:t>
      </w:r>
      <w:r>
        <w:rPr>
          <w:rFonts w:hint="eastAsia" w:ascii="仿宋_GB2312" w:hAnsi="仿宋_GB2312" w:eastAsia="仿宋_GB2312" w:cs="仿宋_GB2312"/>
          <w:sz w:val="32"/>
          <w:szCs w:val="32"/>
        </w:rPr>
        <w:t>聘请法律顾问参与合同审查、重大决策论证、复议诉讼案件处理等工作，提供法律意见，助力依法行政。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（一）存在的不足</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1.法治宣传教育深度有待加强。</w:t>
      </w:r>
      <w:r>
        <w:rPr>
          <w:rFonts w:hint="eastAsia" w:ascii="仿宋_GB2312" w:hAnsi="仿宋_GB2312" w:eastAsia="仿宋_GB2312" w:cs="仿宋_GB2312"/>
          <w:sz w:val="32"/>
          <w:szCs w:val="32"/>
        </w:rPr>
        <w:t>宣传形式仍以传统方式为主，运用新媒体、新技术开展互动式、场景式普法的能力有待提升，对不同对象的法律需求把握不够精准。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2.执法规范化水平需持续提升。</w:t>
      </w:r>
      <w:r>
        <w:rPr>
          <w:rFonts w:hint="eastAsia" w:ascii="仿宋_GB2312" w:hAnsi="仿宋_GB2312" w:eastAsia="仿宋_GB2312" w:cs="仿宋_GB2312"/>
          <w:sz w:val="32"/>
          <w:szCs w:val="32"/>
        </w:rPr>
        <w:t>部分执法人员的法律素养和专业技能与新时代严格规范公正文明执法的要求相比尚有差距，执法过程中的说理和程序意识有待进一步增强。</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3.法治工作创新力度不足。</w:t>
      </w:r>
      <w:r>
        <w:rPr>
          <w:rFonts w:hint="eastAsia" w:ascii="仿宋_GB2312" w:hAnsi="仿宋_GB2312" w:eastAsia="仿宋_GB2312" w:cs="仿宋_GB2312"/>
          <w:sz w:val="32"/>
          <w:szCs w:val="32"/>
        </w:rPr>
        <w:t>在运用法治方式解决新情况、新问题方面，主动探索和创新意识不够强，特色亮点工作不多。</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4.数字法治政府建设基础薄弱。</w:t>
      </w:r>
      <w:r>
        <w:rPr>
          <w:rFonts w:hint="eastAsia" w:ascii="仿宋_GB2312" w:hAnsi="仿宋_GB2312" w:eastAsia="仿宋_GB2312" w:cs="仿宋_GB2312"/>
          <w:sz w:val="32"/>
          <w:szCs w:val="32"/>
        </w:rPr>
        <w:t>数据共享、业务协同水平有待提高，运用数字化手段提升治理效能的能力仍需加强。</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5.队伍建设存在短板。</w:t>
      </w:r>
      <w:r>
        <w:rPr>
          <w:rFonts w:hint="eastAsia" w:ascii="仿宋_GB2312" w:hAnsi="仿宋_GB2312" w:eastAsia="仿宋_GB2312" w:cs="仿宋_GB2312"/>
          <w:sz w:val="32"/>
          <w:szCs w:val="32"/>
        </w:rPr>
        <w:t>政治理论学习的系统性和深度有待加强，业务知识更新需更加及时；队伍的专业能力和工作作风仍有提升空间，应对复杂局面和解决疑难问题的能力需进一步锤炼。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（二）原因分析</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1.思想认识有待深化。</w:t>
      </w:r>
      <w:r>
        <w:rPr>
          <w:rFonts w:hint="eastAsia" w:ascii="仿宋_GB2312" w:hAnsi="仿宋_GB2312" w:eastAsia="仿宋_GB2312" w:cs="仿宋_GB2312"/>
          <w:sz w:val="32"/>
          <w:szCs w:val="32"/>
        </w:rPr>
        <w:t>个别干部职工对法治政府建设极端重要性的认识不够到位，将法治工作视为“软任务”的观念尚未完全扭转。</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2.能力建设存在短板。</w:t>
      </w:r>
      <w:r>
        <w:rPr>
          <w:rFonts w:hint="eastAsia" w:ascii="仿宋_GB2312" w:hAnsi="仿宋_GB2312" w:eastAsia="仿宋_GB2312" w:cs="仿宋_GB2312"/>
          <w:sz w:val="32"/>
          <w:szCs w:val="32"/>
        </w:rPr>
        <w:t>系统性的法治培训体系尚不完善，针对执法人员特别是基层一线人员的专业化培训覆盖面和深度不够。</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3.机制创新动力不足。</w:t>
      </w:r>
      <w:r>
        <w:rPr>
          <w:rFonts w:hint="eastAsia" w:ascii="仿宋_GB2312" w:hAnsi="仿宋_GB2312" w:eastAsia="仿宋_GB2312" w:cs="仿宋_GB2312"/>
          <w:sz w:val="32"/>
          <w:szCs w:val="32"/>
        </w:rPr>
        <w:t>习惯于按部就班完成规定动作，对标先进、主动谋划、打造品牌的内生动力有待激发。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整改情况：加强对全体干部职工法治教育，切实提升全体干部职工对</w:t>
      </w:r>
      <w:r>
        <w:rPr>
          <w:rFonts w:hint="eastAsia" w:ascii="仿宋_GB2312" w:hAnsi="仿宋_GB2312" w:eastAsia="仿宋_GB2312" w:cs="仿宋_GB2312"/>
          <w:sz w:val="32"/>
          <w:szCs w:val="32"/>
        </w:rPr>
        <w:t>法治政府建设重要性的认识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同时进一步整合</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val="en-US" w:eastAsia="zh-CN"/>
        </w:rPr>
        <w:t>加大</w:t>
      </w:r>
      <w:r>
        <w:rPr>
          <w:rFonts w:hint="eastAsia" w:ascii="仿宋_GB2312" w:hAnsi="仿宋_GB2312" w:eastAsia="仿宋_GB2312" w:cs="仿宋_GB2312"/>
          <w:sz w:val="32"/>
          <w:szCs w:val="32"/>
        </w:rPr>
        <w:t>在信息化建设、数据资源整合方面投入</w:t>
      </w:r>
      <w:r>
        <w:rPr>
          <w:rFonts w:hint="eastAsia" w:ascii="仿宋_GB2312" w:hAnsi="仿宋_GB2312" w:eastAsia="仿宋_GB2312" w:cs="仿宋_GB2312"/>
          <w:sz w:val="32"/>
          <w:szCs w:val="32"/>
          <w:lang w:val="en-US" w:eastAsia="zh-CN"/>
        </w:rPr>
        <w:t>推动数字法治政府建设水平</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2026年，本单位将坚持以习近平法治思想为根本遵循，认真贯彻落实党中央、国务院及省、市、县关于法治政府建设的决策部署，聚焦重点、补齐短板、勇于创新，推动法治政府建设再上新台阶。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（一）持续强化理论武装，筑牢法治思想根基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深入学习习近平法治思想作为首要政治任务，纳入干部教育培训体系。严格落实主要负责人履行推进法治建设第一责任人职责，带头尊法学法守法用法。加强对党内法规和国家法律的学习，提升党员干部法治思维和依法办事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（二）深入推进依法行政，规范行政权力运行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严格执行重大行政决策程序，确保决策质量。加强规范性文件全生命周期管理。全面深化行政执法规范化建设，细化行政裁量权基准，推广“柔性执法”。加强行政执法监督，完善执法考评机制。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（三）着力优化营商环境，提升政务服务水平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深化“放管服”改革，推进政务服务标准化、规范化、便利化。全面推行“互联网+政务服务”，提升“一网通办”水平。加强政务公开平台建设，以公开促落实、促规范、促服务。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（四）健全矛盾化解机制，维护社会公平正义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社会矛盾纠纷多元预防调处化解综合机制，提升调解专业化水平。全面推进信访工作法治化，引导群众依法理性表达诉求。加强重点领域安全监管，筑牢安全防线。进一步规范社区矫正执法，细化安置帮教措施，筑牢特殊人群管理安全底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（五）加快数字法治建设，赋能政府治理创新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积极探索大数据、人工智能等在行政执法、服务监管、决策支持中的应用。推动数据有序共享和业务协同，提升治理精准化和智能化水平。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（六）坚持依法依规治党，夯实法治组织保障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深刻把握依法治国和依规治党有机统一要求，教育引导党员干部自觉在党纪国法框架内履职用权。加强廉政风险防控，营造风清气正的政治生态，以高质量党建引领保障法治政府建设。</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2026年2月2日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6922552D"/>
    <w:rsid w:val="62FC0B37"/>
    <w:rsid w:val="687E5073"/>
    <w:rsid w:val="69225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3435</Words>
  <Characters>3512</Characters>
  <Lines>0</Lines>
  <Paragraphs>0</Paragraphs>
  <TotalTime>2</TotalTime>
  <ScaleCrop>false</ScaleCrop>
  <LinksUpToDate>false</LinksUpToDate>
  <CharactersWithSpaces>3512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2026-02-04T01:19:00Z</dcterms:created>
  <dc:creator>微信用户</dc:creator>
  <cp:lastModifiedBy>陈哇塞</cp:lastModifiedBy>
  <dcterms:modified xsi:type="dcterms:W3CDTF">2026-02-06T00:41:26Z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F3C0B206090F4CF99D15E09F7069FB40_11</vt:lpwstr>
  </property>
  <property fmtid="{D5CDD505-2E9C-101B-9397-08002B2CF9AE}" pid="4" name="KSOTemplateDocerSaveRecord">
    <vt:lpwstr>eyJoZGlkIjoiNTVjZjcwODVhZThiZTA2MzgyOTgxMjBiZjQzYTg4NTgiLCJ1c2VySWQiOiIzMzE4NjY2NTgifQ==</vt:lpwstr>
  </property>
</Properties>
</file>